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Revisión de liberación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APEX Word Report Compiler 1.0.0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pPr>
        <w:pStyle w:val="Heading1"/>
        <w:keepNext/>
      </w:pPr>
      <w:r>
        <w:t>Compilador Word restringido para Oracle APEX 24.2</w:t>
      </w:r>
    </w:p>
    <w:p>
      <w:r>
        <w:rPr>
          <w:b/>
        </w:rPr>
        <w:t>Fecha de revisión:</w:t>
      </w:r>
      <w:r>
        <w:t xml:space="preserve"> 2026-10-01</w:t>
      </w:r>
      <w:r>
        <w:br/>
      </w:r>
      <w:r>
        <w:t xml:space="preserve"> </w:t>
      </w:r>
      <w:r>
        <w:rPr>
          <w:b/>
        </w:rPr>
        <w:t>Versión revisada:</w:t>
      </w:r>
      <w:r>
        <w:t xml:space="preserve"> 1.0.0 (compilador y package </w:t>
      </w:r>
      <w:r>
        <w:rPr>
          <w:rFonts w:ascii="Consolas" w:hAnsi="Consolas"/>
          <w:color w:val="233648"/>
          <w:sz w:val="16"/>
        </w:rPr>
        <w:t>PKG_CORPORATE_REPORTS</w:t>
      </w:r>
      <w:r>
        <w:t xml:space="preserve"> de esta entrega)</w:t>
      </w:r>
      <w:r>
        <w:br/>
      </w:r>
      <w:r>
        <w:t xml:space="preserve"> </w:t>
      </w:r>
      <w:r>
        <w:rPr>
          <w:b/>
        </w:rPr>
        <w:t>Veredicto local:</w:t>
      </w:r>
      <w:r>
        <w:t xml:space="preserve"> </w:t>
      </w:r>
      <w:r>
        <w:rPr>
          <w:b/>
        </w:rPr>
        <w:t>GO para empaquetado y aceptación en APEX</w:t>
      </w:r>
      <w:r>
        <w:br/>
      </w:r>
      <w:r>
        <w:t xml:space="preserve"> </w:t>
      </w:r>
      <w:r>
        <w:rPr>
          <w:b/>
        </w:rPr>
        <w:t>Producción:</w:t>
      </w:r>
      <w:r>
        <w:t xml:space="preserve"> pendiente; no debe promoverse hasta completar las pruebas de la sección 7 en APEX 24.2.</w:t>
      </w:r>
    </w:p>
    <w:p>
      <w:pPr>
        <w:pStyle w:val="Heading1"/>
        <w:keepNext/>
      </w:pPr>
      <w:r>
        <w:t>1. Resumen ejecutivo</w:t>
      </w:r>
    </w:p>
    <w:p>
      <w:r>
        <w:t>La auditoría se hizo en tres rondas con revisores independientes de arquitectura, compilador Python, seguridad OOXML, SQL y binds, PL/SQL y APEX, pruebas adversariales y documentación. Cada hallazgo se reprodujo antes de corregirlo y cada corrección tiene una prueba de regresión que falla sin ella. Las pruebas se ejecutaron en Windows, la plataforma del diseñador.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REVISOR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Reproducir el hallazgo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caso mínimo en tests/test_audit_regressions.py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B7791F"/>
                <w:sz w:val="14"/>
              </w:rPr>
              <w:t>REVISOR</w:t>
            </w:r>
          </w:p>
        </w:tc>
        <w:tc>
          <w:tcPr>
            <w:tcW w:type="dxa" w:w="6350"/>
            <w:vAlign w:val="center"/>
            <w:shd w:fill="FDF3E1"/>
            <w:tcBorders>
              <w:top w:val="dashed" w:sz="10" w:space="0" w:color="B7791F"/>
              <w:left w:val="dashed" w:sz="10" w:space="0" w:color="B7791F"/>
              <w:bottom w:val="dashed" w:sz="10" w:space="0" w:color="B7791F"/>
              <w:right w:val="dashed" w:sz="10" w:space="0" w:color="B7791F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B7791F"/>
                <w:sz w:val="17"/>
              </w:rPr>
              <w:t>◆ ¿La prueba falla sin la corrección?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No: la prueba no demuestra el defecto; reescribirla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  <w:r>
              <w:rPr>
                <w:b/>
                <w:color w:val="B7791F"/>
                <w:sz w:val="15"/>
              </w:rPr>
              <w:t xml:space="preserve">  Sí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DESARROLLO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Corregir compilador, package o documentación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el mismo criterio en Python y en PL/SQL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B7791F"/>
                <w:sz w:val="14"/>
              </w:rPr>
              <w:t>REVISOR</w:t>
            </w:r>
          </w:p>
        </w:tc>
        <w:tc>
          <w:tcPr>
            <w:tcW w:type="dxa" w:w="6350"/>
            <w:vAlign w:val="center"/>
            <w:shd w:fill="FDF3E1"/>
            <w:tcBorders>
              <w:top w:val="dashed" w:sz="10" w:space="0" w:color="B7791F"/>
              <w:left w:val="dashed" w:sz="10" w:space="0" w:color="B7791F"/>
              <w:bottom w:val="dashed" w:sz="10" w:space="0" w:color="B7791F"/>
              <w:right w:val="dashed" w:sz="10" w:space="0" w:color="B7791F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B7791F"/>
                <w:sz w:val="17"/>
              </w:rPr>
              <w:t>◆ ¿Suite completa en verde?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No: volver a corregir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  <w:r>
              <w:rPr>
                <w:b/>
                <w:color w:val="B7791F"/>
                <w:sz w:val="15"/>
              </w:rPr>
              <w:t xml:space="preserve">  Sí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REVISOR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Registrar en la sección 3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severidad, hallazgo y corrección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1. Proceso de revisión aplicado a cada hallazgo</w:t>
      </w:r>
    </w:p>
    <w:p>
      <w:r>
        <w:t>La revisión no certifica que el package compile ni que el PDF o el XLSX se rendericen en la instalación real: no hubo conexión a Oracle Database ni a APEX.</w:t>
      </w:r>
    </w:p>
    <w:p>
      <w:pPr>
        <w:pStyle w:val="Heading1"/>
        <w:keepNext/>
      </w:pPr>
      <w:r>
        <w:t>2. Evidencia ejecutada</w:t>
      </w:r>
    </w:p>
    <w:p>
      <w:r>
        <w:t>Desde la raíz del proyecto, en Windows 11, con Python 3.13.2 y python-docx 1.2.0: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.\.venv\Scripts\python.exe -m unittest discover -s tests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.\.venv\Scripts\python.exe -m compileall -q src tests tools launch_compiler.py launch_gui.pyw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.\.venv\Scripts\apex-report-compiler.exe --version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Puerta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Suite completa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todas las pruebas OK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compileall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sin errores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--version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apex-report-compiler 1.0.0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Validación del ejemplo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0 errores, 0 advertencias, sin escribir archivos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Compilación del ejemplo, dos veces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los tres artefactos son idénticos byte a byte entre sí y con los versionados en proyectos/entidades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Generador de plantillas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reproduce templates/*.docx byte a byte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ZIP de entrega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pruebas y compilación del ejemplo correctas desde una extracción limpia; SHA-256 en el archivo .sha256 adjunto</w:t>
            </w:r>
          </w:p>
        </w:tc>
      </w:tr>
    </w:tbl>
    <w:p>
      <w:pPr>
        <w:spacing w:after="20"/>
      </w:pPr>
    </w:p>
    <w:p>
      <w:r>
        <w:t>Pruebas nuevas: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tests/test_audit_regressions.py</w:t>
      </w:r>
      <w:r>
        <w:t>: una o más pruebas por hallazgo. Se verificó que fallan sin las correcciones y pasan con ellas.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tests/test_package_semantics.py</w:t>
      </w:r>
      <w:r>
        <w:t xml:space="preserve">: contrato estático del package sobre el código efectivo, sin comentarios, con firmas ordenadas exactas. Se valida contra siete mutaciones semánticas: auto-bind comentado, cierre de contexto eliminado, valor por defecto ampliado, parámetros intercambiados, cierre ausente en </w:t>
      </w:r>
      <w:r>
        <w:rPr>
          <w:rFonts w:ascii="Consolas" w:hAnsi="Consolas"/>
          <w:color w:val="233648"/>
          <w:sz w:val="16"/>
        </w:rPr>
        <w:t>e_stop_apex_engine</w:t>
      </w:r>
      <w:r>
        <w:t xml:space="preserve">, SQL dinámico y </w:t>
      </w:r>
      <w:r>
        <w:rPr>
          <w:rFonts w:ascii="Consolas" w:hAnsi="Consolas"/>
          <w:color w:val="233648"/>
          <w:sz w:val="16"/>
        </w:rPr>
        <w:t>LTRIM</w:t>
      </w:r>
      <w:r>
        <w:t xml:space="preserve"> de un solo argumento.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tests/test_apex_guide.py</w:t>
      </w:r>
      <w:r>
        <w:t>: guía de publicación en APEX, esqueleto de proyecto desde DOCX, salida de la GUI y acceso directo portable.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tests/test_workspace.py</w:t>
      </w:r>
      <w:r>
        <w:t xml:space="preserve">: carpeta </w:t>
      </w:r>
      <w:r>
        <w:rPr>
          <w:rFonts w:ascii="Consolas" w:hAnsi="Consolas"/>
          <w:color w:val="233648"/>
          <w:sz w:val="16"/>
        </w:rPr>
        <w:t>proyectos/&lt;nombre&gt;/</w:t>
      </w:r>
      <w:r>
        <w:t xml:space="preserve">, copia del DOCX, reemplazo con </w:t>
      </w:r>
      <w:r>
        <w:rPr>
          <w:rFonts w:ascii="Consolas" w:hAnsi="Consolas"/>
          <w:color w:val="233648"/>
          <w:sz w:val="16"/>
        </w:rPr>
        <w:t>.bak</w:t>
      </w:r>
      <w:r>
        <w:t xml:space="preserve"> sin borrar otros archivos, salida dividida y confinamiento de rutas.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tests/test_documentation.py</w:t>
      </w:r>
      <w:r>
        <w:t>: los entregables Word contienen las instrucciones críticas y no mencionan nombres ajenos a esta versión.</w:t>
      </w:r>
    </w:p>
    <w:p>
      <w:pPr>
        <w:pStyle w:val="Heading1"/>
        <w:keepNext/>
      </w:pPr>
      <w:r>
        <w:t>3. Hallazgos corregidos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Corrección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background_color en título o pie se aceptaba localmente y el package lo rechazaba (-20145)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Claves de estilo por zona idénticas a PARSE_STYLE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Comentario inicial seguido de salto de línea: válido en local, -20104 en ejecución (LTRIM sin conjunto)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 package elimina espacio, tabulador, LF y CR; el compilador acepta solo esos caracteres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Límites en caracteres en Python frente a VARCHAR2 en bytes en el package (título, etiquetas, encabezado, pie): ORA-06502 sin control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Límites en bytes UTF-8 en ambos lados, LENGTHB/SUBSTRB y comprobación de encabezado con título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&amp;ITEM. en el SQL o en textos: APEX lo sustituiría en el código del proceso, concatenando valores de sesión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Error fuera de literales; todo &amp; se emite como chr(38)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--output podía sobrescribir el SQL o el proyecto fuente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Diagnóstico IO-003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Pruebas estáticas del package con falsos positivos (código comentado o subcadenas)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Pruebas semánticas con mutaciones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Receta APEX ambigua o contradictoria (Ajax frente a Before Header; Reload on Submit)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Receta concreta en el Manual y en la GUI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Nombre \ en el ZIP no detectado en Windows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 inspecciona orig_filename; fixture corregido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DTD en UTF-16, [Content_Types].xml en mayúsculas, parte principal renombrada, tipos de relación renombrados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Detección con el parser, content types y tipos de relación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ZIP corrupto o con compresión no soportada provocaba una excepción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Diagnósticos ZIP-010/ZIP-011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Texto oculto, envoltorios en línea y de bloque, símbolos, ecuaciones, notas, revisiones de formato y tablas en el encabezado o pie: Word los mostraba y el reporte 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Rechazo explícito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Espacio no ASCII dentro de {{…}} aceptado en local y rechazado en el package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Solo espacios ASCII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Tipos JSON no textuales convertidos en silencio ("title": null → «None»)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PROJECT-103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Errores de APEX_SESSION_STATE propagados sin sanear (posible valor en el mensaje)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Lista blanca de códigos propios; el resto pasa a -20121/-20132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Binds con nombre reservado de APEX (:APP_USER desde un Page Item modificable)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PROJECT-017 y -20173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Salida de la CLI con traza al redirigirla en Windows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stdout/stderr en UTF-8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Publicación interrumpida podía mezclar artefactos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Rollback ante BaseException; el respaldo se conserva si la restauración falla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 GUI congelaba resultados viejos ante errores y compilaba en la carpeta de otro proyecto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Errores visibles y salida ligada al proyecto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BAJO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INTO/FOR UPDATE, claves duplicadas, JSON muy anidado, WEIGHT sin cota, alias duplicados, orientación por dimensiones, pgSz ausente, instalador sin comprobar VALID y otros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Corregidos con prueba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Seguridad</w:t>
      </w:r>
    </w:p>
    <w:p>
      <w:r>
        <w:t xml:space="preserve">No se concatenan valores de Page Items en el SQL. El package conserva </w:t>
      </w:r>
      <w:r>
        <w:rPr>
          <w:rFonts w:ascii="Consolas" w:hAnsi="Consolas"/>
          <w:color w:val="233648"/>
          <w:sz w:val="16"/>
        </w:rPr>
        <w:t>AUTHID CURRENT_USER</w:t>
      </w:r>
      <w:r>
        <w:t xml:space="preserve">, </w:t>
      </w:r>
      <w:r>
        <w:rPr>
          <w:rFonts w:ascii="Consolas" w:hAnsi="Consolas"/>
          <w:color w:val="233648"/>
          <w:sz w:val="16"/>
        </w:rPr>
        <w:t>p_auto_bind_items =&gt; FALSE</w:t>
      </w:r>
      <w:r>
        <w:t xml:space="preserve"> y binds tipados con </w:t>
      </w:r>
      <w:r>
        <w:rPr>
          <w:rFonts w:ascii="Consolas" w:hAnsi="Consolas"/>
          <w:color w:val="233648"/>
          <w:sz w:val="16"/>
        </w:rPr>
        <w:t>APEX_EXEC.ADD_PARAMETER</w:t>
      </w:r>
      <w:r>
        <w:t xml:space="preserve">. El código generado no contiene ningún </w:t>
      </w:r>
      <w:r>
        <w:rPr>
          <w:rFonts w:ascii="Consolas" w:hAnsi="Consolas"/>
          <w:color w:val="233648"/>
          <w:sz w:val="16"/>
        </w:rPr>
        <w:t>&amp;</w:t>
      </w:r>
      <w:r>
        <w:t xml:space="preserve"> crudo. El DOCX se inspecciona antes de abrirlo con python-docx. Las rutas del proyecto quedan confinadas a su carpeta. Las instrucciones no conceden </w:t>
      </w:r>
      <w:r>
        <w:rPr>
          <w:rFonts w:ascii="Consolas" w:hAnsi="Consolas"/>
          <w:color w:val="233648"/>
          <w:sz w:val="16"/>
        </w:rPr>
        <w:t>EXECUTE</w:t>
      </w:r>
      <w:r>
        <w:t xml:space="preserve"> a </w:t>
      </w:r>
      <w:r>
        <w:rPr>
          <w:rFonts w:ascii="Consolas" w:hAnsi="Consolas"/>
          <w:color w:val="233648"/>
          <w:sz w:val="16"/>
        </w:rPr>
        <w:t>PUBLIC</w:t>
      </w:r>
      <w:r>
        <w:t>.</w:t>
      </w:r>
    </w:p>
    <w:p>
      <w:r>
        <w:t xml:space="preserve">Riesgo residual: restringir el primer token a </w:t>
      </w:r>
      <w:r>
        <w:rPr>
          <w:rFonts w:ascii="Consolas" w:hAnsi="Consolas"/>
          <w:color w:val="233648"/>
          <w:sz w:val="16"/>
        </w:rPr>
        <w:t>SELECT</w:t>
      </w:r>
      <w:r>
        <w:t>/</w:t>
      </w:r>
      <w:r>
        <w:rPr>
          <w:rFonts w:ascii="Consolas" w:hAnsi="Consolas"/>
          <w:color w:val="233648"/>
          <w:sz w:val="16"/>
        </w:rPr>
        <w:t>WITH</w:t>
      </w:r>
      <w:r>
        <w:t xml:space="preserve"> no es una frontera de autorización. La protección real depende de revisar el SQL, de la autorización de página y de los privilegios mínimos del parsing schema.</w:t>
      </w:r>
    </w:p>
    <w:p>
      <w:pPr>
        <w:pStyle w:val="Heading1"/>
        <w:keepNext/>
      </w:pPr>
      <w:r>
        <w:t>5. Herramientas para el diseñador</w:t>
      </w:r>
    </w:p>
    <w:p>
      <w:pPr>
        <w:spacing w:after="60"/>
        <w:ind w:left="369" w:hanging="255"/>
      </w:pPr>
      <w:r>
        <w:t xml:space="preserve">• </w:t>
      </w:r>
      <w:r>
        <w:t xml:space="preserve">Acceso directo portable </w:t>
      </w:r>
      <w:r>
        <w:rPr>
          <w:b/>
        </w:rPr>
        <w:t>Compilador de reportes APEX</w:t>
      </w:r>
      <w:r>
        <w:t xml:space="preserve"> y lanzador </w:t>
      </w:r>
      <w:r>
        <w:rPr>
          <w:b/>
        </w:rPr>
        <w:t>Abrir compilador.bat</w:t>
      </w:r>
      <w:r>
        <w:t xml:space="preserve">. El lanzador prepara </w:t>
      </w:r>
      <w:r>
        <w:rPr>
          <w:rFonts w:ascii="Consolas" w:hAnsi="Consolas"/>
          <w:color w:val="233648"/>
          <w:sz w:val="16"/>
        </w:rPr>
        <w:t>.venv</w:t>
      </w:r>
      <w:r>
        <w:t xml:space="preserve"> la primera vez en un equipo nuevo.</w:t>
      </w:r>
    </w:p>
    <w:p>
      <w:pPr>
        <w:spacing w:after="60"/>
        <w:ind w:left="369" w:hanging="255"/>
      </w:pPr>
      <w:r>
        <w:t xml:space="preserve">• </w:t>
      </w:r>
      <w:r>
        <w:t xml:space="preserve">La GUI genera un proyecto inicial desde el DOCX con Page Items </w:t>
      </w:r>
      <w:r>
        <w:rPr>
          <w:rFonts w:ascii="Consolas" w:hAnsi="Consolas"/>
          <w:color w:val="233648"/>
          <w:sz w:val="16"/>
        </w:rPr>
        <w:t>PXX_</w:t>
      </w:r>
      <w:r>
        <w:t xml:space="preserve"> y, al compilar, indica qué archivo subir a APEX, dónde, y qué Page Items crear.</w:t>
      </w:r>
    </w:p>
    <w:p>
      <w:pPr>
        <w:pStyle w:val="Heading1"/>
        <w:keepNext/>
      </w:pPr>
      <w:r>
        <w:t>6. Riesgos residuales y decisiones</w:t>
      </w:r>
    </w:p>
    <w:p>
      <w:pPr>
        <w:spacing w:after="60"/>
        <w:ind w:left="369" w:hanging="255"/>
      </w:pPr>
      <w:r>
        <w:t xml:space="preserve">• </w:t>
      </w:r>
      <w:r>
        <w:t xml:space="preserve">Un Page Item mal escrito en </w:t>
      </w:r>
      <w:r>
        <w:rPr>
          <w:rFonts w:ascii="Consolas" w:hAnsi="Consolas"/>
          <w:color w:val="233648"/>
          <w:sz w:val="16"/>
        </w:rPr>
        <w:t>bindings</w:t>
      </w:r>
      <w:r>
        <w:t xml:space="preserve"> devuelve NULL en ejecución. Con </w:t>
      </w:r>
      <w:r>
        <w:rPr>
          <w:rFonts w:ascii="Consolas" w:hAnsi="Consolas"/>
          <w:color w:val="233648"/>
          <w:sz w:val="16"/>
        </w:rPr>
        <w:t>required: false</w:t>
      </w:r>
      <w:r>
        <w:t xml:space="preserve">, el filtro queda anulado hasta </w:t>
      </w:r>
      <w:r>
        <w:rPr>
          <w:rFonts w:ascii="Consolas" w:hAnsi="Consolas"/>
          <w:color w:val="233648"/>
          <w:sz w:val="16"/>
        </w:rPr>
        <w:t>p_max_rows</w:t>
      </w:r>
      <w:r>
        <w:t>. Verifíquelo en la aceptación.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TO_DATE</w:t>
      </w:r>
      <w:r>
        <w:t xml:space="preserve"> sin el modificador </w:t>
      </w:r>
      <w:r>
        <w:rPr>
          <w:rFonts w:ascii="Consolas" w:hAnsi="Consolas"/>
          <w:color w:val="233648"/>
          <w:sz w:val="16"/>
        </w:rPr>
        <w:t>FX</w:t>
      </w:r>
      <w:r>
        <w:t xml:space="preserve"> acepta años de dos dígitos con la máscara </w:t>
      </w:r>
      <w:r>
        <w:rPr>
          <w:rFonts w:ascii="Consolas" w:hAnsi="Consolas"/>
          <w:color w:val="233648"/>
          <w:sz w:val="16"/>
        </w:rPr>
        <w:t>YYYY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t>Los tamaños de fuente decimales podrían depender del separador decimal de la sesión.</w:t>
      </w:r>
    </w:p>
    <w:p>
      <w:pPr>
        <w:spacing w:after="60"/>
        <w:ind w:left="369" w:hanging="255"/>
      </w:pPr>
      <w:r>
        <w:t xml:space="preserve">• </w:t>
      </w:r>
      <w:r>
        <w:t xml:space="preserve">El acceso directo requiere PowerShell de Windows. Si una política lo bloquea, se usa el </w:t>
      </w:r>
      <w:r>
        <w:rPr>
          <w:rFonts w:ascii="Consolas" w:hAnsi="Consolas"/>
          <w:color w:val="233648"/>
          <w:sz w:val="16"/>
        </w:rPr>
        <w:t>.bat</w:t>
      </w:r>
      <w:r>
        <w:t>.</w:t>
      </w:r>
    </w:p>
    <w:p>
      <w:pPr>
        <w:pStyle w:val="Heading1"/>
        <w:keepNext/>
      </w:pPr>
      <w:r>
        <w:t>7. Puerta obligatoria en APEX real</w:t>
      </w:r>
    </w:p>
    <w:p>
      <w:r>
        <w:t>Antes de producción, el responsable APEX debe registrar evidencia de:</w:t>
      </w:r>
    </w:p>
    <w:p>
      <w:pPr>
        <w:spacing w:after="60"/>
        <w:ind w:left="369" w:hanging="255"/>
      </w:pPr>
      <w:r>
        <w:t xml:space="preserve">1. </w:t>
      </w:r>
      <w:r>
        <w:t xml:space="preserve">ejecución de </w:t>
      </w:r>
      <w:r>
        <w:rPr>
          <w:rFonts w:ascii="Consolas" w:hAnsi="Consolas"/>
          <w:color w:val="233648"/>
          <w:sz w:val="16"/>
        </w:rPr>
        <w:t>sql/install.sql</w:t>
      </w:r>
      <w:r>
        <w:t xml:space="preserve"> (o del package en SQL Workshop) en el parsing schema;</w:t>
      </w:r>
    </w:p>
    <w:p>
      <w:pPr>
        <w:spacing w:after="60"/>
        <w:ind w:left="369" w:hanging="255"/>
      </w:pPr>
      <w:r>
        <w:t xml:space="preserve">2. </w:t>
      </w:r>
      <w:r>
        <w:t xml:space="preserve">package y body en estado </w:t>
      </w:r>
      <w:r>
        <w:rPr>
          <w:rFonts w:ascii="Consolas" w:hAnsi="Consolas"/>
          <w:color w:val="233648"/>
          <w:sz w:val="16"/>
        </w:rPr>
        <w:t>VALID</w:t>
      </w:r>
      <w:r>
        <w:t xml:space="preserve">, sin filas de error en </w:t>
      </w:r>
      <w:r>
        <w:rPr>
          <w:rFonts w:ascii="Consolas" w:hAnsi="Consolas"/>
          <w:color w:val="233648"/>
          <w:sz w:val="16"/>
        </w:rPr>
        <w:t>USER_ERRORS</w:t>
      </w:r>
      <w:r>
        <w:t>;</w:t>
      </w:r>
    </w:p>
    <w:p>
      <w:pPr>
        <w:spacing w:after="60"/>
        <w:ind w:left="369" w:hanging="255"/>
      </w:pPr>
      <w:r>
        <w:t xml:space="preserve">3. </w:t>
      </w:r>
      <w:r>
        <w:t>descarga PDF y XLSX con la receta del Manual, sección 9 (</w:t>
      </w:r>
      <w:r>
        <w:rPr>
          <w:i/>
        </w:rPr>
        <w:t>Submit Page</w:t>
      </w:r>
      <w:r>
        <w:t xml:space="preserve">, </w:t>
      </w:r>
      <w:r>
        <w:rPr>
          <w:i/>
        </w:rPr>
        <w:t>Reload on Submit: Always</w:t>
      </w:r>
      <w:r>
        <w:t xml:space="preserve">, proceso en </w:t>
      </w:r>
      <w:r>
        <w:rPr>
          <w:i/>
        </w:rPr>
        <w:t>Processing</w:t>
      </w:r>
      <w:r>
        <w:t>);</w:t>
      </w:r>
    </w:p>
    <w:p>
      <w:pPr>
        <w:spacing w:after="60"/>
        <w:ind w:left="369" w:hanging="255"/>
      </w:pPr>
      <w:r>
        <w:t xml:space="preserve">4. </w:t>
      </w:r>
      <w:r>
        <w:t xml:space="preserve">binds </w:t>
      </w:r>
      <w:r>
        <w:rPr>
          <w:rFonts w:ascii="Consolas" w:hAnsi="Consolas"/>
          <w:color w:val="233648"/>
          <w:sz w:val="16"/>
        </w:rPr>
        <w:t>VARCHAR2</w:t>
      </w:r>
      <w:r>
        <w:t xml:space="preserve">, </w:t>
      </w:r>
      <w:r>
        <w:rPr>
          <w:rFonts w:ascii="Consolas" w:hAnsi="Consolas"/>
          <w:color w:val="233648"/>
          <w:sz w:val="16"/>
        </w:rPr>
        <w:t>NUMBER</w:t>
      </w:r>
      <w:r>
        <w:t xml:space="preserve">, </w:t>
      </w:r>
      <w:r>
        <w:rPr>
          <w:rFonts w:ascii="Consolas" w:hAnsi="Consolas"/>
          <w:color w:val="233648"/>
          <w:sz w:val="16"/>
        </w:rPr>
        <w:t>DATE</w:t>
      </w:r>
      <w:r>
        <w:t xml:space="preserve"> y </w:t>
      </w:r>
      <w:r>
        <w:rPr>
          <w:rFonts w:ascii="Consolas" w:hAnsi="Consolas"/>
          <w:color w:val="233648"/>
          <w:sz w:val="16"/>
        </w:rPr>
        <w:t>TIMESTAMP</w:t>
      </w:r>
      <w:r>
        <w:t>, con valores nulos, obligatorios y conversiones inválidas (mensaje sin el valor);</w:t>
      </w:r>
    </w:p>
    <w:p>
      <w:pPr>
        <w:spacing w:after="60"/>
        <w:ind w:left="369" w:hanging="255"/>
      </w:pPr>
      <w:r>
        <w:t xml:space="preserve">5. </w:t>
      </w:r>
      <w:r>
        <w:t xml:space="preserve">cero filas, una fila, muchas filas y truncamiento por </w:t>
      </w:r>
      <w:r>
        <w:rPr>
          <w:rFonts w:ascii="Consolas" w:hAnsi="Consolas"/>
          <w:color w:val="233648"/>
          <w:sz w:val="16"/>
        </w:rPr>
        <w:t>p_max_rows</w:t>
      </w:r>
      <w:r>
        <w:t>;</w:t>
      </w:r>
    </w:p>
    <w:p>
      <w:pPr>
        <w:spacing w:after="60"/>
        <w:ind w:left="369" w:hanging="255"/>
      </w:pPr>
      <w:r>
        <w:t xml:space="preserve">6. </w:t>
      </w:r>
      <w:r>
        <w:t xml:space="preserve">orientación </w:t>
      </w:r>
      <w:r>
        <w:rPr>
          <w:rFonts w:ascii="Consolas" w:hAnsi="Consolas"/>
          <w:color w:val="233648"/>
          <w:sz w:val="16"/>
        </w:rPr>
        <w:t>AUTO</w:t>
      </w:r>
      <w:r>
        <w:t xml:space="preserve">, </w:t>
      </w:r>
      <w:r>
        <w:rPr>
          <w:rFonts w:ascii="Consolas" w:hAnsi="Consolas"/>
          <w:color w:val="233648"/>
          <w:sz w:val="16"/>
        </w:rPr>
        <w:t>PORTRAIT</w:t>
      </w:r>
      <w:r>
        <w:t xml:space="preserve"> y </w:t>
      </w:r>
      <w:r>
        <w:rPr>
          <w:rFonts w:ascii="Consolas" w:hAnsi="Consolas"/>
          <w:color w:val="233648"/>
          <w:sz w:val="16"/>
        </w:rPr>
        <w:t>LANDSCAPE</w:t>
      </w:r>
      <w:r>
        <w:t xml:space="preserve"> en A4;</w:t>
      </w:r>
    </w:p>
    <w:p>
      <w:pPr>
        <w:spacing w:after="60"/>
        <w:ind w:left="369" w:hanging="255"/>
      </w:pPr>
      <w:r>
        <w:t xml:space="preserve">7. </w:t>
      </w:r>
      <w:r>
        <w:t xml:space="preserve">anchos fijos, ponderados, una columna </w:t>
      </w:r>
      <w:r>
        <w:rPr>
          <w:rFonts w:ascii="Consolas" w:hAnsi="Consolas"/>
          <w:color w:val="233648"/>
          <w:sz w:val="16"/>
        </w:rPr>
        <w:t>AUTO</w:t>
      </w:r>
      <w:r>
        <w:t xml:space="preserve"> intermedia y exclusiones;</w:t>
      </w:r>
    </w:p>
    <w:p>
      <w:pPr>
        <w:spacing w:after="60"/>
        <w:ind w:left="369" w:hanging="255"/>
      </w:pPr>
      <w:r>
        <w:t xml:space="preserve">8. </w:t>
      </w:r>
      <w:r>
        <w:t>LOV impreso con el display value;</w:t>
      </w:r>
    </w:p>
    <w:p>
      <w:pPr>
        <w:spacing w:after="60"/>
        <w:ind w:left="369" w:hanging="255"/>
      </w:pPr>
      <w:r>
        <w:t xml:space="preserve">9. </w:t>
      </w:r>
      <w:r>
        <w:t>un usuario sin autorización no puede descargar;</w:t>
      </w:r>
    </w:p>
    <w:p>
      <w:pPr>
        <w:spacing w:after="60"/>
        <w:ind w:left="369" w:hanging="255"/>
      </w:pPr>
      <w:r>
        <w:t xml:space="preserve">10. </w:t>
      </w:r>
      <w:r>
        <w:t xml:space="preserve">un SQL con comentario inicial y salto de línea, y un título con letras acentuadas y </w:t>
      </w:r>
      <w:r>
        <w:rPr>
          <w:rFonts w:ascii="Consolas" w:hAnsi="Consolas"/>
          <w:color w:val="233648"/>
          <w:sz w:val="16"/>
        </w:rPr>
        <w:t>&amp;</w:t>
      </w:r>
      <w:r>
        <w:t>;</w:t>
      </w:r>
    </w:p>
    <w:p>
      <w:pPr>
        <w:spacing w:after="60"/>
        <w:ind w:left="369" w:hanging="255"/>
      </w:pPr>
      <w:r>
        <w:t xml:space="preserve">11. </w:t>
      </w:r>
      <w:r>
        <w:t xml:space="preserve">un Page Item inexistente mapeado en </w:t>
      </w:r>
      <w:r>
        <w:rPr>
          <w:rFonts w:ascii="Consolas" w:hAnsi="Consolas"/>
          <w:color w:val="233648"/>
          <w:sz w:val="16"/>
        </w:rPr>
        <w:t>bindings</w:t>
      </w:r>
      <w:r>
        <w:t>, para observar el comportamiento;</w:t>
      </w:r>
    </w:p>
    <w:p>
      <w:pPr>
        <w:spacing w:after="60"/>
        <w:ind w:left="369" w:hanging="255"/>
      </w:pPr>
      <w:r>
        <w:t xml:space="preserve">12. </w:t>
      </w:r>
      <w:r>
        <w:t xml:space="preserve">título con </w:t>
      </w:r>
      <w:r>
        <w:rPr>
          <w:rFonts w:ascii="Consolas" w:hAnsi="Consolas"/>
          <w:color w:val="233648"/>
          <w:sz w:val="16"/>
        </w:rPr>
        <w:t>{{FIELD:...}}</w:t>
      </w:r>
      <w:r>
        <w:t xml:space="preserve"> y pie con </w:t>
      </w:r>
      <w:r>
        <w:rPr>
          <w:rFonts w:ascii="Consolas" w:hAnsi="Consolas"/>
          <w:color w:val="233648"/>
          <w:sz w:val="16"/>
        </w:rPr>
        <w:t>{{APP_USER}}</w:t>
      </w:r>
      <w:r>
        <w:t xml:space="preserve"> y </w:t>
      </w:r>
      <w:r>
        <w:rPr>
          <w:rFonts w:ascii="Consolas" w:hAnsi="Consolas"/>
          <w:color w:val="233648"/>
          <w:sz w:val="16"/>
        </w:rPr>
        <w:t>{{GENERATED_AT}}</w:t>
      </w:r>
      <w:r>
        <w:t xml:space="preserve"> resueltos en el PDF.</w:t>
      </w:r>
    </w:p>
    <w:p>
      <w:r>
        <w:t xml:space="preserve">Un fallo en los puntos 1 a 3 cambia el veredicto operativo a </w:t>
      </w:r>
      <w:r>
        <w:rPr>
          <w:b/>
        </w:rPr>
        <w:t>NO-GO</w:t>
      </w:r>
      <w:r>
        <w:t>.</w:t>
      </w:r>
    </w:p>
    <w:p>
      <w:pPr>
        <w:pStyle w:val="Heading1"/>
        <w:keepNext/>
      </w:pPr>
      <w:r>
        <w:t>8. Condiciones de empaquetado</w:t>
      </w:r>
    </w:p>
    <w:p>
      <w:r>
        <w:t xml:space="preserve">El ZIP incluye </w:t>
      </w:r>
      <w:r>
        <w:rPr>
          <w:rFonts w:ascii="Consolas" w:hAnsi="Consolas"/>
          <w:color w:val="233648"/>
          <w:sz w:val="16"/>
        </w:rPr>
        <w:t>src</w:t>
      </w:r>
      <w:r>
        <w:t xml:space="preserve">, </w:t>
      </w:r>
      <w:r>
        <w:rPr>
          <w:rFonts w:ascii="Consolas" w:hAnsi="Consolas"/>
          <w:color w:val="233648"/>
          <w:sz w:val="16"/>
        </w:rPr>
        <w:t>tests</w:t>
      </w:r>
      <w:r>
        <w:t xml:space="preserve">, </w:t>
      </w:r>
      <w:r>
        <w:rPr>
          <w:rFonts w:ascii="Consolas" w:hAnsi="Consolas"/>
          <w:color w:val="233648"/>
          <w:sz w:val="16"/>
        </w:rPr>
        <w:t>sql</w:t>
      </w:r>
      <w:r>
        <w:t xml:space="preserve">, </w:t>
      </w:r>
      <w:r>
        <w:rPr>
          <w:rFonts w:ascii="Consolas" w:hAnsi="Consolas"/>
          <w:color w:val="233648"/>
          <w:sz w:val="16"/>
        </w:rPr>
        <w:t>templates</w:t>
      </w:r>
      <w:r>
        <w:t xml:space="preserve">, </w:t>
      </w:r>
      <w:r>
        <w:rPr>
          <w:rFonts w:ascii="Consolas" w:hAnsi="Consolas"/>
          <w:color w:val="233648"/>
          <w:sz w:val="16"/>
        </w:rPr>
        <w:t>proyectos</w:t>
      </w:r>
      <w:r>
        <w:t xml:space="preserve">, </w:t>
      </w:r>
      <w:r>
        <w:rPr>
          <w:rFonts w:ascii="Consolas" w:hAnsi="Consolas"/>
          <w:color w:val="233648"/>
          <w:sz w:val="16"/>
        </w:rPr>
        <w:t>deliverables</w:t>
      </w:r>
      <w:r>
        <w:t xml:space="preserve">, </w:t>
      </w:r>
      <w:r>
        <w:rPr>
          <w:rFonts w:ascii="Consolas" w:hAnsi="Consolas"/>
          <w:color w:val="233648"/>
          <w:sz w:val="16"/>
        </w:rPr>
        <w:t>docs</w:t>
      </w:r>
      <w:r>
        <w:t xml:space="preserve">, </w:t>
      </w:r>
      <w:r>
        <w:rPr>
          <w:rFonts w:ascii="Consolas" w:hAnsi="Consolas"/>
          <w:color w:val="233648"/>
          <w:sz w:val="16"/>
        </w:rPr>
        <w:t>tools</w:t>
      </w:r>
      <w:r>
        <w:t xml:space="preserve">, la documentación Word, </w:t>
      </w:r>
      <w:r>
        <w:rPr>
          <w:rFonts w:ascii="Consolas" w:hAnsi="Consolas"/>
          <w:color w:val="233648"/>
          <w:sz w:val="16"/>
        </w:rPr>
        <w:t>README.docx</w:t>
      </w:r>
      <w:r>
        <w:t xml:space="preserve">, </w:t>
      </w:r>
      <w:r>
        <w:rPr>
          <w:rFonts w:ascii="Consolas" w:hAnsi="Consolas"/>
          <w:color w:val="233648"/>
          <w:sz w:val="16"/>
        </w:rPr>
        <w:t>pyproject.toml</w:t>
      </w:r>
      <w:r>
        <w:t xml:space="preserve">, </w:t>
      </w:r>
      <w:r>
        <w:rPr>
          <w:rFonts w:ascii="Consolas" w:hAnsi="Consolas"/>
          <w:color w:val="233648"/>
          <w:sz w:val="16"/>
        </w:rPr>
        <w:t>requirements.txt</w:t>
      </w:r>
      <w:r>
        <w:t xml:space="preserve">, los lanzadores y el acceso directo. Excluye </w:t>
      </w:r>
      <w:r>
        <w:rPr>
          <w:rFonts w:ascii="Consolas" w:hAnsi="Consolas"/>
          <w:color w:val="233648"/>
          <w:sz w:val="16"/>
        </w:rPr>
        <w:t>build/</w:t>
      </w:r>
      <w:r>
        <w:t xml:space="preserve">, </w:t>
      </w:r>
      <w:r>
        <w:rPr>
          <w:rFonts w:ascii="Consolas" w:hAnsi="Consolas"/>
          <w:color w:val="233648"/>
          <w:sz w:val="16"/>
        </w:rPr>
        <w:t>qa/</w:t>
      </w:r>
      <w:r>
        <w:t xml:space="preserve">, </w:t>
      </w:r>
      <w:r>
        <w:rPr>
          <w:rFonts w:ascii="Consolas" w:hAnsi="Consolas"/>
          <w:color w:val="233648"/>
          <w:sz w:val="16"/>
        </w:rPr>
        <w:t>.venv/</w:t>
      </w:r>
      <w:r>
        <w:t xml:space="preserve">, </w:t>
      </w:r>
      <w:r>
        <w:rPr>
          <w:rFonts w:ascii="Consolas" w:hAnsi="Consolas"/>
          <w:color w:val="233648"/>
          <w:sz w:val="16"/>
        </w:rPr>
        <w:t>__pycache__</w:t>
      </w:r>
      <w:r>
        <w:t xml:space="preserve">, </w:t>
      </w:r>
      <w:r>
        <w:rPr>
          <w:rFonts w:ascii="Consolas" w:hAnsi="Consolas"/>
          <w:color w:val="233648"/>
          <w:sz w:val="16"/>
        </w:rPr>
        <w:t>.pyc</w:t>
      </w:r>
      <w:r>
        <w:t xml:space="preserve">, </w:t>
      </w:r>
      <w:r>
        <w:rPr>
          <w:rFonts w:ascii="Consolas" w:hAnsi="Consolas"/>
          <w:color w:val="233648"/>
          <w:sz w:val="16"/>
        </w:rPr>
        <w:t>.egg-info</w:t>
      </w:r>
      <w:r>
        <w:t xml:space="preserve"> y las salidas compiladas locales.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 liberación</dc:title>
  <dc:subject>APEX Word Report Compiler 1.0.0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