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Ejemplo ejecutable ENTIDADES</w:t>
      </w:r>
    </w:p>
    <w:p>
      <w:pPr>
        <w:spacing w:after="360"/>
        <w:jc w:val="center"/>
      </w:pPr>
      <w:r>
        <w:rPr>
          <w:rFonts w:ascii="Aptos" w:hAnsi="Aptos"/>
          <w:color w:val="4A5563"/>
          <w:sz w:val="22"/>
        </w:rPr>
        <w:t>Proyecto completo de referencia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283848"/>
          </w:tcPr>
          <w:p/>
        </w:tc>
      </w:tr>
    </w:tbl>
    <w:p/>
    <w:p>
      <w:r>
        <w:t xml:space="preserve">La carpeta </w:t>
      </w:r>
      <w:r>
        <w:rPr>
          <w:rFonts w:ascii="Consolas" w:hAnsi="Consolas"/>
          <w:color w:val="233648"/>
          <w:sz w:val="16"/>
        </w:rPr>
        <w:t>proyectos/entidades/</w:t>
      </w:r>
      <w:r>
        <w:t xml:space="preserve"> contiene un proyecto completo que el compilador puede validar y compilar sin mover archivos. Sigue la misma organización que tendrá cualquier reporte nuevo; es el único proyecto que además incluye esta documentación (</w:t>
      </w:r>
      <w:r>
        <w:rPr>
          <w:rFonts w:ascii="Consolas" w:hAnsi="Consolas"/>
          <w:color w:val="233648"/>
          <w:sz w:val="16"/>
        </w:rPr>
        <w:t>README.docx</w:t>
      </w:r>
      <w:r>
        <w:t>). Los nombres de tablas son ilustrativos; solo la ejecución posterior en APEX exige sustituirlos por objetos que existan en el esquema de la aplicación.</w:t>
      </w:r>
    </w:p>
    <w:p>
      <w:pPr>
        <w:pStyle w:val="Heading1"/>
        <w:keepNext/>
      </w:pPr>
      <w:r>
        <w:t>Archivos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5F7F9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Lines/>
              <w:spacing w:after="0"/>
            </w:pPr>
            <w:r>
              <w:rPr>
                <w:rFonts w:ascii="Consolas" w:hAnsi="Consolas"/>
                <w:color w:val="233648"/>
                <w:sz w:val="16"/>
              </w:rPr>
              <w:t>proyectos/entidades/</w:t>
            </w:r>
            <w:r>
              <w:br/>
            </w:r>
            <w:r>
              <w:rPr>
                <w:rFonts w:ascii="Consolas" w:hAnsi="Consolas"/>
                <w:color w:val="233648"/>
                <w:sz w:val="16"/>
              </w:rPr>
              <w:t xml:space="preserve">  entidades.docx             &lt;- plantilla Word (A4 horizontal, seis columnas, cinco tipos de marcador)</w:t>
            </w:r>
            <w:r>
              <w:br/>
            </w:r>
            <w:r>
              <w:rPr>
                <w:rFonts w:ascii="Consolas" w:hAnsi="Consolas"/>
                <w:color w:val="233648"/>
                <w:sz w:val="16"/>
              </w:rPr>
              <w:t xml:space="preserve">  apex_process.sql           &lt;- lo único que se pega en APEX (generado al compilar)</w:t>
            </w:r>
            <w:r>
              <w:br/>
            </w:r>
            <w:r>
              <w:rPr>
                <w:rFonts w:ascii="Consolas" w:hAnsi="Consolas"/>
                <w:color w:val="233648"/>
                <w:sz w:val="16"/>
              </w:rPr>
              <w:t xml:space="preserve">  README.docx                &lt;- esta documentación (solo en el proyecto de ejemplo)</w:t>
            </w:r>
            <w:r>
              <w:br/>
            </w:r>
            <w:r>
              <w:rPr>
                <w:rFonts w:ascii="Consolas" w:hAnsi="Consolas"/>
                <w:color w:val="233648"/>
                <w:sz w:val="16"/>
              </w:rPr>
              <w:t xml:space="preserve">  generado/                  &lt;- material de trabajo que no se sube a APEX</w:t>
            </w:r>
            <w:r>
              <w:br/>
            </w:r>
            <w:r>
              <w:rPr>
                <w:rFonts w:ascii="Consolas" w:hAnsi="Consolas"/>
                <w:color w:val="233648"/>
                <w:sz w:val="16"/>
              </w:rPr>
              <w:t xml:space="preserve">    entidades.sql            &lt;- consulta fuente; su texto queda incrustado en apex_process.sql</w:t>
            </w:r>
            <w:r>
              <w:br/>
            </w:r>
            <w:r>
              <w:rPr>
                <w:rFonts w:ascii="Consolas" w:hAnsi="Consolas"/>
                <w:color w:val="233648"/>
                <w:sz w:val="16"/>
              </w:rPr>
              <w:t xml:space="preserve">    entidades.report.json    &lt;- binds, campos, anchos y estilos</w:t>
            </w:r>
            <w:r>
              <w:br/>
            </w:r>
            <w:r>
              <w:rPr>
                <w:rFonts w:ascii="Consolas" w:hAnsi="Consolas"/>
                <w:color w:val="233648"/>
                <w:sz w:val="16"/>
              </w:rPr>
              <w:t xml:space="preserve">    template.json            &lt;- definición compilada (automática)</w:t>
            </w:r>
            <w:r>
              <w:br/>
            </w:r>
            <w:r>
              <w:rPr>
                <w:rFonts w:ascii="Consolas" w:hAnsi="Consolas"/>
                <w:color w:val="233648"/>
                <w:sz w:val="16"/>
              </w:rPr>
              <w:t xml:space="preserve">    validation.json          &lt;- diagnósticos de la compilación (automático)</w:t>
            </w:r>
          </w:p>
        </w:tc>
      </w:tr>
    </w:tbl>
    <w:p>
      <w:r>
        <w:rPr>
          <w:rFonts w:ascii="Consolas" w:hAnsi="Consolas"/>
          <w:color w:val="233648"/>
          <w:sz w:val="16"/>
        </w:rPr>
        <w:t>entidades.sql</w:t>
      </w:r>
      <w:r>
        <w:t xml:space="preserve"> no se sube a APEX como archivo: al compilar, su consulta se copia dentro de </w:t>
      </w:r>
      <w:r>
        <w:rPr>
          <w:rFonts w:ascii="Consolas" w:hAnsi="Consolas"/>
          <w:color w:val="233648"/>
          <w:sz w:val="16"/>
        </w:rPr>
        <w:t>apex_process.sql</w:t>
      </w:r>
      <w:r>
        <w:t xml:space="preserve"> (</w:t>
      </w:r>
      <w:r>
        <w:rPr>
          <w:rFonts w:ascii="Consolas" w:hAnsi="Consolas"/>
          <w:color w:val="233648"/>
          <w:sz w:val="16"/>
        </w:rPr>
        <w:t>l_sql clob := to_clob(q'~select …~')</w:t>
      </w:r>
      <w:r>
        <w:t xml:space="preserve">). Por eso vive en </w:t>
      </w:r>
      <w:r>
        <w:rPr>
          <w:rFonts w:ascii="Consolas" w:hAnsi="Consolas"/>
          <w:color w:val="233648"/>
          <w:sz w:val="16"/>
        </w:rPr>
        <w:t>generado/</w:t>
      </w:r>
      <w:r>
        <w:t xml:space="preserve"> junto con el resto del material de trabajo.</w:t>
      </w:r>
    </w:p>
    <w:p>
      <w:r>
        <w:t xml:space="preserve">El DOCX se utiliza solamente durante la compilación local. En APEX se instala el paquete una vez y se pega el bloque </w:t>
      </w:r>
      <w:r>
        <w:rPr>
          <w:rFonts w:ascii="Consolas" w:hAnsi="Consolas"/>
          <w:color w:val="233648"/>
          <w:sz w:val="16"/>
        </w:rPr>
        <w:t>apex_process.sql</w:t>
      </w:r>
      <w:r>
        <w:t>. Las tablas del SQL (</w:t>
      </w:r>
      <w:r>
        <w:rPr>
          <w:rFonts w:ascii="Consolas" w:hAnsi="Consolas"/>
          <w:color w:val="233648"/>
          <w:sz w:val="16"/>
        </w:rPr>
        <w:t>entidad</w:t>
      </w:r>
      <w:r>
        <w:t xml:space="preserve">, </w:t>
      </w:r>
      <w:r>
        <w:rPr>
          <w:rFonts w:ascii="Consolas" w:hAnsi="Consolas"/>
          <w:color w:val="233648"/>
          <w:sz w:val="16"/>
        </w:rPr>
        <w:t>mae_departamento</w:t>
      </w:r>
      <w:r>
        <w:t xml:space="preserve">, </w:t>
      </w:r>
      <w:r>
        <w:rPr>
          <w:rFonts w:ascii="Consolas" w:hAnsi="Consolas"/>
          <w:color w:val="233648"/>
          <w:sz w:val="16"/>
        </w:rPr>
        <w:t>mae_distrito</w:t>
      </w:r>
      <w:r>
        <w:t>) son ilustrativas: el proceso solo funcionará en APEX después de adaptar el SQL a objetos reales y recompilar.</w:t>
      </w:r>
    </w:p>
    <w:p>
      <w:pPr>
        <w:pStyle w:val="Heading1"/>
        <w:keepNext/>
      </w:pPr>
      <w:r>
        <w:t>Contrato de la plantilla</w:t>
      </w:r>
    </w:p>
    <w:p>
      <w:r>
        <w:t>El párrafo de título contiene el título integrado y un campo escalar, separados por un salto de línea manual (Mayús+Intro) dentro del mismo párrafo: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5F7F9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Lines/>
              <w:spacing w:after="0"/>
            </w:pPr>
            <w:r>
              <w:rPr>
                <w:rFonts w:ascii="Consolas" w:hAnsi="Consolas"/>
                <w:color w:val="233648"/>
                <w:sz w:val="16"/>
              </w:rPr>
              <w:t>{{REPORT_TITLE}}            &lt;- se reemplaza por "title": "Relación de entidades"</w:t>
            </w:r>
            <w:r>
              <w:br/>
            </w:r>
            <w:r>
              <w:rPr>
                <w:rFonts w:ascii="Consolas" w:hAnsi="Consolas"/>
                <w:color w:val="233648"/>
                <w:sz w:val="16"/>
              </w:rPr>
              <w:t>Unidad: {{FIELD:UNIDAD}}    &lt;- se reemplaza por el campo UNIDAD de "fields"</w:t>
            </w:r>
          </w:p>
        </w:tc>
      </w:tr>
    </w:tbl>
    <w:p>
      <w:r>
        <w:t>El pie de página incluye los valores integrados: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5F7F9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Lines/>
              <w:spacing w:after="0"/>
            </w:pPr>
            <w:r>
              <w:rPr>
                <w:rFonts w:ascii="Consolas" w:hAnsi="Consolas"/>
                <w:color w:val="233648"/>
                <w:sz w:val="16"/>
              </w:rPr>
              <w:t>Usuario: {{APP_USER}} | Fecha: {{GENERATED_AT}}   &lt;- usuario APEX y fecha DD/MM/YYYY HH24:MI</w:t>
            </w:r>
          </w:p>
        </w:tc>
      </w:tr>
    </w:tbl>
    <w:p>
      <w:r>
        <w:t xml:space="preserve">La tabla contiene una fila de etiquetas y otra de marcadores. Los seis aliases coinciden con el </w:t>
      </w:r>
      <w:r>
        <w:rPr>
          <w:rFonts w:ascii="Consolas" w:hAnsi="Consolas"/>
          <w:color w:val="233648"/>
          <w:sz w:val="16"/>
        </w:rPr>
        <w:t>SELECT</w:t>
      </w:r>
      <w:r>
        <w:t>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 w:val="true"/>
        </w:trPr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83848"/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Encabezado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83848"/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Marcador Word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83848"/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Alias SQL</w:t>
            </w:r>
          </w:p>
        </w:tc>
      </w:tr>
      <w:tr>
        <w:trPr>
          <w:cantSplit w:val="true"/>
        </w:trPr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keepNext/>
              <w:spacing w:after="0"/>
            </w:pPr>
            <w:r>
              <w:rPr>
                <w:rFonts w:ascii="Aptos" w:hAnsi="Aptos"/>
                <w:sz w:val="16"/>
              </w:rPr>
              <w:t>DNI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keepNext/>
              <w:spacing w:after="0"/>
            </w:pPr>
            <w:r>
              <w:rPr>
                <w:rFonts w:ascii="Aptos" w:hAnsi="Aptos"/>
                <w:sz w:val="16"/>
              </w:rPr>
              <w:t>{{COLUMN:VDNI}}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keepNext/>
              <w:spacing w:after="0"/>
            </w:pPr>
            <w:r>
              <w:rPr>
                <w:rFonts w:ascii="Aptos" w:hAnsi="Aptos"/>
                <w:sz w:val="16"/>
              </w:rPr>
              <w:t>VDNI</w:t>
            </w:r>
          </w:p>
        </w:tc>
      </w:tr>
      <w:tr>
        <w:trPr>
          <w:cantSplit w:val="true"/>
        </w:trPr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9"/>
          </w:tcPr>
          <w:p>
            <w:pPr>
              <w:keepNext/>
              <w:spacing w:after="0"/>
            </w:pPr>
            <w:r>
              <w:rPr>
                <w:rFonts w:ascii="Aptos" w:hAnsi="Aptos"/>
                <w:sz w:val="16"/>
              </w:rPr>
              <w:t>Nombre completo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9"/>
          </w:tcPr>
          <w:p>
            <w:pPr>
              <w:keepNext/>
              <w:spacing w:after="0"/>
            </w:pPr>
            <w:r>
              <w:rPr>
                <w:rFonts w:ascii="Aptos" w:hAnsi="Aptos"/>
                <w:sz w:val="16"/>
              </w:rPr>
              <w:t>{{COLUMN:VNOM}}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9"/>
          </w:tcPr>
          <w:p>
            <w:pPr>
              <w:keepNext/>
              <w:spacing w:after="0"/>
            </w:pPr>
            <w:r>
              <w:rPr>
                <w:rFonts w:ascii="Aptos" w:hAnsi="Aptos"/>
                <w:sz w:val="16"/>
              </w:rPr>
              <w:t>VNOM</w:t>
            </w:r>
          </w:p>
        </w:tc>
      </w:tr>
      <w:tr>
        <w:trPr>
          <w:cantSplit w:val="true"/>
        </w:trPr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keepNext/>
              <w:spacing w:after="0"/>
            </w:pPr>
            <w:r>
              <w:rPr>
                <w:rFonts w:ascii="Aptos" w:hAnsi="Aptos"/>
                <w:sz w:val="16"/>
              </w:rPr>
              <w:t>Dirección actual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keepNext/>
              <w:spacing w:after="0"/>
            </w:pPr>
            <w:r>
              <w:rPr>
                <w:rFonts w:ascii="Aptos" w:hAnsi="Aptos"/>
                <w:sz w:val="16"/>
              </w:rPr>
              <w:t>{{COLUMN:VDIREC_ACTUAL}}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keepNext/>
              <w:spacing w:after="0"/>
            </w:pPr>
            <w:r>
              <w:rPr>
                <w:rFonts w:ascii="Aptos" w:hAnsi="Aptos"/>
                <w:sz w:val="16"/>
              </w:rPr>
              <w:t>VDIREC_ACTUAL</w:t>
            </w:r>
          </w:p>
        </w:tc>
      </w:tr>
      <w:tr>
        <w:trPr>
          <w:cantSplit w:val="true"/>
        </w:trPr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9"/>
          </w:tcPr>
          <w:p>
            <w:pPr>
              <w:keepNext/>
              <w:spacing w:after="0"/>
            </w:pPr>
            <w:r>
              <w:rPr>
                <w:rFonts w:ascii="Aptos" w:hAnsi="Aptos"/>
                <w:sz w:val="16"/>
              </w:rPr>
              <w:t>Departamento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9"/>
          </w:tcPr>
          <w:p>
            <w:pPr>
              <w:keepNext/>
              <w:spacing w:after="0"/>
            </w:pPr>
            <w:r>
              <w:rPr>
                <w:rFonts w:ascii="Aptos" w:hAnsi="Aptos"/>
                <w:sz w:val="16"/>
              </w:rPr>
              <w:t>{{COLUMN:DEPARTAMENTO}}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9"/>
          </w:tcPr>
          <w:p>
            <w:pPr>
              <w:keepNext/>
              <w:spacing w:after="0"/>
            </w:pPr>
            <w:r>
              <w:rPr>
                <w:rFonts w:ascii="Aptos" w:hAnsi="Aptos"/>
                <w:sz w:val="16"/>
              </w:rPr>
              <w:t>DEPARTAMENTO</w:t>
            </w:r>
          </w:p>
        </w:tc>
      </w:tr>
      <w:tr>
        <w:trPr>
          <w:cantSplit w:val="true"/>
        </w:trPr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keepNext/>
              <w:spacing w:after="0"/>
            </w:pPr>
            <w:r>
              <w:rPr>
                <w:rFonts w:ascii="Aptos" w:hAnsi="Aptos"/>
                <w:sz w:val="16"/>
              </w:rPr>
              <w:t>Distrito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keepNext/>
              <w:spacing w:after="0"/>
            </w:pPr>
            <w:r>
              <w:rPr>
                <w:rFonts w:ascii="Aptos" w:hAnsi="Aptos"/>
                <w:sz w:val="16"/>
              </w:rPr>
              <w:t>{{COLUMN:DISTRITO}}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keepNext/>
              <w:spacing w:after="0"/>
            </w:pPr>
            <w:r>
              <w:rPr>
                <w:rFonts w:ascii="Aptos" w:hAnsi="Aptos"/>
                <w:sz w:val="16"/>
              </w:rPr>
              <w:t>DISTRITO</w:t>
            </w:r>
          </w:p>
        </w:tc>
      </w:tr>
      <w:tr>
        <w:trPr>
          <w:cantSplit w:val="true"/>
        </w:trPr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9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Teléfono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9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{{COLUMN:VNRO_TLF1}}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9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VNRO_TLF1</w:t>
            </w:r>
          </w:p>
        </w:tc>
      </w:tr>
    </w:tbl>
    <w:p>
      <w:pPr>
        <w:spacing w:after="20"/>
      </w:pPr>
    </w:p>
    <w:p>
      <w:r>
        <w:t xml:space="preserve">El campo </w:t>
      </w:r>
      <w:r>
        <w:rPr>
          <w:rFonts w:ascii="Consolas" w:hAnsi="Consolas"/>
          <w:color w:val="233648"/>
          <w:sz w:val="16"/>
        </w:rPr>
        <w:t>{{FIELD:UNIDAD}}</w:t>
      </w:r>
      <w:r>
        <w:t xml:space="preserve"> se declara en </w:t>
      </w:r>
      <w:r>
        <w:rPr>
          <w:rFonts w:ascii="Consolas" w:hAnsi="Consolas"/>
          <w:color w:val="233648"/>
          <w:sz w:val="16"/>
        </w:rPr>
        <w:t>fields</w:t>
      </w:r>
      <w:r>
        <w:t xml:space="preserve"> como constante: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5F7F9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Lines/>
              <w:spacing w:after="0"/>
            </w:pPr>
            <w:r>
              <w:rPr>
                <w:rFonts w:ascii="Consolas" w:hAnsi="Consolas"/>
                <w:color w:val="233648"/>
                <w:sz w:val="16"/>
              </w:rPr>
              <w:t>"fields": [</w:t>
            </w:r>
            <w:r>
              <w:br/>
            </w:r>
            <w:r>
              <w:rPr>
                <w:rFonts w:ascii="Consolas" w:hAnsi="Consolas"/>
                <w:color w:val="233648"/>
                <w:sz w:val="16"/>
              </w:rPr>
              <w:t xml:space="preserve">  {"name": "UNIDAD", "source": "CONSTANT", "value": "Oficina de Informática"}</w:t>
            </w:r>
            <w:r>
              <w:br/>
            </w:r>
            <w:r>
              <w:rPr>
                <w:rFonts w:ascii="Consolas" w:hAnsi="Consolas"/>
                <w:color w:val="233648"/>
                <w:sz w:val="16"/>
              </w:rPr>
              <w:t>]</w:t>
            </w:r>
          </w:p>
        </w:tc>
      </w:tr>
    </w:tbl>
    <w:p>
      <w:r>
        <w:t xml:space="preserve">Para que el valor provenga de la página en lugar de una constante, cámbielo a </w:t>
      </w:r>
      <w:r>
        <w:rPr>
          <w:rFonts w:ascii="Consolas" w:hAnsi="Consolas"/>
          <w:color w:val="233648"/>
          <w:sz w:val="16"/>
        </w:rPr>
        <w:t>{"name": "UNIDAD", "source": "ITEM", "item": "P42_UNIDAD", "type": "VARCHAR2"}</w:t>
      </w:r>
      <w:r>
        <w:t xml:space="preserve"> y cree ese Page Item.</w:t>
      </w:r>
    </w:p>
    <w:p>
      <w:pPr>
        <w:pStyle w:val="Heading1"/>
        <w:keepNext/>
      </w:pPr>
      <w:r>
        <w:t>Binds lógicos y Page Items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 w:val="true"/>
        </w:trPr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83848"/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Bind SQL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83848"/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Page Item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83848"/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Tipo</w:t>
            </w:r>
          </w:p>
        </w:tc>
      </w:tr>
      <w:tr>
        <w:trPr>
          <w:cantSplit w:val="true"/>
        </w:trPr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keepNext/>
              <w:spacing w:after="0"/>
            </w:pPr>
            <w:r>
              <w:rPr>
                <w:rFonts w:ascii="Aptos" w:hAnsi="Aptos"/>
                <w:sz w:val="16"/>
              </w:rPr>
              <w:t>:DNI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keepNext/>
              <w:spacing w:after="0"/>
            </w:pPr>
            <w:r>
              <w:rPr>
                <w:rFonts w:ascii="Aptos" w:hAnsi="Aptos"/>
                <w:sz w:val="16"/>
              </w:rPr>
              <w:t>P42_DNI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keepNext/>
              <w:spacing w:after="0"/>
            </w:pPr>
            <w:r>
              <w:rPr>
                <w:rFonts w:ascii="Aptos" w:hAnsi="Aptos"/>
                <w:sz w:val="16"/>
              </w:rPr>
              <w:t>VARCHAR2</w:t>
            </w:r>
          </w:p>
        </w:tc>
      </w:tr>
      <w:tr>
        <w:trPr>
          <w:cantSplit w:val="true"/>
        </w:trPr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9"/>
          </w:tcPr>
          <w:p>
            <w:pPr>
              <w:keepNext/>
              <w:spacing w:after="0"/>
            </w:pPr>
            <w:r>
              <w:rPr>
                <w:rFonts w:ascii="Aptos" w:hAnsi="Aptos"/>
                <w:sz w:val="16"/>
              </w:rPr>
              <w:t>:DEPARTAMENTO_ID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9"/>
          </w:tcPr>
          <w:p>
            <w:pPr>
              <w:keepNext/>
              <w:spacing w:after="0"/>
            </w:pPr>
            <w:r>
              <w:rPr>
                <w:rFonts w:ascii="Aptos" w:hAnsi="Aptos"/>
                <w:sz w:val="16"/>
              </w:rPr>
              <w:t>P42_DEPARTAMENTO_ID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9"/>
          </w:tcPr>
          <w:p>
            <w:pPr>
              <w:keepNext/>
              <w:spacing w:after="0"/>
            </w:pPr>
            <w:r>
              <w:rPr>
                <w:rFonts w:ascii="Aptos" w:hAnsi="Aptos"/>
                <w:sz w:val="16"/>
              </w:rPr>
              <w:t>NUMBER</w:t>
            </w:r>
          </w:p>
        </w:tc>
      </w:tr>
      <w:tr>
        <w:trPr>
          <w:cantSplit w:val="true"/>
        </w:trPr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:FECHA_DESDE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P42_FECHA_DESDE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DATE, máscara DD/MM/YYYY</w:t>
            </w:r>
          </w:p>
        </w:tc>
      </w:tr>
    </w:tbl>
    <w:p>
      <w:pPr>
        <w:spacing w:after="20"/>
      </w:pPr>
    </w:p>
    <w:p>
      <w:r>
        <w:t xml:space="preserve">Cada entrada de </w:t>
      </w:r>
      <w:r>
        <w:rPr>
          <w:rFonts w:ascii="Consolas" w:hAnsi="Consolas"/>
          <w:color w:val="233648"/>
          <w:sz w:val="16"/>
        </w:rPr>
        <w:t>bindings</w:t>
      </w:r>
      <w:r>
        <w:t xml:space="preserve"> relaciona un </w:t>
      </w:r>
      <w:r>
        <w:rPr>
          <w:rFonts w:ascii="Consolas" w:hAnsi="Consolas"/>
          <w:color w:val="233648"/>
          <w:sz w:val="16"/>
        </w:rPr>
        <w:t>:BIND</w:t>
      </w:r>
      <w:r>
        <w:t xml:space="preserve"> del SQL con un Page Item mediante las claves </w:t>
      </w:r>
      <w:r>
        <w:rPr>
          <w:rFonts w:ascii="Consolas" w:hAnsi="Consolas"/>
          <w:color w:val="233648"/>
          <w:sz w:val="16"/>
        </w:rPr>
        <w:t>bind</w:t>
      </w:r>
      <w:r>
        <w:t xml:space="preserve"> e </w:t>
      </w:r>
      <w:r>
        <w:rPr>
          <w:rFonts w:ascii="Consolas" w:hAnsi="Consolas"/>
          <w:color w:val="233648"/>
          <w:sz w:val="16"/>
        </w:rPr>
        <w:t>item</w:t>
      </w:r>
      <w:r>
        <w:t xml:space="preserve">. El proceso generado no concatena estos valores en el SQL: </w:t>
      </w:r>
      <w:r>
        <w:rPr>
          <w:rFonts w:ascii="Consolas" w:hAnsi="Consolas"/>
          <w:color w:val="233648"/>
          <w:sz w:val="16"/>
        </w:rPr>
        <w:t>PKG_CORPORATE_REPORTS</w:t>
      </w:r>
      <w:r>
        <w:t xml:space="preserve"> los obtiene del estado de sesión y los añade como parámetros tipados de </w:t>
      </w:r>
      <w:r>
        <w:rPr>
          <w:rFonts w:ascii="Consolas" w:hAnsi="Consolas"/>
          <w:color w:val="233648"/>
          <w:sz w:val="16"/>
        </w:rPr>
        <w:t>APEX_EXEC</w:t>
      </w:r>
      <w:r>
        <w:t>.</w:t>
      </w:r>
    </w:p>
    <w:p>
      <w:r>
        <w:t xml:space="preserve">Antes de la descarga, los tres Page Items deben estar en el estado de sesión. El botón de descarga usa </w:t>
      </w:r>
      <w:r>
        <w:rPr>
          <w:i/>
        </w:rPr>
        <w:t>Submit Page</w:t>
      </w:r>
      <w:r>
        <w:t>, que los envía automáticamente; no use una Dynamic Action Ajax para descargar.</w:t>
      </w:r>
    </w:p>
    <w:p>
      <w:r>
        <w:t xml:space="preserve">El proyecto declara además </w:t>
      </w:r>
      <w:r>
        <w:rPr>
          <w:rFonts w:ascii="Consolas" w:hAnsi="Consolas"/>
          <w:color w:val="233648"/>
          <w:sz w:val="16"/>
        </w:rPr>
        <w:t>P0_REPORT_FORMAT</w:t>
      </w:r>
      <w:r>
        <w:t xml:space="preserve"> y </w:t>
      </w:r>
      <w:r>
        <w:rPr>
          <w:rFonts w:ascii="Consolas" w:hAnsi="Consolas"/>
          <w:color w:val="233648"/>
          <w:sz w:val="16"/>
        </w:rPr>
        <w:t>P0_REPORT_ORIENTATION</w:t>
      </w:r>
      <w:r>
        <w:t xml:space="preserve"> en la página global (página 0), con valores de retorno </w:t>
      </w:r>
      <w:r>
        <w:rPr>
          <w:rFonts w:ascii="Consolas" w:hAnsi="Consolas"/>
          <w:color w:val="233648"/>
          <w:sz w:val="16"/>
        </w:rPr>
        <w:t>PDF</w:t>
      </w:r>
      <w:r>
        <w:t>/</w:t>
      </w:r>
      <w:r>
        <w:rPr>
          <w:rFonts w:ascii="Consolas" w:hAnsi="Consolas"/>
          <w:color w:val="233648"/>
          <w:sz w:val="16"/>
        </w:rPr>
        <w:t>XLSX</w:t>
      </w:r>
      <w:r>
        <w:t xml:space="preserve"> y </w:t>
      </w:r>
      <w:r>
        <w:rPr>
          <w:rFonts w:ascii="Consolas" w:hAnsi="Consolas"/>
          <w:color w:val="233648"/>
          <w:sz w:val="16"/>
        </w:rPr>
        <w:t>AUTO</w:t>
      </w:r>
      <w:r>
        <w:t>/</w:t>
      </w:r>
      <w:r>
        <w:rPr>
          <w:rFonts w:ascii="Consolas" w:hAnsi="Consolas"/>
          <w:color w:val="233648"/>
          <w:sz w:val="16"/>
        </w:rPr>
        <w:t>PORTRAIT</w:t>
      </w:r>
      <w:r>
        <w:t>/</w:t>
      </w:r>
      <w:r>
        <w:rPr>
          <w:rFonts w:ascii="Consolas" w:hAnsi="Consolas"/>
          <w:color w:val="233648"/>
          <w:sz w:val="16"/>
        </w:rPr>
        <w:t>LANDSCAPE</w:t>
      </w:r>
      <w:r>
        <w:t xml:space="preserve">. Si no desea que el usuario elija, elimine </w:t>
      </w:r>
      <w:r>
        <w:rPr>
          <w:rFonts w:ascii="Consolas" w:hAnsi="Consolas"/>
          <w:color w:val="233648"/>
          <w:sz w:val="16"/>
        </w:rPr>
        <w:t>format_item</w:t>
      </w:r>
      <w:r>
        <w:t xml:space="preserve"> y </w:t>
      </w:r>
      <w:r>
        <w:rPr>
          <w:rFonts w:ascii="Consolas" w:hAnsi="Consolas"/>
          <w:color w:val="233648"/>
          <w:sz w:val="16"/>
        </w:rPr>
        <w:t>orientation_item</w:t>
      </w:r>
      <w:r>
        <w:t xml:space="preserve"> del proyecto y recompile.</w:t>
      </w:r>
    </w:p>
    <w:p>
      <w:pPr>
        <w:pStyle w:val="Heading1"/>
        <w:keepNext/>
      </w:pPr>
      <w:r>
        <w:t>LOV: imprimir display, no return</w:t>
      </w:r>
    </w:p>
    <w:p>
      <w:r>
        <w:rPr>
          <w:rFonts w:ascii="Consolas" w:hAnsi="Consolas"/>
          <w:color w:val="233648"/>
          <w:sz w:val="16"/>
        </w:rPr>
        <w:t>P42_DEPARTAMENTO_ID</w:t>
      </w:r>
      <w:r>
        <w:t xml:space="preserve"> puede almacenar el identificador numérico del LOV. Ese valor sirve solo como filtro. El reporte imprime </w:t>
      </w:r>
      <w:r>
        <w:rPr>
          <w:rFonts w:ascii="Consolas" w:hAnsi="Consolas"/>
          <w:color w:val="233648"/>
          <w:sz w:val="16"/>
        </w:rPr>
        <w:t>d.descripcion AS departamento</w:t>
      </w:r>
      <w:r>
        <w:t>, por lo que el PDF recibe el texto visible y no el ID.</w:t>
      </w:r>
    </w:p>
    <w:p>
      <w:r>
        <w:t xml:space="preserve">La misma regla debe aplicarse a cualquier otro LOV: la consulta del reporte debe hacer el </w:t>
      </w:r>
      <w:r>
        <w:rPr>
          <w:rFonts w:ascii="Consolas" w:hAnsi="Consolas"/>
          <w:color w:val="233648"/>
          <w:sz w:val="16"/>
        </w:rPr>
        <w:t>JOIN</w:t>
      </w:r>
      <w:r>
        <w:t xml:space="preserve"> correspondiente y seleccionar el display con el alias declarado en Word.</w:t>
      </w:r>
    </w:p>
    <w:p>
      <w:pPr>
        <w:pStyle w:val="Heading1"/>
        <w:keepNext/>
      </w:pPr>
      <w:r>
        <w:t>Anchos y exclusiones</w:t>
      </w:r>
    </w:p>
    <w:p>
      <w:pPr>
        <w:spacing w:after="60"/>
        <w:ind w:left="369" w:hanging="255"/>
      </w:pPr>
      <w:r>
        <w:t xml:space="preserve">• </w:t>
      </w:r>
      <w:r>
        <w:rPr>
          <w:rFonts w:ascii="Consolas" w:hAnsi="Consolas"/>
          <w:color w:val="233648"/>
          <w:sz w:val="16"/>
        </w:rPr>
        <w:t>VDNI</w:t>
      </w:r>
      <w:r>
        <w:t xml:space="preserve"> y </w:t>
      </w:r>
      <w:r>
        <w:rPr>
          <w:rFonts w:ascii="Consolas" w:hAnsi="Consolas"/>
          <w:color w:val="233648"/>
          <w:sz w:val="16"/>
        </w:rPr>
        <w:t>VNRO_TLF1</w:t>
      </w:r>
      <w:r>
        <w:t xml:space="preserve"> usan </w:t>
      </w:r>
      <w:r>
        <w:rPr>
          <w:rFonts w:ascii="Consolas" w:hAnsi="Consolas"/>
          <w:color w:val="233648"/>
          <w:sz w:val="16"/>
        </w:rPr>
        <w:t>FIXED_PERCENT</w:t>
      </w:r>
      <w:r>
        <w:t>.</w:t>
      </w:r>
    </w:p>
    <w:p>
      <w:pPr>
        <w:spacing w:after="60"/>
        <w:ind w:left="369" w:hanging="255"/>
      </w:pPr>
      <w:r>
        <w:t xml:space="preserve">• </w:t>
      </w:r>
      <w:r>
        <w:rPr>
          <w:rFonts w:ascii="Consolas" w:hAnsi="Consolas"/>
          <w:color w:val="233648"/>
          <w:sz w:val="16"/>
        </w:rPr>
        <w:t>VNOM</w:t>
      </w:r>
      <w:r>
        <w:t xml:space="preserve">, </w:t>
      </w:r>
      <w:r>
        <w:rPr>
          <w:rFonts w:ascii="Consolas" w:hAnsi="Consolas"/>
          <w:color w:val="233648"/>
          <w:sz w:val="16"/>
        </w:rPr>
        <w:t>DEPARTAMENTO</w:t>
      </w:r>
      <w:r>
        <w:t xml:space="preserve"> y </w:t>
      </w:r>
      <w:r>
        <w:rPr>
          <w:rFonts w:ascii="Consolas" w:hAnsi="Consolas"/>
          <w:color w:val="233648"/>
          <w:sz w:val="16"/>
        </w:rPr>
        <w:t>DISTRITO</w:t>
      </w:r>
      <w:r>
        <w:t xml:space="preserve"> distribuyen el espacio restante mediante </w:t>
      </w:r>
      <w:r>
        <w:rPr>
          <w:rFonts w:ascii="Consolas" w:hAnsi="Consolas"/>
          <w:color w:val="233648"/>
          <w:sz w:val="16"/>
        </w:rPr>
        <w:t>WEIGHT</w:t>
      </w:r>
      <w:r>
        <w:t>.</w:t>
      </w:r>
    </w:p>
    <w:p>
      <w:pPr>
        <w:spacing w:after="60"/>
        <w:ind w:left="369" w:hanging="255"/>
      </w:pPr>
      <w:r>
        <w:t xml:space="preserve">• </w:t>
      </w:r>
      <w:r>
        <w:rPr>
          <w:rFonts w:ascii="Consolas" w:hAnsi="Consolas"/>
          <w:color w:val="233648"/>
          <w:sz w:val="16"/>
        </w:rPr>
        <w:t>VDIREC_ACTUAL</w:t>
      </w:r>
      <w:r>
        <w:t xml:space="preserve"> usa </w:t>
      </w:r>
      <w:r>
        <w:rPr>
          <w:rFonts w:ascii="Consolas" w:hAnsi="Consolas"/>
          <w:color w:val="233648"/>
          <w:sz w:val="16"/>
        </w:rPr>
        <w:t>AUTO</w:t>
      </w:r>
      <w:r>
        <w:t>; solo puede existir una columna con ese modo.</w:t>
      </w:r>
    </w:p>
    <w:p>
      <w:pPr>
        <w:spacing w:after="60"/>
        <w:ind w:left="369" w:hanging="255"/>
      </w:pPr>
      <w:r>
        <w:t xml:space="preserve">• </w:t>
      </w:r>
      <w:r>
        <w:rPr>
          <w:rFonts w:ascii="Consolas" w:hAnsi="Consolas"/>
          <w:color w:val="233648"/>
          <w:sz w:val="16"/>
        </w:rPr>
        <w:t>excluded_columns</w:t>
      </w:r>
      <w:r>
        <w:t xml:space="preserve"> está presente y vacío. Para una exclusión institucional se agrega allí uno de los seis aliases.</w:t>
      </w:r>
    </w:p>
    <w:p>
      <w:r>
        <w:t xml:space="preserve">Los estilos avanzados están en </w:t>
      </w:r>
      <w:r>
        <w:rPr>
          <w:rFonts w:ascii="Consolas" w:hAnsi="Consolas"/>
          <w:color w:val="233648"/>
          <w:sz w:val="16"/>
        </w:rPr>
        <w:t>style_overrides</w:t>
      </w:r>
      <w:r>
        <w:t xml:space="preserve">, con las zonas </w:t>
      </w:r>
      <w:r>
        <w:rPr>
          <w:rFonts w:ascii="Consolas" w:hAnsi="Consolas"/>
          <w:color w:val="233648"/>
          <w:sz w:val="16"/>
        </w:rPr>
        <w:t>title</w:t>
      </w:r>
      <w:r>
        <w:t xml:space="preserve">, </w:t>
      </w:r>
      <w:r>
        <w:rPr>
          <w:rFonts w:ascii="Consolas" w:hAnsi="Consolas"/>
          <w:color w:val="233648"/>
          <w:sz w:val="16"/>
        </w:rPr>
        <w:t>table_header</w:t>
      </w:r>
      <w:r>
        <w:t xml:space="preserve">, </w:t>
      </w:r>
      <w:r>
        <w:rPr>
          <w:rFonts w:ascii="Consolas" w:hAnsi="Consolas"/>
          <w:color w:val="233648"/>
          <w:sz w:val="16"/>
        </w:rPr>
        <w:t>table_body</w:t>
      </w:r>
      <w:r>
        <w:t xml:space="preserve">, </w:t>
      </w:r>
      <w:r>
        <w:rPr>
          <w:rFonts w:ascii="Consolas" w:hAnsi="Consolas"/>
          <w:color w:val="233648"/>
          <w:sz w:val="16"/>
        </w:rPr>
        <w:t>border</w:t>
      </w:r>
      <w:r>
        <w:t xml:space="preserve"> y </w:t>
      </w:r>
      <w:r>
        <w:rPr>
          <w:rFonts w:ascii="Consolas" w:hAnsi="Consolas"/>
          <w:color w:val="233648"/>
          <w:sz w:val="16"/>
        </w:rPr>
        <w:t>footer</w:t>
      </w:r>
      <w:r>
        <w:t>. Sus valores prevalecen sobre los que el compilador extrae automáticamente del DOCX; en este ejemplo coinciden con la plantilla y sirven como muestra para editarlos directamente.</w:t>
      </w:r>
    </w:p>
    <w:p>
      <w:pPr>
        <w:pStyle w:val="Heading1"/>
        <w:keepNext/>
      </w:pPr>
      <w:r>
        <w:t>Validar y compilar</w:t>
      </w:r>
    </w:p>
    <w:p>
      <w:r>
        <w:t>Desde la raíz del proyecto, con el entorno virtual activado: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5F7F9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Lines/>
              <w:spacing w:after="0"/>
            </w:pPr>
            <w:r>
              <w:rPr>
                <w:rFonts w:ascii="Consolas" w:hAnsi="Consolas"/>
                <w:color w:val="233648"/>
                <w:sz w:val="16"/>
              </w:rPr>
              <w:t># 1. Validar: no escribe archivos</w:t>
            </w:r>
            <w:r>
              <w:br/>
            </w:r>
            <w:r>
              <w:rPr>
                <w:rFonts w:ascii="Consolas" w:hAnsi="Consolas"/>
                <w:color w:val="233648"/>
                <w:sz w:val="16"/>
              </w:rPr>
              <w:t>python -m corporate_report_compiler validate `</w:t>
            </w:r>
            <w:r>
              <w:br/>
            </w:r>
            <w:r>
              <w:rPr>
                <w:rFonts w:ascii="Consolas" w:hAnsi="Consolas"/>
                <w:color w:val="233648"/>
                <w:sz w:val="16"/>
              </w:rPr>
              <w:t xml:space="preserve">  --project .\proyectos\entidades\generado\entidades.report.json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233648"/>
                <w:sz w:val="16"/>
              </w:rPr>
              <w:t># 2. Compilar: sin --output, apex_process.sql va a proyectos\entidades\</w:t>
            </w:r>
            <w:r>
              <w:br/>
            </w:r>
            <w:r>
              <w:rPr>
                <w:rFonts w:ascii="Consolas" w:hAnsi="Consolas"/>
                <w:color w:val="233648"/>
                <w:sz w:val="16"/>
              </w:rPr>
              <w:t>#    y template.json / validation.json a proyectos\entidades\generado\</w:t>
            </w:r>
            <w:r>
              <w:br/>
            </w:r>
            <w:r>
              <w:rPr>
                <w:rFonts w:ascii="Consolas" w:hAnsi="Consolas"/>
                <w:color w:val="233648"/>
                <w:sz w:val="16"/>
              </w:rPr>
              <w:t>python -m corporate_report_compiler compile `</w:t>
            </w:r>
            <w:r>
              <w:br/>
            </w:r>
            <w:r>
              <w:rPr>
                <w:rFonts w:ascii="Consolas" w:hAnsi="Consolas"/>
                <w:color w:val="233648"/>
                <w:sz w:val="16"/>
              </w:rPr>
              <w:t xml:space="preserve">  --project .\proyectos\entidades\generado\entidades.report.json</w:t>
            </w:r>
          </w:p>
        </w:tc>
      </w:tr>
    </w:tbl>
    <w:p>
      <w:r>
        <w:t xml:space="preserve">Los archivos compilados que acompañan al ejemplo son también la referencia que detecta regresiones: tras compilar, </w:t>
      </w:r>
      <w:r>
        <w:rPr>
          <w:rFonts w:ascii="Consolas" w:hAnsi="Consolas"/>
          <w:color w:val="233648"/>
          <w:sz w:val="16"/>
        </w:rPr>
        <w:t>git status</w:t>
      </w:r>
      <w:r>
        <w:t xml:space="preserve"> no debe mostrar cambios en </w:t>
      </w:r>
      <w:r>
        <w:rPr>
          <w:rFonts w:ascii="Consolas" w:hAnsi="Consolas"/>
          <w:color w:val="233648"/>
          <w:sz w:val="16"/>
        </w:rPr>
        <w:t>proyectos\entidades</w:t>
      </w:r>
      <w:r>
        <w:t xml:space="preserve">. La prueba automática </w:t>
      </w:r>
      <w:r>
        <w:rPr>
          <w:rFonts w:ascii="Consolas" w:hAnsi="Consolas"/>
          <w:color w:val="233648"/>
          <w:sz w:val="16"/>
        </w:rPr>
        <w:t>tests\test_workspace.py</w:t>
      </w:r>
      <w:r>
        <w:t xml:space="preserve"> compila una copia y la compara byte a byte.</w:t>
      </w:r>
    </w:p>
    <w:p>
      <w:r>
        <w:t>En Linux o macOS: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5F7F9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Lines/>
              <w:spacing w:after="0"/>
            </w:pPr>
            <w:r>
              <w:rPr>
                <w:rFonts w:ascii="Consolas" w:hAnsi="Consolas"/>
                <w:color w:val="233648"/>
                <w:sz w:val="16"/>
              </w:rPr>
              <w:t>PYTHONPATH=src python -m corporate_report_compiler compile \</w:t>
            </w:r>
            <w:r>
              <w:br/>
            </w:r>
            <w:r>
              <w:rPr>
                <w:rFonts w:ascii="Consolas" w:hAnsi="Consolas"/>
                <w:color w:val="233648"/>
                <w:sz w:val="16"/>
              </w:rPr>
              <w:t xml:space="preserve">  --project proyectos/entidades/generado/entidades.report.json</w:t>
            </w:r>
            <w:r>
              <w:br/>
            </w:r>
            <w:r>
              <w:rPr>
                <w:rFonts w:ascii="Consolas" w:hAnsi="Consolas"/>
                <w:color w:val="233648"/>
                <w:sz w:val="16"/>
              </w:rPr>
              <w:t>git status --short proyectos/entidades     # sin salida = idéntico a la referencia</w:t>
            </w:r>
          </w:p>
        </w:tc>
      </w:tr>
    </w:tbl>
    <w:p>
      <w:r>
        <w:t>Una validación correcta no escribe archivos. La compilación genera automáticamente, reemplazando solo estos tres archivos:</w:t>
      </w:r>
    </w:p>
    <w:p>
      <w:pPr>
        <w:spacing w:after="60"/>
        <w:ind w:left="369" w:hanging="255"/>
      </w:pPr>
      <w:r>
        <w:t xml:space="preserve">• </w:t>
      </w:r>
      <w:r>
        <w:rPr>
          <w:rFonts w:ascii="Consolas" w:hAnsi="Consolas"/>
          <w:color w:val="233648"/>
          <w:sz w:val="16"/>
        </w:rPr>
        <w:t>generado/template.json</w:t>
      </w:r>
      <w:r>
        <w:t>: contrato normalizado y estilos extraídos del DOCX;</w:t>
      </w:r>
    </w:p>
    <w:p>
      <w:pPr>
        <w:spacing w:after="60"/>
        <w:ind w:left="369" w:hanging="255"/>
      </w:pPr>
      <w:r>
        <w:t xml:space="preserve">• </w:t>
      </w:r>
      <w:r>
        <w:rPr>
          <w:rFonts w:ascii="Consolas" w:hAnsi="Consolas"/>
          <w:color w:val="233648"/>
          <w:sz w:val="16"/>
        </w:rPr>
        <w:t>generado/validation.json</w:t>
      </w:r>
      <w:r>
        <w:t>: diagnóstico reproducible de la compilación;</w:t>
      </w:r>
    </w:p>
    <w:p>
      <w:pPr>
        <w:spacing w:after="60"/>
        <w:ind w:left="369" w:hanging="255"/>
      </w:pPr>
      <w:r>
        <w:t xml:space="preserve">• </w:t>
      </w:r>
      <w:r>
        <w:rPr>
          <w:rFonts w:ascii="Consolas" w:hAnsi="Consolas"/>
          <w:color w:val="233648"/>
          <w:sz w:val="16"/>
        </w:rPr>
        <w:t>apex_process.sql</w:t>
      </w:r>
      <w:r>
        <w:t xml:space="preserve">: llamada mínima a </w:t>
      </w:r>
      <w:r>
        <w:rPr>
          <w:rFonts w:ascii="Consolas" w:hAnsi="Consolas"/>
          <w:color w:val="233648"/>
          <w:sz w:val="16"/>
        </w:rPr>
        <w:t>PKG_CORPORATE_REPORTS.DOWNLOAD_QUERY</w:t>
      </w:r>
      <w:r>
        <w:t>, junto al DOCX.</w:t>
      </w:r>
    </w:p>
    <w:p>
      <w:pPr>
        <w:pStyle w:val="Heading1"/>
        <w:keepNext/>
      </w:pPr>
      <w:r>
        <w:t>Cargar de nuevo un DOCX con el mismo nombre</w:t>
      </w:r>
    </w:p>
    <w:p>
      <w:r>
        <w:t xml:space="preserve">«Nuevo proyecto desde DOCX» (o </w:t>
      </w:r>
      <w:r>
        <w:rPr>
          <w:rFonts w:ascii="Consolas" w:hAnsi="Consolas"/>
          <w:color w:val="233648"/>
          <w:sz w:val="16"/>
        </w:rPr>
        <w:t>apex-report-compiler new --docx ...</w:t>
      </w:r>
      <w:r>
        <w:t xml:space="preserve">) copia el Word a </w:t>
      </w:r>
      <w:r>
        <w:rPr>
          <w:rFonts w:ascii="Consolas" w:hAnsi="Consolas"/>
          <w:color w:val="233648"/>
          <w:sz w:val="16"/>
        </w:rPr>
        <w:t>proyectos/&lt;nombre&gt;/</w:t>
      </w:r>
      <w:r>
        <w:t xml:space="preserve">. Si esa carpeta ya existe, pide confirmación y reemplaza únicamente sus archivos conocidos: el DOCX, </w:t>
      </w:r>
      <w:r>
        <w:rPr>
          <w:rFonts w:ascii="Consolas" w:hAnsi="Consolas"/>
          <w:color w:val="233648"/>
          <w:sz w:val="16"/>
        </w:rPr>
        <w:t>apex_process.sql</w:t>
      </w:r>
      <w:r>
        <w:t xml:space="preserve"> y los cuatro de </w:t>
      </w:r>
      <w:r>
        <w:rPr>
          <w:rFonts w:ascii="Consolas" w:hAnsi="Consolas"/>
          <w:color w:val="233648"/>
          <w:sz w:val="16"/>
        </w:rPr>
        <w:t>generado/</w:t>
      </w:r>
      <w:r>
        <w:t xml:space="preserve">. Antes de reemplazar cada uno guarda una copia </w:t>
      </w:r>
      <w:r>
        <w:rPr>
          <w:rFonts w:ascii="Consolas" w:hAnsi="Consolas"/>
          <w:color w:val="233648"/>
          <w:sz w:val="16"/>
        </w:rPr>
        <w:t>generado/&lt;archivo&gt;.bak</w:t>
      </w:r>
      <w:r>
        <w:t>; la siguiente carga sobrescribe esa copia. Cualquier otro archivo que haya puesto en la carpeta (documentación, notas, capturas) no se toca.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5F7F9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Lines/>
              <w:spacing w:after="0"/>
            </w:pPr>
            <w:r>
              <w:rPr>
                <w:rFonts w:ascii="Consolas" w:hAnsi="Consolas"/>
                <w:color w:val="233648"/>
                <w:sz w:val="16"/>
              </w:rPr>
              <w:t># Primera carga desde cualquier carpeta</w:t>
            </w:r>
            <w:r>
              <w:br/>
            </w:r>
            <w:r>
              <w:rPr>
                <w:rFonts w:ascii="Consolas" w:hAnsi="Consolas"/>
                <w:color w:val="233648"/>
                <w:sz w:val="16"/>
              </w:rPr>
              <w:t>apex-report-compiler new --docx C:\Descargas\ventas.docx --page 42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233648"/>
                <w:sz w:val="16"/>
              </w:rPr>
              <w:t># Nueva versión del Word con el mismo nombre: sin --replace se detiene (GUIDE-002)</w:t>
            </w:r>
            <w:r>
              <w:br/>
            </w:r>
            <w:r>
              <w:rPr>
                <w:rFonts w:ascii="Consolas" w:hAnsi="Consolas"/>
                <w:color w:val="233648"/>
                <w:sz w:val="16"/>
              </w:rPr>
              <w:t>apex-report-compiler new --docx C:\Descargas\ventas.docx --page 42 --replace</w:t>
            </w:r>
            <w:r>
              <w:br/>
            </w:r>
            <w:r>
              <w:rPr>
                <w:rFonts w:ascii="Consolas" w:hAnsi="Consolas"/>
                <w:color w:val="233648"/>
                <w:sz w:val="16"/>
              </w:rPr>
              <w:t>#   proyectos\ventas\generado\ventas.sql.bak         &lt;- su SQL editado anterior</w:t>
            </w:r>
            <w:r>
              <w:br/>
            </w:r>
            <w:r>
              <w:rPr>
                <w:rFonts w:ascii="Consolas" w:hAnsi="Consolas"/>
                <w:color w:val="233648"/>
                <w:sz w:val="16"/>
              </w:rPr>
              <w:t>#   proyectos\ventas\generado\ventas.report.json.bak &lt;- su proyecto anterior</w:t>
            </w:r>
          </w:p>
        </w:tc>
      </w:tr>
    </w:tbl>
    <w:p>
      <w:r>
        <w:t xml:space="preserve">Después de reemplazar, recupere desde los </w:t>
      </w:r>
      <w:r>
        <w:rPr>
          <w:rFonts w:ascii="Consolas" w:hAnsi="Consolas"/>
          <w:color w:val="233648"/>
          <w:sz w:val="16"/>
        </w:rPr>
        <w:t>.bak</w:t>
      </w:r>
      <w:r>
        <w:t xml:space="preserve"> lo que había editado a mano (tablas reales, filtros, anchos) y vuelva a compilar.</w:t>
      </w:r>
    </w:p>
    <w:p>
      <w:pPr>
        <w:pStyle w:val="Heading1"/>
        <w:keepNext/>
      </w:pPr>
      <w:r>
        <w:t>Adaptación a una página real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86"/>
        <w:gridCol w:w="4986"/>
      </w:tblGrid>
      <w:tr>
        <w:trPr>
          <w:cantSplit w:val="true"/>
        </w:trPr>
        <w:tc>
          <w:tcPr>
            <w:tcW w:type="dxa" w:w="1871"/>
            <w:vAlign w:val="center"/>
            <w:tcMar>
              <w:top w:w="40" w:type="dxa"/>
              <w:start w:w="60" w:type="dxa"/>
              <w:bottom w:w="40" w:type="dxa"/>
              <w:end w:w="140" w:type="dxa"/>
            </w:tcMar>
          </w:tcPr>
          <w:p>
            <w:pPr>
              <w:keepNext/>
              <w:spacing w:after="0"/>
              <w:jc w:val="right"/>
            </w:pPr>
            <w:r>
              <w:rPr>
                <w:rFonts w:ascii="Aptos" w:hAnsi="Aptos"/>
                <w:b/>
                <w:color w:val="4A5563"/>
                <w:sz w:val="14"/>
              </w:rPr>
              <w:t>INFORMÁTICA</w:t>
            </w:r>
          </w:p>
        </w:tc>
        <w:tc>
          <w:tcPr>
            <w:tcW w:type="dxa" w:w="6350"/>
            <w:vAlign w:val="center"/>
            <w:shd w:fill="E8EDF2"/>
            <w:tcBorders>
              <w:top w:val="single" w:sz="8" w:space="0" w:color="283848"/>
              <w:left w:val="single" w:sz="8" w:space="0" w:color="283848"/>
              <w:bottom w:val="single" w:sz="8" w:space="0" w:color="283848"/>
              <w:right w:val="single" w:sz="8" w:space="0" w:color="283848"/>
            </w:tcBorders>
            <w:tcMar>
              <w:top w:w="70" w:type="dxa"/>
              <w:start w:w="140" w:type="dxa"/>
              <w:bottom w:w="70" w:type="dxa"/>
              <w:end w:w="14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b/>
                <w:color w:val="283848"/>
                <w:sz w:val="17"/>
              </w:rPr>
              <w:t>Copiar entidades.docx con otro nombre y editarlo en Word</w:t>
            </w:r>
          </w:p>
          <w:p>
            <w:pPr>
              <w:keepNext/>
              <w:spacing w:after="0"/>
              <w:jc w:val="center"/>
            </w:pPr>
            <w:r>
              <w:rPr>
                <w:sz w:val="15"/>
              </w:rPr>
              <w:t>etiquetas, estilos y columnas; mantener los marcadores {{...}}</w:t>
            </w:r>
          </w:p>
        </w:tc>
      </w:tr>
      <w:tr>
        <w:trPr>
          <w:cantSplit w:val="true"/>
        </w:trPr>
        <w:tc>
          <w:tcPr>
            <w:tcW w:type="dxa" w:w="1871"/>
          </w:tcPr>
          <w:p>
            <w:pPr>
              <w:keepNext/>
            </w:pPr>
          </w:p>
        </w:tc>
        <w:tc>
          <w:tcPr>
            <w:tcW w:type="dxa" w:w="6350"/>
          </w:tcPr>
          <w:p>
            <w:pPr>
              <w:keepNext/>
              <w:spacing w:after="0" w:line="216" w:lineRule="auto"/>
              <w:jc w:val="center"/>
            </w:pPr>
            <w:r>
              <w:rPr>
                <w:color w:val="4A5563"/>
                <w:sz w:val="18"/>
              </w:rPr>
              <w:t>▼</w:t>
            </w:r>
          </w:p>
        </w:tc>
      </w:tr>
      <w:tr>
        <w:trPr>
          <w:cantSplit w:val="true"/>
        </w:trPr>
        <w:tc>
          <w:tcPr>
            <w:tcW w:type="dxa" w:w="1871"/>
            <w:vAlign w:val="center"/>
            <w:tcMar>
              <w:top w:w="40" w:type="dxa"/>
              <w:start w:w="60" w:type="dxa"/>
              <w:bottom w:w="40" w:type="dxa"/>
              <w:end w:w="140" w:type="dxa"/>
            </w:tcMar>
          </w:tcPr>
          <w:p>
            <w:pPr>
              <w:keepNext/>
              <w:spacing w:after="0"/>
              <w:jc w:val="right"/>
            </w:pPr>
            <w:r>
              <w:rPr>
                <w:rFonts w:ascii="Aptos" w:hAnsi="Aptos"/>
                <w:b/>
                <w:color w:val="4A5563"/>
                <w:sz w:val="14"/>
              </w:rPr>
              <w:t>COMPILADOR</w:t>
            </w:r>
          </w:p>
        </w:tc>
        <w:tc>
          <w:tcPr>
            <w:tcW w:type="dxa" w:w="6350"/>
            <w:vAlign w:val="center"/>
            <w:shd w:fill="E8EDF2"/>
            <w:tcBorders>
              <w:top w:val="single" w:sz="8" w:space="0" w:color="283848"/>
              <w:left w:val="single" w:sz="8" w:space="0" w:color="283848"/>
              <w:bottom w:val="single" w:sz="8" w:space="0" w:color="283848"/>
              <w:right w:val="single" w:sz="8" w:space="0" w:color="283848"/>
            </w:tcBorders>
            <w:tcMar>
              <w:top w:w="70" w:type="dxa"/>
              <w:start w:w="140" w:type="dxa"/>
              <w:bottom w:w="70" w:type="dxa"/>
              <w:end w:w="14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b/>
                <w:color w:val="283848"/>
                <w:sz w:val="17"/>
              </w:rPr>
              <w:t>Nuevo proyecto desde DOCX</w:t>
            </w:r>
          </w:p>
          <w:p>
            <w:pPr>
              <w:keepNext/>
              <w:spacing w:after="0"/>
              <w:jc w:val="center"/>
            </w:pPr>
            <w:r>
              <w:rPr>
                <w:sz w:val="15"/>
              </w:rPr>
              <w:t>copia el Word a proyectos\&lt;nombre&gt;\ y crea automáticamente generado\&lt;nombre&gt;.sql y .report.json</w:t>
            </w:r>
          </w:p>
        </w:tc>
      </w:tr>
      <w:tr>
        <w:trPr>
          <w:cantSplit w:val="true"/>
        </w:trPr>
        <w:tc>
          <w:tcPr>
            <w:tcW w:type="dxa" w:w="1871"/>
          </w:tcPr>
          <w:p>
            <w:pPr>
              <w:keepNext/>
            </w:pPr>
          </w:p>
        </w:tc>
        <w:tc>
          <w:tcPr>
            <w:tcW w:type="dxa" w:w="6350"/>
          </w:tcPr>
          <w:p>
            <w:pPr>
              <w:keepNext/>
              <w:spacing w:after="0" w:line="216" w:lineRule="auto"/>
              <w:jc w:val="center"/>
            </w:pPr>
            <w:r>
              <w:rPr>
                <w:color w:val="4A5563"/>
                <w:sz w:val="18"/>
              </w:rPr>
              <w:t>▼</w:t>
            </w:r>
          </w:p>
        </w:tc>
      </w:tr>
      <w:tr>
        <w:trPr>
          <w:cantSplit w:val="true"/>
        </w:trPr>
        <w:tc>
          <w:tcPr>
            <w:tcW w:type="dxa" w:w="1871"/>
            <w:vAlign w:val="center"/>
            <w:tcMar>
              <w:top w:w="40" w:type="dxa"/>
              <w:start w:w="60" w:type="dxa"/>
              <w:bottom w:w="40" w:type="dxa"/>
              <w:end w:w="140" w:type="dxa"/>
            </w:tcMar>
          </w:tcPr>
          <w:p>
            <w:pPr>
              <w:keepNext/>
              <w:spacing w:after="0"/>
              <w:jc w:val="right"/>
            </w:pPr>
            <w:r>
              <w:rPr>
                <w:rFonts w:ascii="Aptos" w:hAnsi="Aptos"/>
                <w:b/>
                <w:color w:val="4A5563"/>
                <w:sz w:val="14"/>
              </w:rPr>
              <w:t>INFORMÁTICA</w:t>
            </w:r>
          </w:p>
        </w:tc>
        <w:tc>
          <w:tcPr>
            <w:tcW w:type="dxa" w:w="6350"/>
            <w:vAlign w:val="center"/>
            <w:shd w:fill="E8EDF2"/>
            <w:tcBorders>
              <w:top w:val="single" w:sz="8" w:space="0" w:color="283848"/>
              <w:left w:val="single" w:sz="8" w:space="0" w:color="283848"/>
              <w:bottom w:val="single" w:sz="8" w:space="0" w:color="283848"/>
              <w:right w:val="single" w:sz="8" w:space="0" w:color="283848"/>
            </w:tcBorders>
            <w:tcMar>
              <w:top w:w="70" w:type="dxa"/>
              <w:start w:w="140" w:type="dxa"/>
              <w:bottom w:w="70" w:type="dxa"/>
              <w:end w:w="14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b/>
                <w:color w:val="283848"/>
                <w:sz w:val="17"/>
              </w:rPr>
              <w:t>Adaptar SQL y proyecto en generado\</w:t>
            </w:r>
          </w:p>
          <w:p>
            <w:pPr>
              <w:keepNext/>
              <w:spacing w:after="0"/>
              <w:jc w:val="center"/>
            </w:pPr>
            <w:r>
              <w:rPr>
                <w:sz w:val="15"/>
              </w:rPr>
              <w:t>tablas reales, aliases del DOCX, Page Items, título, anchos y max_rows</w:t>
            </w:r>
          </w:p>
        </w:tc>
      </w:tr>
      <w:tr>
        <w:trPr>
          <w:cantSplit w:val="true"/>
        </w:trPr>
        <w:tc>
          <w:tcPr>
            <w:tcW w:type="dxa" w:w="1871"/>
          </w:tcPr>
          <w:p>
            <w:pPr>
              <w:keepNext/>
            </w:pPr>
          </w:p>
        </w:tc>
        <w:tc>
          <w:tcPr>
            <w:tcW w:type="dxa" w:w="6350"/>
          </w:tcPr>
          <w:p>
            <w:pPr>
              <w:keepNext/>
              <w:spacing w:after="0" w:line="216" w:lineRule="auto"/>
              <w:jc w:val="center"/>
            </w:pPr>
            <w:r>
              <w:rPr>
                <w:color w:val="4A5563"/>
                <w:sz w:val="18"/>
              </w:rPr>
              <w:t>▼</w:t>
            </w:r>
          </w:p>
        </w:tc>
      </w:tr>
      <w:tr>
        <w:trPr>
          <w:cantSplit w:val="true"/>
        </w:trPr>
        <w:tc>
          <w:tcPr>
            <w:tcW w:type="dxa" w:w="1871"/>
            <w:vAlign w:val="center"/>
            <w:tcMar>
              <w:top w:w="40" w:type="dxa"/>
              <w:start w:w="60" w:type="dxa"/>
              <w:bottom w:w="40" w:type="dxa"/>
              <w:end w:w="140" w:type="dxa"/>
            </w:tcMar>
          </w:tcPr>
          <w:p>
            <w:pPr>
              <w:keepNext/>
              <w:spacing w:after="0"/>
              <w:jc w:val="right"/>
            </w:pPr>
            <w:r>
              <w:rPr>
                <w:rFonts w:ascii="Aptos" w:hAnsi="Aptos"/>
                <w:b/>
                <w:color w:val="4A5563"/>
                <w:sz w:val="14"/>
              </w:rPr>
              <w:t>COMPILADOR</w:t>
            </w:r>
          </w:p>
        </w:tc>
        <w:tc>
          <w:tcPr>
            <w:tcW w:type="dxa" w:w="6350"/>
            <w:vAlign w:val="center"/>
            <w:shd w:fill="E8EDF2"/>
            <w:tcBorders>
              <w:top w:val="single" w:sz="8" w:space="0" w:color="283848"/>
              <w:left w:val="single" w:sz="8" w:space="0" w:color="283848"/>
              <w:bottom w:val="single" w:sz="8" w:space="0" w:color="283848"/>
              <w:right w:val="single" w:sz="8" w:space="0" w:color="283848"/>
            </w:tcBorders>
            <w:tcMar>
              <w:top w:w="70" w:type="dxa"/>
              <w:start w:w="140" w:type="dxa"/>
              <w:bottom w:w="70" w:type="dxa"/>
              <w:end w:w="14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b/>
                <w:color w:val="283848"/>
                <w:sz w:val="17"/>
              </w:rPr>
              <w:t>Validar y compilar</w:t>
            </w:r>
          </w:p>
          <w:p>
            <w:pPr>
              <w:keepNext/>
              <w:spacing w:after="0"/>
              <w:jc w:val="center"/>
            </w:pPr>
            <w:r>
              <w:rPr>
                <w:sz w:val="15"/>
              </w:rPr>
              <w:t>apex_process.sql (junto al DOCX) y generado\template.json se regeneran automáticamente</w:t>
            </w:r>
          </w:p>
        </w:tc>
      </w:tr>
      <w:tr>
        <w:trPr>
          <w:cantSplit w:val="true"/>
        </w:trPr>
        <w:tc>
          <w:tcPr>
            <w:tcW w:type="dxa" w:w="1871"/>
          </w:tcPr>
          <w:p>
            <w:pPr>
              <w:keepNext/>
            </w:pPr>
          </w:p>
        </w:tc>
        <w:tc>
          <w:tcPr>
            <w:tcW w:type="dxa" w:w="6350"/>
          </w:tcPr>
          <w:p>
            <w:pPr>
              <w:keepNext/>
              <w:spacing w:after="0" w:line="216" w:lineRule="auto"/>
              <w:jc w:val="center"/>
            </w:pPr>
            <w:r>
              <w:rPr>
                <w:color w:val="4A5563"/>
                <w:sz w:val="18"/>
              </w:rPr>
              <w:t>▼</w:t>
            </w:r>
          </w:p>
        </w:tc>
      </w:tr>
      <w:tr>
        <w:trPr>
          <w:cantSplit w:val="true"/>
        </w:trPr>
        <w:tc>
          <w:tcPr>
            <w:tcW w:type="dxa" w:w="1871"/>
            <w:vAlign w:val="center"/>
            <w:tcMar>
              <w:top w:w="40" w:type="dxa"/>
              <w:start w:w="60" w:type="dxa"/>
              <w:bottom w:w="40" w:type="dxa"/>
              <w:end w:w="140" w:type="dxa"/>
            </w:tcMar>
          </w:tcPr>
          <w:p>
            <w:pPr>
              <w:keepNext/>
              <w:spacing w:after="0"/>
              <w:jc w:val="right"/>
            </w:pPr>
            <w:r>
              <w:rPr>
                <w:rFonts w:ascii="Aptos" w:hAnsi="Aptos"/>
                <w:b/>
                <w:color w:val="4A5563"/>
                <w:sz w:val="14"/>
              </w:rPr>
              <w:t>APEX</w:t>
            </w:r>
          </w:p>
        </w:tc>
        <w:tc>
          <w:tcPr>
            <w:tcW w:type="dxa" w:w="6350"/>
            <w:vAlign w:val="center"/>
            <w:shd w:fill="E8EDF2"/>
            <w:tcBorders>
              <w:top w:val="single" w:sz="8" w:space="0" w:color="283848"/>
              <w:left w:val="single" w:sz="8" w:space="0" w:color="283848"/>
              <w:bottom w:val="single" w:sz="8" w:space="0" w:color="283848"/>
              <w:right w:val="single" w:sz="8" w:space="0" w:color="283848"/>
            </w:tcBorders>
            <w:tcMar>
              <w:top w:w="70" w:type="dxa"/>
              <w:start w:w="140" w:type="dxa"/>
              <w:bottom w:w="70" w:type="dxa"/>
              <w:end w:w="14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b/>
                <w:color w:val="283848"/>
                <w:sz w:val="17"/>
              </w:rPr>
              <w:t>Pegar proyectos\&lt;nombre&gt;\apex_process.sql y probar</w:t>
            </w:r>
          </w:p>
          <w:p>
            <w:pPr>
              <w:keepNext/>
              <w:spacing w:after="0"/>
              <w:jc w:val="center"/>
            </w:pPr>
            <w:r>
              <w:rPr>
                <w:sz w:val="15"/>
              </w:rPr>
              <w:t>Manual de uso, sección 9</w:t>
            </w:r>
          </w:p>
        </w:tc>
      </w:tr>
    </w:tbl>
    <w:p>
      <w:pPr>
        <w:spacing w:before="60"/>
        <w:jc w:val="center"/>
      </w:pPr>
      <w:r>
        <w:rPr>
          <w:i/>
          <w:color w:val="4A5563"/>
          <w:sz w:val="16"/>
        </w:rPr>
        <w:t>Figura 1. De este ejemplo a un reporte real</w:t>
      </w:r>
    </w:p>
    <w:p>
      <w:r>
        <w:t xml:space="preserve">Alternativa: copiar también </w:t>
      </w:r>
      <w:r>
        <w:rPr>
          <w:rFonts w:ascii="Consolas" w:hAnsi="Consolas"/>
          <w:color w:val="233648"/>
          <w:sz w:val="16"/>
        </w:rPr>
        <w:t>generado\entidades.sql</w:t>
      </w:r>
      <w:r>
        <w:t xml:space="preserve"> y </w:t>
      </w:r>
      <w:r>
        <w:rPr>
          <w:rFonts w:ascii="Consolas" w:hAnsi="Consolas"/>
          <w:color w:val="233648"/>
          <w:sz w:val="16"/>
        </w:rPr>
        <w:t>generado\entidades.report.json</w:t>
      </w:r>
      <w:r>
        <w:t xml:space="preserve"> a la carpeta </w:t>
      </w:r>
      <w:r>
        <w:rPr>
          <w:rFonts w:ascii="Consolas" w:hAnsi="Consolas"/>
          <w:color w:val="233648"/>
          <w:sz w:val="16"/>
        </w:rPr>
        <w:t>generado</w:t>
      </w:r>
      <w:r>
        <w:t xml:space="preserve"> del nuevo proyecto, renombrarlos y editarlos directamente (incluidas las claves </w:t>
      </w:r>
      <w:r>
        <w:rPr>
          <w:rFonts w:ascii="Consolas" w:hAnsi="Consolas"/>
          <w:color w:val="233648"/>
          <w:sz w:val="16"/>
        </w:rPr>
        <w:t>template</w:t>
      </w:r>
      <w:r>
        <w:t xml:space="preserve"> y </w:t>
      </w:r>
      <w:r>
        <w:rPr>
          <w:rFonts w:ascii="Consolas" w:hAnsi="Consolas"/>
          <w:color w:val="233648"/>
          <w:sz w:val="16"/>
        </w:rPr>
        <w:t>query_file</w:t>
      </w:r>
      <w:r>
        <w:t>).</w:t>
      </w:r>
    </w:p>
    <w:p>
      <w:pPr>
        <w:spacing w:after="60"/>
        <w:ind w:left="369" w:hanging="255"/>
      </w:pPr>
      <w:r>
        <w:t xml:space="preserve">1. </w:t>
      </w:r>
      <w:r>
        <w:t>Cambiar las tablas y joins del SQL manteniendo los aliases del DOCX.</w:t>
      </w:r>
    </w:p>
    <w:p>
      <w:pPr>
        <w:spacing w:after="60"/>
        <w:ind w:left="369" w:hanging="255"/>
      </w:pPr>
      <w:r>
        <w:t xml:space="preserve">2. </w:t>
      </w:r>
      <w:r>
        <w:t xml:space="preserve">Cambiar los Page Items de </w:t>
      </w:r>
      <w:r>
        <w:rPr>
          <w:rFonts w:ascii="Consolas" w:hAnsi="Consolas"/>
          <w:color w:val="233648"/>
          <w:sz w:val="16"/>
        </w:rPr>
        <w:t>bindings</w:t>
      </w:r>
      <w:r>
        <w:t xml:space="preserve"> por los de la página.</w:t>
      </w:r>
    </w:p>
    <w:p>
      <w:pPr>
        <w:spacing w:after="60"/>
        <w:ind w:left="369" w:hanging="255"/>
      </w:pPr>
      <w:r>
        <w:t xml:space="preserve">3. </w:t>
      </w:r>
      <w:r>
        <w:t xml:space="preserve">Si se añade o quita una columna en Word, añadir o quitar su alias en el </w:t>
      </w:r>
      <w:r>
        <w:rPr>
          <w:rFonts w:ascii="Consolas" w:hAnsi="Consolas"/>
          <w:color w:val="233648"/>
          <w:sz w:val="16"/>
        </w:rPr>
        <w:t>SELECT</w:t>
      </w:r>
      <w:r>
        <w:t xml:space="preserve"> y, si figura, en </w:t>
      </w:r>
      <w:r>
        <w:rPr>
          <w:rFonts w:ascii="Consolas" w:hAnsi="Consolas"/>
          <w:color w:val="233648"/>
          <w:sz w:val="16"/>
        </w:rPr>
        <w:t>column_widths</w:t>
      </w:r>
      <w:r>
        <w:t>. Las etiquetas, estilos y el orden se toman automáticamente del DOCX al recompilar.</w:t>
      </w:r>
    </w:p>
    <w:p>
      <w:pPr>
        <w:spacing w:after="60"/>
        <w:ind w:left="369" w:hanging="255"/>
      </w:pPr>
      <w:r>
        <w:t xml:space="preserve">4. </w:t>
      </w:r>
      <w:r>
        <w:t xml:space="preserve">Ajustar título, nombre de archivo, límite de filas, campos, exclusiones y anchos directamente en el </w:t>
      </w:r>
      <w:r>
        <w:rPr>
          <w:rFonts w:ascii="Consolas" w:hAnsi="Consolas"/>
          <w:color w:val="233648"/>
          <w:sz w:val="16"/>
        </w:rPr>
        <w:t>.report.json</w:t>
      </w:r>
      <w:r>
        <w:t>.</w:t>
      </w:r>
    </w:p>
    <w:p>
      <w:pPr>
        <w:spacing w:after="60"/>
        <w:ind w:left="369" w:hanging="255"/>
      </w:pPr>
      <w:r>
        <w:t xml:space="preserve">5. </w:t>
      </w:r>
      <w:r>
        <w:t>Validar y compilar localmente.</w:t>
      </w:r>
    </w:p>
    <w:p>
      <w:pPr>
        <w:spacing w:after="60"/>
        <w:ind w:left="369" w:hanging="255"/>
      </w:pPr>
      <w:r>
        <w:t xml:space="preserve">6. </w:t>
      </w:r>
      <w:r>
        <w:t xml:space="preserve">Revisar </w:t>
      </w:r>
      <w:r>
        <w:rPr>
          <w:rFonts w:ascii="Consolas" w:hAnsi="Consolas"/>
          <w:color w:val="233648"/>
          <w:sz w:val="16"/>
        </w:rPr>
        <w:t>template.json</w:t>
      </w:r>
      <w:r>
        <w:t xml:space="preserve">, </w:t>
      </w:r>
      <w:r>
        <w:rPr>
          <w:rFonts w:ascii="Consolas" w:hAnsi="Consolas"/>
          <w:color w:val="233648"/>
          <w:sz w:val="16"/>
        </w:rPr>
        <w:t>validation.json</w:t>
      </w:r>
      <w:r>
        <w:t xml:space="preserve"> y </w:t>
      </w:r>
      <w:r>
        <w:rPr>
          <w:rFonts w:ascii="Consolas" w:hAnsi="Consolas"/>
          <w:color w:val="233648"/>
          <w:sz w:val="16"/>
        </w:rPr>
        <w:t>apex_process.sql</w:t>
      </w:r>
      <w:r>
        <w:t>.</w:t>
      </w:r>
    </w:p>
    <w:p>
      <w:pPr>
        <w:spacing w:after="60"/>
        <w:ind w:left="369" w:hanging="255"/>
      </w:pPr>
      <w:r>
        <w:t xml:space="preserve">7. </w:t>
      </w:r>
      <w:r>
        <w:t>Copiar el proceso generado a APEX (Manual de uso, sección 9) y probarlo allí. Una validación local correcta no equivale a aceptación en APEX.</w:t>
      </w:r>
    </w:p>
    <w:p>
      <w:r>
        <w:t>El SQL, el JSON y el proceso son artefactos administrados por Informática. No deben recibirse desde el navegador ni ser editables por el usuario final.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964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4A5563"/>
        <w:sz w:val="15"/>
      </w:rPr>
      <w:t>Uso interno · Oracle APEX 24.2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4A5563"/>
        <w:sz w:val="15"/>
      </w:rPr>
      <w:t>APEX WORD REPORT COMPILER  ·  DOCUMENTACIÓN 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252B31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8384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A556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A5563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28384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Ejemplo ejecutable ENTIDADES</dc:title>
  <dc:subject>Proyecto completo de referencia</dc:subject>
  <dc:creator>Área de Informática</dc:creator>
  <cp:keywords>Oracle APEX, reportes, Word, APEX_DATA_EXPORT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