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automáticamente &lt;nombre&gt;.report.json y &lt;nombre&gt;.sql (sección 3.3)</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o copiando una de templates/</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crear el proyecto;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crear el proyecto;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Renombrar o borrar el .report.json y el .sql anteriores y volver a usar «Nuevo proyecto desde DOCX»</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Lee los marcadores del Word y crea </w:t>
            </w:r>
            <w:r>
              <w:rPr>
                <w:rFonts w:ascii="Aptos" w:hAnsi="Aptos"/>
                <w:b/>
                <w:sz w:val="16"/>
              </w:rPr>
              <w:t>automáticamente</w:t>
            </w:r>
            <w:r>
              <w:rPr>
                <w:rFonts w:ascii="Aptos" w:hAnsi="Aptos"/>
                <w:sz w:val="16"/>
              </w:rPr>
              <w:t xml:space="preserve"> junto a él &lt;nombre&gt;.report.json y &lt;nombre&gt;.sql con un filtro opcional por columna. Cada filtro se enlaza a un Page Item PXX_&lt;ALIAS&gt; (o P42_&lt;ALIAS&gt; si indica el número de página) y cada {{FIELD:NOMBRE}} a PXX_&lt;NOMBRE&gt;. Nunca sobrescribe archivos existentes.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los tres artefactos en build\&lt;reporte&gt; junto al proyecto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la carpeta con los artefactos generados.</w:t>
            </w:r>
          </w:p>
        </w:tc>
      </w:tr>
    </w:tbl>
    <w:p>
      <w:pPr>
        <w:spacing w:after="2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archivo .docx</w:t>
            </w:r>
          </w:p>
          <w:p>
            <w:pPr>
              <w:keepNext/>
              <w:spacing w:after="0"/>
              <w:jc w:val="center"/>
            </w:pPr>
            <w:r>
              <w:rPr>
                <w:sz w:val="15"/>
              </w:rPr>
              <w:t>por ejemplo examples\entidades.docx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Indicar el número de página APEX</w:t>
            </w:r>
          </w:p>
          <w:p>
            <w:pPr>
              <w:keepNext/>
              <w:spacing w:after="0"/>
              <w:jc w:val="center"/>
            </w:pPr>
            <w:r>
              <w:rPr>
                <w:sz w:val="15"/>
              </w:rPr>
              <w:t>42 genera P42_…; dejar XX genera PXX_… para reemplazar después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los marcadores del Word</w:t>
            </w:r>
          </w:p>
          <w:p>
            <w:pPr>
              <w:keepNext/>
              <w:spacing w:after="0"/>
              <w:jc w:val="center"/>
            </w:pPr>
            <w:r>
              <w:rPr>
                <w:sz w:val="15"/>
              </w:rPr>
              <w:t>cada {{COLUMN:…}} y cada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¿&lt;nombre&gt;.report.json y &lt;nombre&gt;.sql aún no existen?</w:t>
            </w:r>
          </w:p>
          <w:p>
            <w:pPr>
              <w:keepNext/>
              <w:spacing w:after="0"/>
              <w:jc w:val="center"/>
            </w:pPr>
            <w:r>
              <w:rPr>
                <w:sz w:val="15"/>
              </w:rPr>
              <w:t>No: se detiene con GUIDE-001 y no sobrescribe nada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&lt;nombre&gt;.sql</w:t>
            </w:r>
          </w:p>
          <w:p>
            <w:pPr>
              <w:keepNext/>
              <w:spacing w:after="0"/>
              <w:jc w:val="center"/>
            </w:pPr>
            <w:r>
              <w:rPr>
                <w:sz w:val="15"/>
              </w:rPr>
              <w:t>SELECT con un alias por columna y un filtro opcional :F_&lt;ALIAS&gt; por columna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&lt;nombre&gt;.report.json</w:t>
            </w:r>
          </w:p>
          <w:p>
            <w:pPr>
              <w:keepNext/>
              <w:spacing w:after="0"/>
              <w:jc w:val="center"/>
            </w:pPr>
            <w:r>
              <w:rPr>
                <w:sz w:val="15"/>
              </w:rPr>
              <w:t>bindings, fields, título, file_name y orientation AUTO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a mano</w:t>
            </w:r>
          </w:p>
          <w:p>
            <w:pPr>
              <w:keepNext/>
              <w:spacing w:after="0"/>
              <w:jc w:val="center"/>
            </w:pPr>
            <w:r>
              <w:rPr>
                <w:sz w:val="15"/>
              </w:rPr>
              <w:t>tabla real, filtros que sobran, anchos y título; luego Validar y Compilar</w:t>
            </w:r>
          </w:p>
        </w:tc>
      </w:tr>
    </w:tbl>
    <w:p>
      <w:pPr>
        <w:spacing w:before="60"/>
        <w:jc w:val="center"/>
      </w:pPr>
      <w:r>
        <w:rPr>
          <w:i/>
          <w:color w:val="4A5563"/>
          <w:sz w:val="16"/>
        </w:rPr>
        <w:t>Figura 2. «Nuevo proyecto desde DOCX…»</w:t>
      </w:r>
    </w:p>
    <w:p>
      <w:r>
        <w:t xml:space="preserve">Ejemplo de lo que genera automáticamente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examples/entidades.docx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Las rutas son relativas y deben permanecer dentro de la carpeta del proyecto.</w:t>
      </w:r>
    </w:p>
    <w:p>
      <w:r>
        <w:t xml:space="preserve">Versión comentada del ejemplo </w:t>
      </w:r>
      <w:r>
        <w:rPr>
          <w:rFonts w:ascii="Consolas" w:hAnsi="Consolas"/>
          <w:color w:val="233648"/>
          <w:sz w:val="16"/>
        </w:rPr>
        <w:t>examples/entidades.report.json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w:t>
      </w:r>
      <w:r>
        <w:rPr>
          <w:rFonts w:ascii="Consolas" w:hAnsi="Consolas"/>
          <w:color w:val="233648"/>
          <w:sz w:val="16"/>
        </w:rPr>
        <w:t>examples/</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"max_rows": 2000,                           // tope de filas exportadas</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rPr>
          <w:rFonts w:ascii="Consolas" w:hAnsi="Consolas"/>
          <w:color w:val="233648"/>
          <w:sz w:val="16"/>
        </w:rPr>
        <w:t>max_rows</w:t>
      </w:r>
      <w:r>
        <w:t xml:space="preserve"> es un límite de salida, no una comprobación de totalidad: si la consulta devuelve más filas, APEX exportará como máximo esa cantidad. Defina un valor acorde con el reporte y filtros que eviten resultados ambiguamente truncados.</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 en la carpeta de salida</w:t>
            </w:r>
          </w:p>
          <w:p>
            <w:pPr>
              <w:keepNext/>
              <w:spacing w:after="0"/>
              <w:jc w:val="center"/>
            </w:pPr>
            <w:r>
              <w:rPr>
                <w:sz w:val="15"/>
              </w:rPr>
              <w:t>reemplaza los tres archivos de una sola vez</w:t>
            </w:r>
          </w:p>
        </w:tc>
      </w:tr>
    </w:tbl>
    <w:p>
      <w:pPr>
        <w:spacing w:before="60"/>
        <w:jc w:val="center"/>
      </w:pPr>
      <w:r>
        <w:rPr>
          <w:i/>
          <w:color w:val="4A5563"/>
          <w:sz w:val="16"/>
        </w:rPr>
        <w:t>Figura 3. Validación y compilación</w:t>
      </w:r>
    </w:p>
    <w:p>
      <w:r>
        <w:t>Valide primero,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.\mi_reporte\mi_reporte.report.json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Valida y, si no hay errores, escribe los tres artefactos en build\mi_reporte</w:t>
            </w:r>
            <w:r>
              <w:br/>
            </w:r>
            <w:r>
              <w:rPr>
                <w:rFonts w:ascii="Consolas" w:hAnsi="Consolas"/>
                <w:color w:val="233648"/>
                <w:sz w:val="16"/>
              </w:rPr>
              <w:t>apex-report-compiler compile `</w:t>
            </w:r>
            <w:r>
              <w:br/>
            </w:r>
            <w:r>
              <w:rPr>
                <w:rFonts w:ascii="Consolas" w:hAnsi="Consolas"/>
                <w:color w:val="233648"/>
                <w:sz w:val="16"/>
              </w:rPr>
              <w:t xml:space="preserve">  --project .\mi_reporte\mi_reporte.report.json `</w:t>
            </w:r>
            <w:r>
              <w:br/>
            </w:r>
            <w:r>
              <w:rPr>
                <w:rFonts w:ascii="Consolas" w:hAnsi="Consolas"/>
                <w:color w:val="233648"/>
                <w:sz w:val="16"/>
              </w:rPr>
              <w:t xml:space="preserve">  --output .\build\mi_reporte</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.\mi_reporte\mi_reporte.report.json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.\mi_reporte\mi_reporte.report.json</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w:t>
            </w:r>
          </w:p>
        </w:tc>
      </w:tr>
    </w:tbl>
    <w:p>
      <w:pPr>
        <w:spacing w:after="20"/>
      </w:pPr>
    </w:p>
    <w:p>
      <w:r>
        <w:t xml:space="preserve">Estos tres archivos se regeneran en cada compilación a partir del DOCX, el SQL y el proyecto. Si una compilación falla, se conserva intacta la última salida válida. La carpeta de salida no puede ser la misma que contiene el </w:t>
      </w:r>
      <w:r>
        <w:rPr>
          <w:rFonts w:ascii="Consolas" w:hAnsi="Consolas"/>
          <w:color w:val="233648"/>
          <w:sz w:val="16"/>
        </w:rPr>
        <w:t>.sql</w:t>
      </w:r>
      <w:r>
        <w:t xml:space="preserve"> o el </w:t>
      </w:r>
      <w:r>
        <w:rPr>
          <w:rFonts w:ascii="Consolas" w:hAnsi="Consolas"/>
          <w:color w:val="233648"/>
          <w:sz w:val="16"/>
        </w:rPr>
        <w:t>.report.json</w:t>
      </w:r>
      <w:r>
        <w:t xml:space="preserve"> si eso sobrescribiría un archivo fuente; use, por ejemplo, </w:t>
      </w:r>
      <w:r>
        <w:rPr>
          <w:rFonts w:ascii="Consolas" w:hAnsi="Consolas"/>
          <w:color w:val="233648"/>
          <w:sz w:val="16"/>
        </w:rPr>
        <w:t>.\build\mi_reporte</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@sql/install.sql</w:t>
            </w:r>
          </w:p>
        </w:tc>
      </w:tr>
    </w:tbl>
    <w:p>
      <w:r>
        <w:t xml:space="preserve">Desde SQL Workshop cargue y ejecute </w:t>
      </w:r>
      <w:r>
        <w:rPr>
          <w:rFonts w:ascii="Consolas" w:hAnsi="Consolas"/>
          <w:color w:val="233648"/>
          <w:sz w:val="16"/>
        </w:rPr>
        <w:t>sql/pkg_corporate_reports.sql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p_max_rows              =&gt; 2000,</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w:t>
      </w:r>
    </w:p>
    <w:p>
      <w:pPr>
        <w:spacing w:after="60"/>
        <w:ind w:left="369" w:hanging="255"/>
      </w:pPr>
      <w:r>
        <w:t xml:space="preserve">• </w:t>
      </w:r>
      <w:r>
        <w:t>consulta con cero, una y muchas filas;</w:t>
      </w:r>
    </w:p>
    <w:p>
      <w:pPr>
        <w:spacing w:after="60"/>
        <w:ind w:left="369" w:hanging="255"/>
      </w:pPr>
      <w:r>
        <w:t xml:space="preserve">• </w:t>
      </w:r>
      <w:r>
        <w:t xml:space="preserve">límite </w:t>
      </w:r>
      <w:r>
        <w:rPr>
          <w:rFonts w:ascii="Consolas" w:hAnsi="Consolas"/>
          <w:color w:val="233648"/>
          <w:sz w:val="16"/>
        </w:rPr>
        <w:t>p_max_rows</w:t>
      </w:r>
      <w:r>
        <w:t>;</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GUIDE-001</w:t>
            </w:r>
          </w:p>
        </w:tc>
        <w:tc>
          <w:tcPr>
            <w:tcW w:type="dxa" w:w="3324"/>
            <w:vAlign w:val="center"/>
            <w:tcMar>
              <w:top w:w="90" w:type="dxa"/>
              <w:start w:w="110" w:type="dxa"/>
              <w:bottom w:w="90" w:type="dxa"/>
              <w:end w:w="110" w:type="dxa"/>
            </w:tcMar>
            <w:shd w:fill="FFFFFF"/>
          </w:tcPr>
          <w:p>
            <w:pPr>
              <w:spacing w:after="0"/>
            </w:pPr>
            <w:r>
              <w:rPr>
                <w:rFonts w:ascii="Aptos" w:hAnsi="Aptos"/>
                <w:sz w:val="16"/>
              </w:rPr>
              <w:t>«Nuevo proyecto desde DOCX» encontró archivos existentes</w:t>
            </w:r>
          </w:p>
        </w:tc>
        <w:tc>
          <w:tcPr>
            <w:tcW w:type="dxa" w:w="3324"/>
            <w:vAlign w:val="center"/>
            <w:tcMar>
              <w:top w:w="90" w:type="dxa"/>
              <w:start w:w="110" w:type="dxa"/>
              <w:bottom w:w="90" w:type="dxa"/>
              <w:end w:w="110" w:type="dxa"/>
            </w:tcMar>
            <w:shd w:fill="FFFFFF"/>
          </w:tcPr>
          <w:p>
            <w:pPr>
              <w:spacing w:after="0"/>
            </w:pPr>
            <w:r>
              <w:rPr>
                <w:rFonts w:ascii="Aptos" w:hAnsi="Aptos"/>
                <w:sz w:val="16"/>
              </w:rPr>
              <w:t>Editar los existentes o renombrarlos para generar otros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5F7F9"/>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5F7F9"/>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TOKEN-005</w:t>
            </w:r>
          </w:p>
        </w:tc>
        <w:tc>
          <w:tcPr>
            <w:tcW w:type="dxa" w:w="3324"/>
            <w:vAlign w:val="center"/>
            <w:tcMar>
              <w:top w:w="90" w:type="dxa"/>
              <w:start w:w="110" w:type="dxa"/>
              <w:bottom w:w="90" w:type="dxa"/>
              <w:end w:w="110" w:type="dxa"/>
            </w:tcMar>
            <w:shd w:fill="FFFFFF"/>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FFFFF"/>
          </w:tcPr>
          <w:p>
            <w:pPr>
              <w:spacing w:after="0"/>
            </w:pPr>
            <w:r>
              <w:rPr>
                <w:rFonts w:ascii="Aptos" w:hAnsi="Aptos"/>
                <w:sz w:val="16"/>
              </w:rPr>
              <w:t>Escribir {{APP_USER}} sin FIELD:</w:t>
            </w:r>
          </w:p>
        </w:tc>
      </w:tr>
    </w:tbl>
    <w:p>
      <w:pPr>
        <w:spacing w:after="20"/>
      </w:pPr>
    </w:p>
    <w:p>
      <w:pPr>
        <w:pStyle w:val="Heading1"/>
        <w:keepNext/>
      </w:pPr>
      <w:r>
        <w:t>12. Mantenimiento recomendado</w:t>
      </w:r>
    </w:p>
    <w:p>
      <w:pPr>
        <w:spacing w:after="60"/>
        <w:ind w:left="369" w:hanging="255"/>
      </w:pPr>
      <w:r>
        <w:t xml:space="preserve">• </w:t>
      </w:r>
      <w:r>
        <w:t xml:space="preserve">Mantenga juntos el DOCX, </w:t>
      </w:r>
      <w:r>
        <w:rPr>
          <w:rFonts w:ascii="Consolas" w:hAnsi="Consolas"/>
          <w:color w:val="233648"/>
          <w:sz w:val="16"/>
        </w:rPr>
        <w:t>.sql</w:t>
      </w:r>
      <w:r>
        <w:t xml:space="preserve">, </w:t>
      </w:r>
      <w:r>
        <w:rPr>
          <w:rFonts w:ascii="Consolas" w:hAnsi="Consolas"/>
          <w:color w:val="233648"/>
          <w:sz w:val="16"/>
        </w:rPr>
        <w:t>.report.json</w:t>
      </w:r>
      <w:r>
        <w:t xml:space="preserve"> y una salida de referencia.</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El directorio </w:t>
      </w:r>
      <w:r>
        <w:rPr>
          <w:rFonts w:ascii="Consolas" w:hAnsi="Consolas"/>
          <w:color w:val="233648"/>
          <w:sz w:val="16"/>
        </w:rPr>
        <w:t>examples</w:t>
      </w:r>
      <w:r>
        <w:t xml:space="preserve"> contiene un proyecto completo que sirve como punto de partida; </w:t>
      </w:r>
      <w:r>
        <w:rPr>
          <w:rFonts w:ascii="Consolas" w:hAnsi="Consolas"/>
          <w:color w:val="233648"/>
          <w:sz w:val="16"/>
        </w:rPr>
        <w:t>templates</w:t>
      </w:r>
      <w:r>
        <w:t xml:space="preserve"> contiene dos plantillas de referencia, vertical y horizontal, que usan los cinco tipos de marcador.</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