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 (sección 2.2)</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«Nuevo proyecto desde DOCX» lo copia a proyectos\&lt;nombre&gt;\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 o se vuelve a cargar</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 junto al DOCX</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Volver a usar «Nuevo proyecto desde DOCX» con el mismo nombre: regenera el proyecto y guarda los anteriores como .bak (sección 2.2)</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2"/>
        <w:keepNext/>
      </w:pPr>
      <w:r>
        <w:t>2.2 Carpeta de proyectos</w:t>
      </w:r>
    </w:p>
    <w:p>
      <w:r>
        <w:t xml:space="preserve">Cada reporte vive en </w:t>
      </w:r>
      <w:r>
        <w:rPr>
          <w:rFonts w:ascii="Consolas" w:hAnsi="Consolas"/>
          <w:color w:val="233648"/>
          <w:sz w:val="16"/>
        </w:rPr>
        <w:t>proyectos\&lt;nombre&gt;\</w:t>
      </w:r>
      <w:r>
        <w:t xml:space="preserve">, donde </w:t>
      </w:r>
      <w:r>
        <w:rPr>
          <w:rFonts w:ascii="Consolas" w:hAnsi="Consolas"/>
          <w:color w:val="233648"/>
          <w:sz w:val="16"/>
        </w:rPr>
        <w:t>&lt;nombre&gt;</w:t>
      </w:r>
      <w:r>
        <w:t xml:space="preserve"> es el nombre del DOCX. En la carpeta del reporte queda solo lo que se mira o se sube; el material de trabajo va en la subcarpeta </w:t>
      </w:r>
      <w:r>
        <w:rPr>
          <w:rFonts w:ascii="Consolas" w:hAnsi="Consolas"/>
          <w:color w:val="233648"/>
          <w:sz w:val="16"/>
        </w:rPr>
        <w:t>generado\</w:t>
      </w:r>
      <w:r>
        <w:t>, que existe siempre: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w:t>
            </w:r>
            <w:r>
              <w:br/>
            </w:r>
            <w:r>
              <w:rPr>
                <w:rFonts w:ascii="Consolas" w:hAnsi="Consolas"/>
                <w:color w:val="233648"/>
                <w:sz w:val="16"/>
              </w:rPr>
              <w:t xml:space="preserve">  ventas\</w:t>
            </w:r>
            <w:r>
              <w:br/>
            </w:r>
            <w:r>
              <w:rPr>
                <w:rFonts w:ascii="Consolas" w:hAnsi="Consolas"/>
                <w:color w:val="233648"/>
                <w:sz w:val="16"/>
              </w:rPr>
              <w:t xml:space="preserve">    ventas.docx               &lt;- plantilla (se edita en Word)</w:t>
            </w:r>
            <w:r>
              <w:br/>
            </w:r>
            <w:r>
              <w:rPr>
                <w:rFonts w:ascii="Consolas" w:hAnsi="Consolas"/>
                <w:color w:val="233648"/>
                <w:sz w:val="16"/>
              </w:rPr>
              <w:t xml:space="preserve">    apex_process.sql          &lt;- lo único que se pega en APEX</w:t>
            </w:r>
            <w:r>
              <w:br/>
            </w:r>
            <w:r>
              <w:rPr>
                <w:rFonts w:ascii="Consolas" w:hAnsi="Consolas"/>
                <w:color w:val="233648"/>
                <w:sz w:val="16"/>
              </w:rPr>
              <w:t xml:space="preserve">    generado\                 &lt;- no se sube a APEX</w:t>
            </w:r>
            <w:r>
              <w:br/>
            </w:r>
            <w:r>
              <w:rPr>
                <w:rFonts w:ascii="Consolas" w:hAnsi="Consolas"/>
                <w:color w:val="233648"/>
                <w:sz w:val="16"/>
              </w:rPr>
              <w:t xml:space="preserve">      ventas.sql              &lt;- consulta fuente; su texto se incrusta en apex_process.sql</w:t>
            </w:r>
            <w:r>
              <w:br/>
            </w:r>
            <w:r>
              <w:rPr>
                <w:rFonts w:ascii="Consolas" w:hAnsi="Consolas"/>
                <w:color w:val="233648"/>
                <w:sz w:val="16"/>
              </w:rPr>
              <w:t xml:space="preserve">      ventas.report.json      &lt;- binds, campos, anchos, estilos</w:t>
            </w:r>
            <w:r>
              <w:br/>
            </w:r>
            <w:r>
              <w:rPr>
                <w:rFonts w:ascii="Consolas" w:hAnsi="Consolas"/>
                <w:color w:val="233648"/>
                <w:sz w:val="16"/>
              </w:rPr>
              <w:t xml:space="preserve">      template.json           &lt;- definición compilada</w:t>
            </w:r>
            <w:r>
              <w:br/>
            </w:r>
            <w:r>
              <w:rPr>
                <w:rFonts w:ascii="Consolas" w:hAnsi="Consolas"/>
                <w:color w:val="233648"/>
                <w:sz w:val="16"/>
              </w:rPr>
              <w:t xml:space="preserve">      validation.json         &lt;- diagnósticos</w:t>
            </w:r>
          </w:p>
        </w:tc>
      </w:tr>
    </w:tbl>
    <w:p>
      <w:r>
        <w:t xml:space="preserve">El </w:t>
      </w:r>
      <w:r>
        <w:rPr>
          <w:rFonts w:ascii="Consolas" w:hAnsi="Consolas"/>
          <w:color w:val="233648"/>
          <w:sz w:val="16"/>
        </w:rPr>
        <w:t>.sql</w:t>
      </w:r>
      <w:r>
        <w:t xml:space="preserve"> no se sube a APEX como archivo: al compilar, la consulta se copia dentro de </w:t>
      </w:r>
      <w:r>
        <w:rPr>
          <w:rFonts w:ascii="Consolas" w:hAnsi="Consolas"/>
          <w:color w:val="233648"/>
          <w:sz w:val="16"/>
        </w:rPr>
        <w:t>apex_process.sql</w:t>
      </w:r>
      <w:r>
        <w:t xml:space="preserve">. El package común </w:t>
      </w:r>
      <w:r>
        <w:rPr>
          <w:rFonts w:ascii="Consolas" w:hAnsi="Consolas"/>
          <w:color w:val="233648"/>
          <w:sz w:val="16"/>
        </w:rPr>
        <w:t>sql\modo_simple\pkg_corporate_reports.sql</w:t>
      </w:r>
      <w:r>
        <w:t xml:space="preserve"> se instala aparte, una sola vez por esquema (sección 8).</w:t>
      </w:r>
    </w:p>
    <w:p>
      <w:r>
        <w:t>Reglas de la carpeta:</w:t>
      </w:r>
    </w:p>
    <w:p>
      <w:pPr>
        <w:spacing w:after="60"/>
        <w:ind w:left="369" w:hanging="255"/>
      </w:pPr>
      <w:r>
        <w:t xml:space="preserve">• </w:t>
      </w:r>
      <w:r>
        <w:t xml:space="preserve">Si el DOCX elegido está en otra carpeta (Descargas, correo, red), se </w:t>
      </w:r>
      <w:r>
        <w:rPr>
          <w:b/>
        </w:rPr>
        <w:t>copia</w:t>
      </w:r>
      <w:r>
        <w:t xml:space="preserve"> a </w:t>
      </w:r>
      <w:r>
        <w:rPr>
          <w:rFonts w:ascii="Consolas" w:hAnsi="Consolas"/>
          <w:color w:val="233648"/>
          <w:sz w:val="16"/>
        </w:rPr>
        <w:t>proyectos\&lt;nombre&gt;\&lt;nombre&gt;.docx</w:t>
      </w:r>
      <w:r>
        <w:t>. Si ya está allí, se usa en su sitio.</w:t>
      </w:r>
    </w:p>
    <w:p>
      <w:pPr>
        <w:spacing w:after="60"/>
        <w:ind w:left="369" w:hanging="255"/>
      </w:pPr>
      <w:r>
        <w:t xml:space="preserve">• </w:t>
      </w:r>
      <w:r>
        <w:t xml:space="preserve">Si se vuelve a cargar un DOCX con el </w:t>
      </w:r>
      <w:r>
        <w:rPr>
          <w:b/>
        </w:rPr>
        <w:t>mismo nombre</w:t>
      </w:r>
      <w:r>
        <w:t xml:space="preserve">, la herramienta pide confirmación y reemplaza solo sus archivos conocidos: el DOCX, </w:t>
      </w:r>
      <w:r>
        <w:rPr>
          <w:rFonts w:ascii="Consolas" w:hAnsi="Consolas"/>
          <w:color w:val="233648"/>
          <w:sz w:val="16"/>
        </w:rPr>
        <w:t>apex_process.sql</w:t>
      </w:r>
      <w:r>
        <w:t xml:space="preserve"> y los cuatro de </w:t>
      </w:r>
      <w:r>
        <w:rPr>
          <w:rFonts w:ascii="Consolas" w:hAnsi="Consolas"/>
          <w:color w:val="233648"/>
          <w:sz w:val="16"/>
        </w:rPr>
        <w:t>generado\</w:t>
      </w:r>
      <w:r>
        <w:t xml:space="preserve">. De cada uno guarda antes una copia </w:t>
      </w:r>
      <w:r>
        <w:rPr>
          <w:rFonts w:ascii="Consolas" w:hAnsi="Consolas"/>
          <w:color w:val="233648"/>
          <w:sz w:val="16"/>
        </w:rPr>
        <w:t>generado\&lt;archivo&gt;.bak</w:t>
      </w:r>
      <w:r>
        <w:t xml:space="preserve"> (la siguiente carga sobrescribe esa copia).</w:t>
      </w:r>
    </w:p>
    <w:p>
      <w:pPr>
        <w:spacing w:after="60"/>
        <w:ind w:left="369" w:hanging="255"/>
      </w:pPr>
      <w:r>
        <w:t xml:space="preserve">• </w:t>
      </w:r>
      <w:r>
        <w:t xml:space="preserve">Cualquier </w:t>
      </w:r>
      <w:r>
        <w:rPr>
          <w:b/>
        </w:rPr>
        <w:t>otro archivo</w:t>
      </w:r>
      <w:r>
        <w:t xml:space="preserve"> que se guarde en la carpeta del reporte o en </w:t>
      </w:r>
      <w:r>
        <w:rPr>
          <w:rFonts w:ascii="Consolas" w:hAnsi="Consolas"/>
          <w:color w:val="233648"/>
          <w:sz w:val="16"/>
        </w:rPr>
        <w:t>generado\</w:t>
      </w:r>
      <w:r>
        <w:t xml:space="preserve"> (notas, capturas, documentación) no se toca nunca.</w:t>
      </w:r>
    </w:p>
    <w:p>
      <w:pPr>
        <w:spacing w:after="60"/>
        <w:ind w:left="369" w:hanging="255"/>
      </w:pPr>
      <w:r>
        <w:t xml:space="preserve">• </w:t>
      </w:r>
      <w:r>
        <w:t xml:space="preserve">La compilación reemplaza únicamente </w:t>
      </w:r>
      <w:r>
        <w:rPr>
          <w:rFonts w:ascii="Consolas" w:hAnsi="Consolas"/>
          <w:color w:val="233648"/>
          <w:sz w:val="16"/>
        </w:rPr>
        <w:t>apex_process.sql</w:t>
      </w:r>
      <w:r>
        <w:t xml:space="preserve">, </w:t>
      </w:r>
      <w:r>
        <w:rPr>
          <w:rFonts w:ascii="Consolas" w:hAnsi="Consolas"/>
          <w:color w:val="233648"/>
          <w:sz w:val="16"/>
        </w:rPr>
        <w:t>generado\template.json</w:t>
      </w:r>
      <w:r>
        <w:t xml:space="preserve"> y </w:t>
      </w:r>
      <w:r>
        <w:rPr>
          <w:rFonts w:ascii="Consolas" w:hAnsi="Consolas"/>
          <w:color w:val="233648"/>
          <w:sz w:val="16"/>
        </w:rPr>
        <w:t>generado\validation.json</w:t>
      </w:r>
      <w:r>
        <w:t>.</w:t>
      </w:r>
    </w:p>
    <w:p>
      <w:pPr>
        <w:spacing w:after="60"/>
        <w:ind w:left="369" w:hanging="255"/>
      </w:pPr>
      <w:r>
        <w:t xml:space="preserve">• </w:t>
      </w:r>
      <w:r>
        <w:t xml:space="preserve">Las rutas del </w:t>
      </w:r>
      <w:r>
        <w:rPr>
          <w:rFonts w:ascii="Consolas" w:hAnsi="Consolas"/>
          <w:color w:val="233648"/>
          <w:sz w:val="16"/>
        </w:rPr>
        <w:t>.report.json</w:t>
      </w:r>
      <w:r>
        <w:t xml:space="preserve"> no pueden salir de </w:t>
      </w:r>
      <w:r>
        <w:rPr>
          <w:rFonts w:ascii="Consolas" w:hAnsi="Consolas"/>
          <w:color w:val="233648"/>
          <w:sz w:val="16"/>
        </w:rPr>
        <w:t>proyectos\&lt;nombre&gt;\</w:t>
      </w:r>
      <w:r>
        <w:t xml:space="preserve"> (</w:t>
      </w:r>
      <w:r>
        <w:rPr>
          <w:rFonts w:ascii="Consolas" w:hAnsi="Consolas"/>
          <w:color w:val="233648"/>
          <w:sz w:val="16"/>
        </w:rPr>
        <w:t>PROJECT-005</w:t>
      </w:r>
      <w:r>
        <w:t>).</w:t>
      </w:r>
    </w:p>
    <w:p>
      <w:r>
        <w:t xml:space="preserve">El proyecto de ejemplo </w:t>
      </w:r>
      <w:r>
        <w:rPr>
          <w:rFonts w:ascii="Consolas" w:hAnsi="Consolas"/>
          <w:color w:val="233648"/>
          <w:sz w:val="16"/>
        </w:rPr>
        <w:t>proyectos\entidades\</w:t>
      </w:r>
      <w:r>
        <w:t xml:space="preserve"> sigue la misma organización y es el único que además incluye su documentación (</w:t>
      </w:r>
      <w:r>
        <w:rPr>
          <w:rFonts w:ascii="Consolas" w:hAnsi="Consolas"/>
          <w:color w:val="233648"/>
          <w:sz w:val="16"/>
        </w:rPr>
        <w:t>README.docx</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.docx</w:t>
            </w:r>
          </w:p>
          <w:p>
            <w:pPr>
              <w:keepNext/>
              <w:spacing w:after="0"/>
              <w:jc w:val="center"/>
            </w:pPr>
            <w:r>
              <w:rPr>
                <w:sz w:val="15"/>
              </w:rPr>
              <w:t>desde cualquier carpeta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la plantilla</w:t>
            </w:r>
          </w:p>
          <w:p>
            <w:pPr>
              <w:keepNext/>
              <w:spacing w:after="0"/>
              <w:jc w:val="center"/>
            </w:pPr>
            <w:r>
              <w:rPr>
                <w:sz w:val="15"/>
              </w:rPr>
              <w:t>si no es válida, se informa y no se toca ningún archivo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¿proyectos\&lt;nombre&gt;\ está vacío o no existe?</w:t>
            </w:r>
          </w:p>
          <w:p>
            <w:pPr>
              <w:keepNext/>
              <w:spacing w:after="0"/>
              <w:jc w:val="center"/>
            </w:pPr>
            <w:r>
              <w:rPr>
                <w:sz w:val="15"/>
              </w:rPr>
              <w:t>No: pedir confirmación; si se acepta, mover cada archivo conocido a generado\&lt;archivo&gt;.bak</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Copiar el Word a proyectos\&lt;nombre&gt;\&lt;nombre&gt;.docx</w:t>
            </w:r>
          </w:p>
          <w:p>
            <w:pPr>
              <w:keepNext/>
              <w:spacing w:after="0"/>
              <w:jc w:val="center"/>
            </w:pPr>
            <w:r>
              <w:rPr>
                <w:sz w:val="15"/>
              </w:rPr>
              <w:t>se omite si el DOCX ya estaba allí</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generado\&lt;nombre&gt;.sql y generado\&lt;nombre&gt;.report.json</w:t>
            </w:r>
          </w:p>
          <w:p>
            <w:pPr>
              <w:keepNext/>
              <w:spacing w:after="0"/>
              <w:jc w:val="center"/>
            </w:pPr>
            <w:r>
              <w:rPr>
                <w:sz w:val="15"/>
              </w:rPr>
              <w:t>esqueleto: un alias y un filtro opcional por columna; un campo por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 validar y compilar</w:t>
            </w:r>
          </w:p>
          <w:p>
            <w:pPr>
              <w:keepNext/>
              <w:spacing w:after="0"/>
              <w:jc w:val="center"/>
            </w:pPr>
            <w:r>
              <w:rPr>
                <w:sz w:val="15"/>
              </w:rPr>
              <w:t>apex_process.sql aparece junto al DOCX</w:t>
            </w:r>
          </w:p>
        </w:tc>
      </w:tr>
    </w:tbl>
    <w:p>
      <w:pPr>
        <w:spacing w:before="60"/>
        <w:jc w:val="center"/>
      </w:pPr>
      <w:r>
        <w:rPr>
          <w:i/>
          <w:color w:val="4A5563"/>
          <w:sz w:val="16"/>
        </w:rPr>
        <w:t>Figura 2. Cargar un DOCX en la carpeta de proyectos</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Copia el Word a proyectos\&lt;nombre&gt;\ y crea </w:t>
            </w:r>
            <w:r>
              <w:rPr>
                <w:rFonts w:ascii="Aptos" w:hAnsi="Aptos"/>
                <w:b/>
                <w:sz w:val="16"/>
              </w:rPr>
              <w:t>automáticamente</w:t>
            </w:r>
            <w:r>
              <w:rPr>
                <w:rFonts w:ascii="Aptos" w:hAnsi="Aptos"/>
                <w:sz w:val="16"/>
              </w:rPr>
              <w:t xml:space="preserve"> en generado\ el &lt;nombre&gt;.report.json y el &lt;nombre&gt;.sql, con un filtro opcional por columna. Cada filtro se enlaza a un Page Item PXX_&lt;ALIAS&gt; (o P42_&lt;ALIAS&gt; si indica el número de página) y cada {{FIELD:NOMBRE}} a PXX_&lt;NOMBRE&gt;. Si la carpeta ya existe, pide confirmación y guarda copias .bak (sección 2.2).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apex_process.sql en proyectos\&lt;nombre&gt;\ y template.json y validation.json en generado\,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apex_process.sql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proyectos\&lt;nombre&gt;\, donde está apex_process.sql.</w:t>
            </w:r>
          </w:p>
        </w:tc>
      </w:tr>
    </w:tbl>
    <w:p>
      <w:pPr>
        <w:spacing w:after="20"/>
      </w:pPr>
    </w:p>
    <w:p>
      <w:r>
        <w:t xml:space="preserve">Ejemplo de lo que genera automáticamente en </w:t>
      </w:r>
      <w:r>
        <w:rPr>
          <w:rFonts w:ascii="Consolas" w:hAnsi="Consolas"/>
          <w:color w:val="233648"/>
          <w:sz w:val="16"/>
        </w:rPr>
        <w:t>generado\entidades.sql</w:t>
      </w:r>
      <w:r>
        <w:t xml:space="preserv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proyectos/entidades/entidades.docx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Vive en </w:t>
      </w:r>
      <w:r>
        <w:rPr>
          <w:rFonts w:ascii="Consolas" w:hAnsi="Consolas"/>
          <w:color w:val="233648"/>
          <w:sz w:val="16"/>
        </w:rPr>
        <w:t>proyectos\&lt;nombre&gt;\generado\</w:t>
      </w:r>
      <w:r>
        <w:t xml:space="preserve">; sus rutas son relativas a ese archivo y deben permanecer dentro de </w:t>
      </w:r>
      <w:r>
        <w:rPr>
          <w:rFonts w:ascii="Consolas" w:hAnsi="Consolas"/>
          <w:color w:val="233648"/>
          <w:sz w:val="16"/>
        </w:rPr>
        <w:t>proyectos\&lt;nombre&gt;\</w:t>
      </w:r>
      <w:r>
        <w:t>.</w:t>
      </w:r>
    </w:p>
    <w:p>
      <w:r>
        <w:t xml:space="preserve">Versión comentada del ejemplo </w:t>
      </w:r>
      <w:r>
        <w:rPr>
          <w:rFonts w:ascii="Consolas" w:hAnsi="Consolas"/>
          <w:color w:val="233648"/>
          <w:sz w:val="16"/>
        </w:rPr>
        <w:t>proyectos/entidades/generado/entidades.report.json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esa carpeta.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t>No existe límite de filas: el reporte exporta todas las filas que devuelve la consulta. El volumen se controla con los filtros, que Informática revisa antes de publicar el reporte. Antes de publicar, pruebe el reporte con los filtros vacíos para conocer el volumen máximo real.</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w:t>
            </w:r>
          </w:p>
          <w:p>
            <w:pPr>
              <w:keepNext/>
              <w:spacing w:after="0"/>
              <w:jc w:val="center"/>
            </w:pPr>
            <w:r>
              <w:rPr>
                <w:sz w:val="15"/>
              </w:rPr>
              <w:t>apex_process.sql en proyectos\&lt;nombre&gt;\; template.json y validation.json en generado\; solo esos tres archivos se reemplazan</w:t>
            </w:r>
          </w:p>
        </w:tc>
      </w:tr>
    </w:tbl>
    <w:p>
      <w:pPr>
        <w:spacing w:before="60"/>
        <w:jc w:val="center"/>
      </w:pPr>
      <w:r>
        <w:rPr>
          <w:i/>
          <w:color w:val="4A5563"/>
          <w:sz w:val="16"/>
        </w:rPr>
        <w:t>Figura 3. Validación y compilación</w:t>
      </w:r>
    </w:p>
    <w:p>
      <w:r>
        <w:t>La interfaz gráfica hace todo esto con los botones.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Cargar el Word en proyectos\ventas\ (desde cualquier carpeta)</w:t>
            </w:r>
            <w:r>
              <w:br/>
            </w:r>
            <w:r>
              <w:rPr>
                <w:rFonts w:ascii="Consolas" w:hAnsi="Consolas"/>
                <w:color w:val="233648"/>
                <w:sz w:val="16"/>
              </w:rPr>
              <w:t>apex-report-compiler new --docx C:\Descargas\ventas.docx --page 42</w:t>
            </w:r>
            <w:r>
              <w:br/>
            </w:r>
            <w:r>
              <w:br/>
            </w:r>
            <w:r>
              <w:rPr>
                <w:rFonts w:ascii="Consolas" w:hAnsi="Consolas"/>
                <w:color w:val="233648"/>
                <w:sz w:val="16"/>
              </w:rPr>
              <w:t># Volver a cargarlo con el mismo nombre: --replace guarda copias .bak en generado\</w:t>
            </w:r>
            <w:r>
              <w:br/>
            </w:r>
            <w:r>
              <w:rPr>
                <w:rFonts w:ascii="Consolas" w:hAnsi="Consolas"/>
                <w:color w:val="233648"/>
                <w:sz w:val="16"/>
              </w:rPr>
              <w:t>apex-report-compiler new --docx C:\Descargas\ventas.docx --page 42 --replace</w:t>
            </w:r>
          </w:p>
        </w:tc>
      </w:tr>
    </w:tbl>
    <w:p>
      <w:r>
        <w:t>Valide,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.\proyectos\ventas\generado\ventas.report.json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Sin --output: apex_process.sql va a proyectos\ventas\ y el resto a generado\</w:t>
            </w:r>
            <w:r>
              <w:br/>
            </w:r>
            <w:r>
              <w:rPr>
                <w:rFonts w:ascii="Consolas" w:hAnsi="Consolas"/>
                <w:color w:val="233648"/>
                <w:sz w:val="16"/>
              </w:rPr>
              <w:t>apex-report-compiler compile `</w:t>
            </w:r>
            <w:r>
              <w:br/>
            </w:r>
            <w:r>
              <w:rPr>
                <w:rFonts w:ascii="Consolas" w:hAnsi="Consolas"/>
                <w:color w:val="233648"/>
                <w:sz w:val="16"/>
              </w:rPr>
              <w:t xml:space="preserve">  --project .\proyectos\ventas\generado\ventas.report.json</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.\proyectos\ventas\generado\ventas.report.json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.\proyectos\ventas\generado\ventas.report.json</w:t>
            </w:r>
            <w:r>
              <w:br/>
            </w:r>
            <w:r>
              <w:br/>
            </w:r>
            <w:r>
              <w:rPr>
                <w:rFonts w:ascii="Consolas" w:hAnsi="Consolas"/>
                <w:color w:val="233648"/>
                <w:sz w:val="16"/>
              </w:rPr>
              <w:t># Enviar los tres archivos a otra carpeta (por ejemplo, para comparar versiones)</w:t>
            </w:r>
            <w:r>
              <w:br/>
            </w:r>
            <w:r>
              <w:rPr>
                <w:rFonts w:ascii="Consolas" w:hAnsi="Consolas"/>
                <w:color w:val="233648"/>
                <w:sz w:val="16"/>
              </w:rPr>
              <w:t>apex-report-compiler compile --project .\proyectos\ventas\generado\ventas.report.json --output .\build\ventas</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generado\template.json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generado\validation.json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 en APEX (junto al DOCX)</w:t>
            </w:r>
          </w:p>
        </w:tc>
      </w:tr>
    </w:tbl>
    <w:p>
      <w:pPr>
        <w:spacing w:after="20"/>
      </w:pPr>
    </w:p>
    <w:p>
      <w:r>
        <w:t xml:space="preserve">Estos tres archivos se regeneran en cada compilación a partir del DOCX, el SQL y el proyecto; los demás archivos de la carpeta no se tocan. Si una compilación falla, se conserva intacta la última salida válida. Con </w:t>
      </w:r>
      <w:r>
        <w:rPr>
          <w:rFonts w:ascii="Consolas" w:hAnsi="Consolas"/>
          <w:color w:val="233648"/>
          <w:sz w:val="16"/>
        </w:rPr>
        <w:t>--output</w:t>
      </w:r>
      <w:r>
        <w:t xml:space="preserve">, la carpeta indicada no puede sobrescribir el </w:t>
      </w:r>
      <w:r>
        <w:rPr>
          <w:rFonts w:ascii="Consolas" w:hAnsi="Consolas"/>
          <w:color w:val="233648"/>
          <w:sz w:val="16"/>
        </w:rPr>
        <w:t>.sql</w:t>
      </w:r>
      <w:r>
        <w:t xml:space="preserve"> ni el </w:t>
      </w:r>
      <w:r>
        <w:rPr>
          <w:rFonts w:ascii="Consolas" w:hAnsi="Consolas"/>
          <w:color w:val="233648"/>
          <w:sz w:val="16"/>
        </w:rPr>
        <w:t>.report.json</w:t>
      </w:r>
      <w:r>
        <w:t xml:space="preserve"> (</w:t>
      </w:r>
      <w:r>
        <w:rPr>
          <w:rFonts w:ascii="Consolas" w:hAnsi="Consolas"/>
          <w:color w:val="233648"/>
          <w:sz w:val="16"/>
        </w:rPr>
        <w:t>IO-003</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@sql/modo_simple/install.sql</w:t>
            </w:r>
          </w:p>
        </w:tc>
      </w:tr>
    </w:tbl>
    <w:p>
      <w:r>
        <w:t xml:space="preserve">Desde SQL Workshop cargue y ejecute </w:t>
      </w:r>
      <w:r>
        <w:rPr>
          <w:rFonts w:ascii="Consolas" w:hAnsi="Consolas"/>
          <w:color w:val="233648"/>
          <w:sz w:val="16"/>
        </w:rPr>
        <w:t>sql/modo_simple/pkg_corporate_reports.sql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sql/modo_simple/pkg_corporate_reports.sql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 El XLSX lleva solo títulos de columna y datos</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 (el XLSX debe traer solo títulos de columna y datos, sin encabezado ni pie);</w:t>
      </w:r>
    </w:p>
    <w:p>
      <w:pPr>
        <w:spacing w:after="60"/>
        <w:ind w:left="369" w:hanging="255"/>
      </w:pPr>
      <w:r>
        <w:t xml:space="preserve">• </w:t>
      </w:r>
      <w:r>
        <w:t>consulta con cero, una y muchas filas;</w:t>
      </w:r>
    </w:p>
    <w:p>
      <w:pPr>
        <w:spacing w:after="60"/>
        <w:ind w:left="369" w:hanging="255"/>
      </w:pPr>
      <w:r>
        <w:t xml:space="preserve">• </w:t>
      </w:r>
      <w:r>
        <w:t>volumen grande con los filtros vacíos (todas las filas se exportan);</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 del PDF;</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GUIDE-002</w:t>
            </w:r>
          </w:p>
        </w:tc>
        <w:tc>
          <w:tcPr>
            <w:tcW w:type="dxa" w:w="3324"/>
            <w:vAlign w:val="center"/>
            <w:tcMar>
              <w:top w:w="90" w:type="dxa"/>
              <w:start w:w="110" w:type="dxa"/>
              <w:bottom w:w="90" w:type="dxa"/>
              <w:end w:w="110" w:type="dxa"/>
            </w:tcMar>
            <w:shd w:fill="FFFFFF"/>
          </w:tcPr>
          <w:p>
            <w:pPr>
              <w:spacing w:after="0"/>
            </w:pPr>
            <w:r>
              <w:rPr>
                <w:rFonts w:ascii="Aptos" w:hAnsi="Aptos"/>
                <w:sz w:val="16"/>
              </w:rPr>
              <w:t>Se volvió a cargar un DOCX con el mismo nombre sin confirmar</w:t>
            </w:r>
          </w:p>
        </w:tc>
        <w:tc>
          <w:tcPr>
            <w:tcW w:type="dxa" w:w="3324"/>
            <w:vAlign w:val="center"/>
            <w:tcMar>
              <w:top w:w="90" w:type="dxa"/>
              <w:start w:w="110" w:type="dxa"/>
              <w:bottom w:w="90" w:type="dxa"/>
              <w:end w:w="110" w:type="dxa"/>
            </w:tcMar>
            <w:shd w:fill="FFFFFF"/>
          </w:tcPr>
          <w:p>
            <w:pPr>
              <w:spacing w:after="0"/>
            </w:pPr>
            <w:r>
              <w:rPr>
                <w:rFonts w:ascii="Aptos" w:hAnsi="Aptos"/>
                <w:sz w:val="16"/>
              </w:rPr>
              <w:t>Confirmar en la ventana o usar --replace; se guardan copias .bak</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PROJECT-005</w:t>
            </w:r>
          </w:p>
        </w:tc>
        <w:tc>
          <w:tcPr>
            <w:tcW w:type="dxa" w:w="3324"/>
            <w:vAlign w:val="center"/>
            <w:tcMar>
              <w:top w:w="90" w:type="dxa"/>
              <w:start w:w="110" w:type="dxa"/>
              <w:bottom w:w="90" w:type="dxa"/>
              <w:end w:w="110" w:type="dxa"/>
            </w:tcMar>
            <w:shd w:fill="F5F7F9"/>
          </w:tcPr>
          <w:p>
            <w:pPr>
              <w:spacing w:after="0"/>
            </w:pPr>
            <w:r>
              <w:rPr>
                <w:rFonts w:ascii="Aptos" w:hAnsi="Aptos"/>
                <w:sz w:val="16"/>
              </w:rPr>
              <w:t>Una ruta del .report.json sale de proyectos\&lt;nombre&gt;\</w:t>
            </w:r>
          </w:p>
        </w:tc>
        <w:tc>
          <w:tcPr>
            <w:tcW w:type="dxa" w:w="3324"/>
            <w:vAlign w:val="center"/>
            <w:tcMar>
              <w:top w:w="90" w:type="dxa"/>
              <w:start w:w="110" w:type="dxa"/>
              <w:bottom w:w="90" w:type="dxa"/>
              <w:end w:w="110" w:type="dxa"/>
            </w:tcMar>
            <w:shd w:fill="F5F7F9"/>
          </w:tcPr>
          <w:p>
            <w:pPr>
              <w:spacing w:after="0"/>
            </w:pPr>
            <w:r>
              <w:rPr>
                <w:rFonts w:ascii="Aptos" w:hAnsi="Aptos"/>
                <w:sz w:val="16"/>
              </w:rPr>
              <w:t>Mantener la plantilla en ../&lt;nombre&gt;.docx y el SQL en generado\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FFFFF"/>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FFFFF"/>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TOKEN-005</w:t>
            </w:r>
          </w:p>
        </w:tc>
        <w:tc>
          <w:tcPr>
            <w:tcW w:type="dxa" w:w="3324"/>
            <w:vAlign w:val="center"/>
            <w:tcMar>
              <w:top w:w="90" w:type="dxa"/>
              <w:start w:w="110" w:type="dxa"/>
              <w:bottom w:w="90" w:type="dxa"/>
              <w:end w:w="110" w:type="dxa"/>
            </w:tcMar>
            <w:shd w:fill="F5F7F9"/>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5F7F9"/>
          </w:tcPr>
          <w:p>
            <w:pPr>
              <w:spacing w:after="0"/>
            </w:pPr>
            <w:r>
              <w:rPr>
                <w:rFonts w:ascii="Aptos" w:hAnsi="Aptos"/>
                <w:sz w:val="16"/>
              </w:rPr>
              <w:t>Escribir {{APP_USER}} sin FIELD:</w:t>
            </w:r>
          </w:p>
        </w:tc>
      </w:tr>
    </w:tbl>
    <w:p>
      <w:pPr>
        <w:spacing w:after="20"/>
      </w:pPr>
    </w:p>
    <w:p>
      <w:pPr>
        <w:pStyle w:val="Heading1"/>
        <w:keepNext/>
      </w:pPr>
      <w:r>
        <w:t>12. Mantenimiento recomendado</w:t>
      </w:r>
    </w:p>
    <w:p>
      <w:pPr>
        <w:spacing w:after="60"/>
        <w:ind w:left="369" w:hanging="255"/>
      </w:pPr>
      <w:r>
        <w:t xml:space="preserve">• </w:t>
      </w:r>
      <w:r>
        <w:t xml:space="preserve">Mantenga cada reporte en su carpeta </w:t>
      </w:r>
      <w:r>
        <w:rPr>
          <w:rFonts w:ascii="Consolas" w:hAnsi="Consolas"/>
          <w:color w:val="233648"/>
          <w:sz w:val="16"/>
        </w:rPr>
        <w:t>proyectos\&lt;nombre&gt;\</w:t>
      </w:r>
      <w:r>
        <w:t>; guarde allí cualquier material adicional, que nunca se borra.</w:t>
      </w:r>
    </w:p>
    <w:p>
      <w:pPr>
        <w:spacing w:after="60"/>
        <w:ind w:left="369" w:hanging="255"/>
      </w:pPr>
      <w:r>
        <w:t xml:space="preserve">• </w:t>
      </w:r>
      <w:r>
        <w:t xml:space="preserve">Antes de volver a cargar un DOCX con el mismo nombre, recuerde que el </w:t>
      </w:r>
      <w:r>
        <w:rPr>
          <w:rFonts w:ascii="Consolas" w:hAnsi="Consolas"/>
          <w:color w:val="233648"/>
          <w:sz w:val="16"/>
        </w:rPr>
        <w:t>.sql</w:t>
      </w:r>
      <w:r>
        <w:t xml:space="preserve"> y el </w:t>
      </w:r>
      <w:r>
        <w:rPr>
          <w:rFonts w:ascii="Consolas" w:hAnsi="Consolas"/>
          <w:color w:val="233648"/>
          <w:sz w:val="16"/>
        </w:rPr>
        <w:t>.report.json</w:t>
      </w:r>
      <w:r>
        <w:t xml:space="preserve"> se regeneran: recupere sus cambios desde los </w:t>
      </w:r>
      <w:r>
        <w:rPr>
          <w:rFonts w:ascii="Consolas" w:hAnsi="Consolas"/>
          <w:color w:val="233648"/>
          <w:sz w:val="16"/>
        </w:rPr>
        <w:t>.bak</w:t>
      </w:r>
      <w:r>
        <w:t>.</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La carpeta </w:t>
      </w:r>
      <w:r>
        <w:rPr>
          <w:rFonts w:ascii="Consolas" w:hAnsi="Consolas"/>
          <w:color w:val="233648"/>
          <w:sz w:val="16"/>
        </w:rPr>
        <w:t>proyectos\entidades</w:t>
      </w:r>
      <w:r>
        <w:t xml:space="preserve"> contiene un proyecto completo, con su documentación, que sirve como punto de partida; </w:t>
      </w:r>
      <w:r>
        <w:rPr>
          <w:rFonts w:ascii="Consolas" w:hAnsi="Consolas"/>
          <w:color w:val="233648"/>
          <w:sz w:val="16"/>
        </w:rPr>
        <w:t>templates</w:t>
      </w:r>
      <w:r>
        <w:t xml:space="preserve"> contiene dos plantillas de referencia, vertical y horizontal, que usan los cinco tipos de marcador.</w:t>
      </w:r>
    </w:p>
    <w:p>
      <w:pPr>
        <w:pStyle w:val="Heading1"/>
        <w:keepNext/>
      </w:pPr>
      <w:r>
        <w:t>13. Modo layout: varias tablas y maquetación libre</w:t>
      </w:r>
    </w:p>
    <w:p>
      <w:r>
        <w:t xml:space="preserve">El modo descrito en las secciones 4 a 12 usa </w:t>
      </w:r>
      <w:r>
        <w:rPr>
          <w:rFonts w:ascii="Consolas" w:hAnsi="Consolas"/>
          <w:color w:val="233648"/>
          <w:sz w:val="16"/>
        </w:rPr>
        <w:t>APEX_DATA_EXPORT</w:t>
      </w:r>
      <w:r>
        <w:t xml:space="preserve"> y admite una sola tabla. Para reportes como los de Oracle Reports con varias tablas, cuadrículas, recuadros, totales y número de página existe el </w:t>
      </w:r>
      <w:r>
        <w:rPr>
          <w:b/>
        </w:rPr>
        <w:t>modo layout</w:t>
      </w:r>
      <w:r>
        <w:t>: el compilador traduce el Word completo y lo imprime un motor PDF escrito en PL/SQL (</w:t>
      </w:r>
      <w:r>
        <w:rPr>
          <w:rFonts w:ascii="Consolas" w:hAnsi="Consolas"/>
          <w:color w:val="233648"/>
          <w:sz w:val="16"/>
        </w:rPr>
        <w:t>RPT_PDF</w:t>
      </w:r>
      <w:r>
        <w:t xml:space="preserve"> + </w:t>
      </w:r>
      <w:r>
        <w:rPr>
          <w:rFonts w:ascii="Consolas" w:hAnsi="Consolas"/>
          <w:color w:val="233648"/>
          <w:sz w:val="16"/>
        </w:rPr>
        <w:t>RPT_LAYOUT</w:t>
      </w:r>
      <w:r>
        <w:t xml:space="preserve">), sin Java, sin servidores de impresión y sin licencias. El compilador elige el modo según el proyecto: </w:t>
      </w:r>
      <w:r>
        <w:rPr>
          <w:rFonts w:ascii="Consolas" w:hAnsi="Consolas"/>
          <w:color w:val="233648"/>
          <w:sz w:val="16"/>
        </w:rPr>
        <w:t>corporate-layout-project/1.0</w:t>
      </w:r>
      <w:r>
        <w:t xml:space="preserve"> activa el modo layout.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el Word con varias tablas</w:t>
            </w:r>
          </w:p>
          <w:p>
            <w:pPr>
              <w:keepNext/>
              <w:spacing w:after="0"/>
              <w:jc w:val="center"/>
            </w:pPr>
            <w:r>
              <w:rPr>
                <w:sz w:val="15"/>
              </w:rPr>
              <w:t>maquetación con bordes visibles, blancos o sin borde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generado\q_&lt;consulta&gt;.sql por cada consulta y el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en cada q_&lt;consulta&gt;.sql la Query del reporte original</w:t>
            </w:r>
          </w:p>
          <w:p>
            <w:pPr>
              <w:keepNext/>
              <w:spacing w:after="0"/>
              <w:jc w:val="center"/>
            </w:pPr>
            <w:r>
              <w:rPr>
                <w:sz w:val="15"/>
              </w:rPr>
              <w:t>mismos binds :P_NOMBRE; edición mínima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rpt_&lt;reporte&gt;.sql y apex_process.sql junto al DOCX</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motor (una vez) y el package del reporte</w:t>
            </w:r>
          </w:p>
          <w:p>
            <w:pPr>
              <w:keepNext/>
              <w:spacing w:after="0"/>
              <w:jc w:val="center"/>
            </w:pPr>
            <w:r>
              <w:rPr>
                <w:sz w:val="15"/>
              </w:rPr>
              <w:t>sql\modo_layout\install.sql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w:t>
            </w:r>
          </w:p>
          <w:p>
            <w:pPr>
              <w:keepNext/>
              <w:spacing w:after="0"/>
              <w:jc w:val="center"/>
            </w:pPr>
            <w:r>
              <w:rPr>
                <w:sz w:val="15"/>
              </w:rPr>
              <w:t>el package ejecuta las consultas y dibuja el PDF</w:t>
            </w:r>
          </w:p>
        </w:tc>
      </w:tr>
    </w:tbl>
    <w:p>
      <w:pPr>
        <w:spacing w:before="60"/>
        <w:jc w:val="center"/>
      </w:pPr>
      <w:r>
        <w:rPr>
          <w:i/>
          <w:color w:val="4A5563"/>
          <w:sz w:val="16"/>
        </w:rPr>
        <w:t>Figura 6. Modo layout</w:t>
      </w:r>
    </w:p>
    <w:p>
      <w:pPr>
        <w:pStyle w:val="Heading2"/>
        <w:keepNext/>
      </w:pPr>
      <w:r>
        <w:t>13.1 Qué admite el Word</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Cómo se escribe en Word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Tabla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con {{COLUMN:CONSULTA.COLUMNA}}; las filas anteriores son cabecera y las posteriores, totales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por registro; la cabecera se repite en cada página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Totales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{{SUM:CONSULTA.COLUMNA}} en las filas posteriores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Suma de la columna en la tabla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Campo de una consulta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{{FIELD:CONSULTA.COLUMNA}} en cualquier párrafo o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Primera fila de la consulta (grupo maestro)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Parámetro o constante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del parámetro o de constants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Número de página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y {{PAGES}}, solo en el encabezado o pie de Word</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1 DE 3</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Barra vertical y máscara al final del marcador (ver el ejemplo comentado)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TO_CHAR con esa máscara, por ejemplo FM999G999G990D00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Maquetación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Tablas sin {{COLUMN:...}}, con bordes por celda: visibles, blancos o sin borde; rellenos; celdas combinadas en horizontal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Se dibujan tal cual</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Encabezado y pie</w:t>
            </w:r>
          </w:p>
        </w:tc>
        <w:tc>
          <w:tcPr>
            <w:tcW w:type="dxa" w:w="3324"/>
            <w:vAlign w:val="center"/>
            <w:tcMar>
              <w:top w:w="90" w:type="dxa"/>
              <w:start w:w="110" w:type="dxa"/>
              <w:bottom w:w="90" w:type="dxa"/>
              <w:end w:w="110" w:type="dxa"/>
            </w:tcMar>
            <w:shd w:fill="F5F7F9"/>
          </w:tcPr>
          <w:p>
            <w:pPr>
              <w:spacing w:after="0"/>
            </w:pPr>
            <w:r>
              <w:rPr>
                <w:rFonts w:ascii="Aptos" w:hAnsi="Aptos"/>
                <w:sz w:val="16"/>
              </w:rPr>
              <w:t>Párrafos y tablas en el encabezado/pie de Word</w:t>
            </w:r>
          </w:p>
        </w:tc>
        <w:tc>
          <w:tcPr>
            <w:tcW w:type="dxa" w:w="3324"/>
            <w:vAlign w:val="center"/>
            <w:tcMar>
              <w:top w:w="90" w:type="dxa"/>
              <w:start w:w="110" w:type="dxa"/>
              <w:bottom w:w="90" w:type="dxa"/>
              <w:end w:w="110" w:type="dxa"/>
            </w:tcMar>
            <w:shd w:fill="F5F7F9"/>
          </w:tcPr>
          <w:p>
            <w:pPr>
              <w:spacing w:after="0"/>
            </w:pPr>
            <w:r>
              <w:rPr>
                <w:rFonts w:ascii="Aptos" w:hAnsi="Aptos"/>
                <w:sz w:val="16"/>
              </w:rPr>
              <w:t>Se repiten en cada página</w:t>
            </w:r>
          </w:p>
        </w:tc>
      </w:tr>
    </w:tbl>
    <w:p>
      <w:pPr>
        <w:spacing w:after="20"/>
      </w:pPr>
    </w:p>
    <w:p>
      <w:r>
        <w:t>Se mantienen las restricciones de seguridad del modo simple (sin imágenes, macros, campos de Word ni contenido externo). No se admiten celdas combinadas en vertical ni tablas anidadas, y el texto de una celda no se parte en varias líneas automáticamente: use saltos de línea manuales. Las fuentes se imprimen como Helvetica.</w:t>
      </w:r>
    </w:p>
    <w:p>
      <w:r>
        <w:t xml:space="preserve">Ejemplo comentado (extracto de </w:t>
      </w:r>
      <w:r>
        <w:rPr>
          <w:rFonts w:ascii="Consolas" w:hAnsi="Consolas"/>
          <w:color w:val="233648"/>
          <w:sz w:val="16"/>
        </w:rPr>
        <w:t>proyectos\estado_cuenta\estado_cuenta.docx</w:t>
      </w:r>
      <w:r>
        <w:t>, un ejemplo ficticio):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Encabezado de Word:  {{FIELD:SISTEMA}}         ...        {{GENERATED_AT|DD/MM/YYYY}}</w:t>
            </w:r>
            <w:r>
              <w:br/>
            </w:r>
            <w:r>
              <w:rPr>
                <w:rFonts w:ascii="Consolas" w:hAnsi="Consolas"/>
                <w:color w:val="233648"/>
                <w:sz w:val="16"/>
              </w:rPr>
              <w:t xml:space="preserve">                     {{REPORT_TITLE}}                      &lt;- se repite en cada página</w:t>
            </w:r>
            <w:r>
              <w:br/>
            </w:r>
            <w:r>
              <w:br/>
            </w:r>
            <w:r>
              <w:rPr>
                <w:rFonts w:ascii="Consolas" w:hAnsi="Consolas"/>
                <w:color w:val="233648"/>
                <w:sz w:val="16"/>
              </w:rPr>
              <w:t>Cuerpo:</w:t>
            </w:r>
            <w:r>
              <w:br/>
            </w:r>
            <w:r>
              <w:rPr>
                <w:rFonts w:ascii="Consolas" w:hAnsi="Consolas"/>
                <w:color w:val="233648"/>
                <w:sz w:val="16"/>
              </w:rPr>
              <w:t>| Alumno : {{FIELD:ALUMNO.COD_ALUMNO}}  {{FIELD:ALUMNO.NOMBRE}}            |  &lt;- celda combinada, fondo gris</w:t>
            </w:r>
            <w:r>
              <w:br/>
            </w:r>
            <w:r>
              <w:rPr>
                <w:rFonts w:ascii="Consolas" w:hAnsi="Consolas"/>
                <w:color w:val="233648"/>
                <w:sz w:val="16"/>
              </w:rPr>
              <w:t>| Código :      | {{FIELD:ALUMNO.COD_ALUMNO}}     | Costo Programa : | ...  |  &lt;- borde blanco entre etiqueta y valor</w:t>
            </w:r>
            <w:r>
              <w:br/>
            </w:r>
            <w:r>
              <w:br/>
            </w:r>
            <w:r>
              <w:rPr>
                <w:rFonts w:ascii="Consolas" w:hAnsi="Consolas"/>
                <w:color w:val="233648"/>
                <w:sz w:val="16"/>
              </w:rPr>
              <w:t>| CUOTAS POR PAGAR (banda gris)        |                                       &lt;- cabecera, fila 1</w:t>
            </w:r>
            <w:r>
              <w:br/>
            </w:r>
            <w:r>
              <w:rPr>
                <w:rFonts w:ascii="Consolas" w:hAnsi="Consolas"/>
                <w:color w:val="233648"/>
                <w:sz w:val="16"/>
              </w:rPr>
              <w:t>| Año | Mes | N° Cuota | Pensión | TOTAL |                                    &lt;- cabecera, fila 2</w:t>
            </w:r>
            <w:r>
              <w:br/>
            </w:r>
            <w:r>
              <w:rPr>
                <w:rFonts w:ascii="Consolas" w:hAnsi="Consolas"/>
                <w:color w:val="233648"/>
                <w:sz w:val="16"/>
              </w:rPr>
              <w:t>| {{COLUMN:CUOTAS.ANIO}} | ... | {{COLUMN:CUOTAS.TOTAL|FM999G999G990D00}} |    &lt;- se repite por registro</w:t>
            </w:r>
            <w:r>
              <w:br/>
            </w:r>
            <w:r>
              <w:rPr>
                <w:rFonts w:ascii="Consolas" w:hAnsi="Consolas"/>
                <w:color w:val="233648"/>
                <w:sz w:val="16"/>
              </w:rPr>
              <w:t>|     |     |          | {{SUM:CUOTAS.PENSION|...}} | {{SUM:CUOTAS.TOTAL|...}} |  &lt;- totales</w:t>
            </w:r>
            <w:r>
              <w:br/>
            </w:r>
            <w:r>
              <w:br/>
            </w:r>
            <w:r>
              <w:rPr>
                <w:rFonts w:ascii="Consolas" w:hAnsi="Consolas"/>
                <w:color w:val="233648"/>
                <w:sz w:val="16"/>
              </w:rPr>
              <w:t>Pie de Word:  Generado por {{APP_USER}}   [{{PAGE}}] DE [{{PAGES}}]</w:t>
            </w:r>
          </w:p>
        </w:tc>
      </w:tr>
    </w:tbl>
    <w:p>
      <w:pPr>
        <w:pStyle w:val="Heading2"/>
        <w:keepNext/>
      </w:pPr>
      <w:r>
        <w:t>13.2 El proyecto: una consulta por archivo, como el Data Model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"corporate-layout-project/1.0",</w:t>
            </w:r>
            <w:r>
              <w:br/>
            </w:r>
            <w:r>
              <w:rPr>
                <w:rFonts w:ascii="Consolas" w:hAnsi="Consolas"/>
                <w:color w:val="233648"/>
                <w:sz w:val="16"/>
              </w:rPr>
              <w:t xml:space="preserve">  "report_id": "ESTADO_CUENTA",                // nombra el package: RPT_ESTADO_CUENTA</w:t>
            </w:r>
            <w:r>
              <w:br/>
            </w:r>
            <w:r>
              <w:rPr>
                <w:rFonts w:ascii="Consolas" w:hAnsi="Consolas"/>
                <w:color w:val="233648"/>
                <w:sz w:val="16"/>
              </w:rPr>
              <w:t xml:space="preserve">  "template": "../estado_cuenta.docx",</w:t>
            </w:r>
            <w:r>
              <w:br/>
            </w:r>
            <w:r>
              <w:rPr>
                <w:rFonts w:ascii="Consolas" w:hAnsi="Consolas"/>
                <w:color w:val="233648"/>
                <w:sz w:val="16"/>
              </w:rPr>
              <w:t xml:space="preserve">  "title": "ESTADO DE CUENTA DEL ALUMNO",</w:t>
            </w:r>
            <w:r>
              <w:br/>
            </w:r>
            <w:r>
              <w:rPr>
                <w:rFonts w:ascii="Consolas" w:hAnsi="Consolas"/>
                <w:color w:val="233648"/>
                <w:sz w:val="16"/>
              </w:rPr>
              <w:t xml:space="preserve">  "parameters": [                              // User Parameters del reporte</w:t>
            </w:r>
            <w:r>
              <w:br/>
            </w:r>
            <w:r>
              <w:rPr>
                <w:rFonts w:ascii="Consolas" w:hAnsi="Consolas"/>
                <w:color w:val="233648"/>
                <w:sz w:val="16"/>
              </w:rPr>
              <w:t xml:space="preserve">    {"name": "P_COD_ALUMNO", "item": "P71_COD_ALUMNO", "type": "VARCHAR2", "required": true}</w:t>
            </w:r>
            <w:r>
              <w:br/>
            </w:r>
            <w:r>
              <w:rPr>
                <w:rFonts w:ascii="Consolas" w:hAnsi="Consolas"/>
                <w:color w:val="233648"/>
                <w:sz w:val="16"/>
              </w:rPr>
              <w:t xml:space="preserve">  ],</w:t>
            </w:r>
            <w:r>
              <w:br/>
            </w:r>
            <w:r>
              <w:rPr>
                <w:rFonts w:ascii="Consolas" w:hAnsi="Consolas"/>
                <w:color w:val="233648"/>
                <w:sz w:val="16"/>
              </w:rPr>
              <w:t xml:space="preserve">  "queries": {                                 // Queries del Data Model, una por archivo</w:t>
            </w:r>
            <w:r>
              <w:br/>
            </w:r>
            <w:r>
              <w:rPr>
                <w:rFonts w:ascii="Consolas" w:hAnsi="Consolas"/>
                <w:color w:val="233648"/>
                <w:sz w:val="16"/>
              </w:rPr>
              <w:t xml:space="preserve">    "ALUMNO":   "q_alumno.sql",</w:t>
            </w:r>
            <w:r>
              <w:br/>
            </w:r>
            <w:r>
              <w:rPr>
                <w:rFonts w:ascii="Consolas" w:hAnsi="Consolas"/>
                <w:color w:val="233648"/>
                <w:sz w:val="16"/>
              </w:rPr>
              <w:t xml:space="preserve">    "CUOTAS":   "q_cuotas.sql"</w:t>
            </w:r>
            <w:r>
              <w:br/>
            </w:r>
            <w:r>
              <w:rPr>
                <w:rFonts w:ascii="Consolas" w:hAnsi="Consolas"/>
                <w:color w:val="233648"/>
                <w:sz w:val="16"/>
              </w:rPr>
              <w:t xml:space="preserve">  },</w:t>
            </w:r>
            <w:r>
              <w:br/>
            </w:r>
            <w:r>
              <w:rPr>
                <w:rFonts w:ascii="Consolas" w:hAnsi="Consolas"/>
                <w:color w:val="233648"/>
                <w:sz w:val="16"/>
              </w:rPr>
              <w:t xml:space="preserve">  "constants": {"SISTEMA": "ACADEMIA DEMO"}    // textos fijos usados como {{FIELD:SISTEMA}}</w:t>
            </w:r>
            <w:r>
              <w:br/>
            </w:r>
            <w:r>
              <w:rPr>
                <w:rFonts w:ascii="Consolas" w:hAnsi="Consolas"/>
                <w:color w:val="233648"/>
                <w:sz w:val="16"/>
              </w:rPr>
              <w:t>}</w:t>
            </w:r>
          </w:p>
        </w:tc>
      </w:tr>
    </w:tbl>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Oracle Reports</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 layout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User Parameter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parameters (Page Item y tipo); en SQL sigue siendo :P_NOMBRE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System Parameter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{{APP_USER}}, {{GENERATED_AT}}, {{PAGE}}, {{PAGES}}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Query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Un archivo generado\q_&lt;nombre&gt;.sql con el mismo SELECT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Group maestro</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{{FIELD:CONSULTA.COLUMNA}} (primera fila)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Group repetitivo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Tabla de datos con {{COLUMN:CONSULTA.COLUMNA}}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Formula Column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Expresión en el SELECT (o función PL/SQL llamada desde el SELECT)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Summary Column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{{SUM:...}} en la tabla, o SUM en una consulta de resumen</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Data Link</w:t>
            </w:r>
          </w:p>
        </w:tc>
        <w:tc>
          <w:tcPr>
            <w:tcW w:type="dxa" w:w="4986"/>
            <w:vAlign w:val="center"/>
            <w:tcMar>
              <w:top w:w="90" w:type="dxa"/>
              <w:start w:w="110" w:type="dxa"/>
              <w:bottom w:w="90" w:type="dxa"/>
              <w:end w:w="110" w:type="dxa"/>
            </w:tcMar>
            <w:shd w:fill="F5F7F9"/>
          </w:tcPr>
          <w:p>
            <w:pPr>
              <w:spacing w:after="0"/>
            </w:pPr>
            <w:r>
              <w:rPr>
                <w:rFonts w:ascii="Aptos" w:hAnsi="Aptos"/>
                <w:sz w:val="16"/>
              </w:rPr>
              <w:t>El mismo parámetro :P_NOMBRE en la consulta hija</w:t>
            </w:r>
          </w:p>
        </w:tc>
      </w:tr>
    </w:tbl>
    <w:p>
      <w:pPr>
        <w:spacing w:after="20"/>
      </w:pPr>
    </w:p>
    <w:p>
      <w:pPr>
        <w:pStyle w:val="Heading2"/>
        <w:keepNext/>
      </w:pPr>
      <w:r>
        <w:t>13.3 Instalación y publicación</w:t>
      </w:r>
    </w:p>
    <w:p>
      <w:pPr>
        <w:spacing w:after="60"/>
        <w:ind w:left="369" w:hanging="255"/>
      </w:pPr>
      <w:r>
        <w:t xml:space="preserve">1. </w:t>
      </w:r>
      <w:r>
        <w:t xml:space="preserve">Una vez por esquema: </w:t>
      </w:r>
      <w:r>
        <w:rPr>
          <w:rFonts w:ascii="Consolas" w:hAnsi="Consolas"/>
          <w:color w:val="233648"/>
          <w:sz w:val="16"/>
        </w:rPr>
        <w:t>sql\modo_layout\install.sql</w:t>
      </w:r>
      <w:r>
        <w:t xml:space="preserve"> (o los cuatro archivos </w:t>
      </w:r>
      <w:r>
        <w:rPr>
          <w:rFonts w:ascii="Consolas" w:hAnsi="Consolas"/>
          <w:color w:val="233648"/>
          <w:sz w:val="16"/>
        </w:rPr>
        <w:t>rpt_pdf.*</w:t>
      </w:r>
      <w:r>
        <w:t xml:space="preserve"> y </w:t>
      </w:r>
      <w:r>
        <w:rPr>
          <w:rFonts w:ascii="Consolas" w:hAnsi="Consolas"/>
          <w:color w:val="233648"/>
          <w:sz w:val="16"/>
        </w:rPr>
        <w:t>rpt_layout.*</w:t>
      </w:r>
      <w:r>
        <w:t xml:space="preserve"> en SQL Workshop).</w:t>
      </w:r>
    </w:p>
    <w:p>
      <w:pPr>
        <w:spacing w:after="60"/>
        <w:ind w:left="369" w:hanging="255"/>
      </w:pPr>
      <w:r>
        <w:t xml:space="preserve">2. </w:t>
      </w:r>
      <w:r>
        <w:t xml:space="preserve">Por reporte: ejecute </w:t>
      </w:r>
      <w:r>
        <w:rPr>
          <w:rFonts w:ascii="Consolas" w:hAnsi="Consolas"/>
          <w:color w:val="233648"/>
          <w:sz w:val="16"/>
        </w:rPr>
        <w:t>proyectos\&lt;nombre&gt;\rpt_&lt;reporte&gt;.sql</w:t>
      </w:r>
      <w:r>
        <w:t xml:space="preserve"> en SQL Workshop cada vez que recompile.</w:t>
      </w:r>
    </w:p>
    <w:p>
      <w:pPr>
        <w:spacing w:after="60"/>
        <w:ind w:left="369" w:hanging="255"/>
      </w:pPr>
      <w:r>
        <w:t xml:space="preserve">3. </w:t>
      </w:r>
      <w:r>
        <w:t xml:space="preserve">Cree los Page Items de </w:t>
      </w:r>
      <w:r>
        <w:rPr>
          <w:rFonts w:ascii="Consolas" w:hAnsi="Consolas"/>
          <w:color w:val="233648"/>
          <w:sz w:val="16"/>
        </w:rPr>
        <w:t>parameters</w:t>
      </w:r>
      <w:r>
        <w:t xml:space="preserve">, el botón (Submit Page, Reload on Submit: Always) y el proceso con </w:t>
      </w:r>
      <w:r>
        <w:rPr>
          <w:rFonts w:ascii="Consolas" w:hAnsi="Consolas"/>
          <w:color w:val="233648"/>
          <w:sz w:val="16"/>
        </w:rPr>
        <w:t>apex_process.sql</w:t>
      </w:r>
      <w:r>
        <w:t>, igual que en la sección 9.</w:t>
      </w:r>
    </w:p>
    <w:p>
      <w:r>
        <w:t xml:space="preserve">El ejemplo ficticio </w:t>
      </w:r>
      <w:r>
        <w:rPr>
          <w:rFonts w:ascii="Consolas" w:hAnsi="Consolas"/>
          <w:color w:val="233648"/>
          <w:sz w:val="16"/>
        </w:rPr>
        <w:t>proyectos\estado_cuenta</w:t>
      </w:r>
      <w:r>
        <w:t xml:space="preserve"> (estado de cuenta de un alumno de una academia de demostración) usa las tablas de prueba </w:t>
      </w:r>
      <w:r>
        <w:rPr>
          <w:rFonts w:ascii="Consolas" w:hAnsi="Consolas"/>
          <w:color w:val="233648"/>
          <w:sz w:val="16"/>
        </w:rPr>
        <w:t>PRUEBAP_ALUMNO*</w:t>
      </w:r>
      <w:r>
        <w:t xml:space="preserve">; </w:t>
      </w:r>
      <w:r>
        <w:rPr>
          <w:rFonts w:ascii="Consolas" w:hAnsi="Consolas"/>
          <w:color w:val="233648"/>
          <w:sz w:val="16"/>
        </w:rPr>
        <w:t>proyectos\estado_cuenta\datos_prueba.sql</w:t>
      </w:r>
      <w:r>
        <w:t xml:space="preserve"> las crea solo si no existen y nunca borra datos. </w:t>
      </w:r>
      <w:r>
        <w:rPr>
          <w:rFonts w:ascii="Consolas" w:hAnsi="Consolas"/>
          <w:color w:val="233648"/>
          <w:sz w:val="16"/>
        </w:rPr>
        <w:t>proyectos\estado_cuenta\ejemplo_estado_cuenta.pdf</w:t>
      </w:r>
      <w:r>
        <w:t xml:space="preserve"> muestra el resultado.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