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3680"/>
      </w:tblGrid>
      <w:tr>
        <w:tc>
          <w:tcPr>
            <w:tcW w:type="dxa" w:w="14256"/>
            <w:tcMar>
              <w:top w:w="180" w:type="dxa"/>
              <w:start w:w="220" w:type="dxa"/>
              <w:bottom w:w="180" w:type="dxa"/>
              <w:end w:w="220" w:type="dxa"/>
            </w:tcMar>
            <w:shd w:fill="17324D"/>
          </w:tcPr>
          <w:p>
            <w:pPr>
              <w:jc w:val="center"/>
            </w:pPr>
            <w:r>
              <w:rPr>
                <w:rFonts w:ascii="Arial" w:hAnsi="Arial"/>
                <w:b/>
                <w:color w:val="FFFFFF"/>
                <w:sz w:val="60"/>
              </w:rPr>
              <w:t>SEAtS ONE</w:t>
            </w:r>
            <w:r>
              <w:rPr>
                <w:rFonts w:ascii="Arial" w:hAnsi="Arial"/>
                <w:b/>
                <w:color w:val="CFE7EE"/>
                <w:sz w:val="44"/>
              </w:rPr>
              <w:br/>
              <w:t>U.S. Competitive Battlecards</w:t>
            </w:r>
          </w:p>
        </w:tc>
      </w:tr>
      <w:tr>
        <w:tc>
          <w:tcPr>
            <w:tcW w:type="dxa" w:w="14256"/>
            <w:tcMar>
              <w:top w:w="180" w:type="dxa"/>
              <w:start w:w="220" w:type="dxa"/>
              <w:bottom w:w="180" w:type="dxa"/>
              <w:end w:w="220" w:type="dxa"/>
            </w:tcMar>
            <w:shd w:fill="EAF1F5"/>
          </w:tcPr>
          <w:p>
            <w:pPr>
              <w:jc w:val="center"/>
            </w:pPr>
            <w:r>
              <w:rPr>
                <w:rFonts w:ascii="Arial" w:hAnsi="Arial"/>
                <w:b/>
                <w:color w:val="1B2733"/>
                <w:sz w:val="28"/>
              </w:rPr>
              <w:t>Sales Enablement Guide</w:t>
            </w:r>
            <w:r>
              <w:rPr>
                <w:rFonts w:ascii="Arial" w:hAnsi="Arial"/>
                <w:b w:val="0"/>
                <w:color w:val="1B2733"/>
                <w:sz w:val="22"/>
              </w:rPr>
              <w:br/>
              <w:t>Student Success • Attendance • Compliance • Scheduling • Smart Space</w:t>
            </w:r>
            <w:r>
              <w:rPr>
                <w:rFonts w:ascii="Arial" w:hAnsi="Arial"/>
                <w:b w:val="0"/>
                <w:color w:val="1B2733"/>
                <w:sz w:val="18"/>
              </w:rPr>
              <w:br/>
              <w:t>Updated 31 August 2026</w:t>
            </w:r>
          </w:p>
        </w:tc>
      </w:tr>
      <w:tr>
        <w:tc>
          <w:tcPr>
            <w:tcW w:type="dxa" w:w="14256"/>
            <w:tcMar>
              <w:top w:w="180" w:type="dxa"/>
              <w:start w:w="220" w:type="dxa"/>
              <w:bottom w:w="180" w:type="dxa"/>
              <w:end w:w="220" w:type="dxa"/>
            </w:tcMar>
          </w:tcPr>
          <w:p>
            <w:pPr>
              <w:jc w:val="center"/>
            </w:pPr>
            <w:r>
              <w:rPr>
                <w:rFonts w:ascii="Arial" w:hAnsi="Arial"/>
                <w:b/>
                <w:color w:val="B44343"/>
                <w:sz w:val="18"/>
              </w:rPr>
              <w:t>INTERNAL WORKING ASSET</w:t>
            </w:r>
            <w:r>
              <w:rPr>
                <w:rFonts w:ascii="Arial" w:hAnsi="Arial"/>
                <w:color w:val="5B6770"/>
                <w:sz w:val="16"/>
              </w:rPr>
              <w:br/>
              <w:t>Competitive claims should be validated in live deals. Pricing, roadmap and customer-count claims can change.</w:t>
            </w:r>
          </w:p>
        </w:tc>
      </w:tr>
    </w:tbl>
    <w:p>
      <w:pPr>
        <w:pStyle w:val="Tiny"/>
        <w:spacing w:before="40"/>
        <w:jc w:val="right"/>
      </w:pPr>
      <w:r>
        <w:t>Prepared for the U.S. Sales Team</w:t>
      </w:r>
    </w:p>
    <w:p>
      <w:r>
        <w:br w:type="page"/>
      </w:r>
    </w:p>
    <w:tbl>
      <w:tblPr>
        <w:tblW w:type="auto" w:w="0"/>
        <w:tblLayout w:type="fixed"/>
        <w:tblLook w:firstColumn="1" w:firstRow="1" w:lastColumn="0" w:lastRow="0" w:noHBand="0" w:noVBand="1" w:val="04A0"/>
      </w:tblPr>
      <w:tblGrid>
        <w:gridCol w:w="11520"/>
        <w:gridCol w:w="2448"/>
      </w:tblGrid>
      <w:tr>
        <w:tc>
          <w:tcPr>
            <w:tcW w:type="dxa" w:w="7128"/>
            <w:shd w:fill="17324D"/>
            <w:tcMar>
              <w:top w:w="100" w:type="dxa"/>
              <w:start w:w="120" w:type="dxa"/>
              <w:bottom w:w="100" w:type="dxa"/>
              <w:end w:w="120" w:type="dxa"/>
            </w:tcMar>
          </w:tcPr>
          <w:p>
            <w:pPr>
              <w:spacing w:after="0"/>
            </w:pPr>
            <w:r>
              <w:rPr>
                <w:rFonts w:ascii="Arial" w:hAnsi="Arial"/>
                <w:b/>
                <w:color w:val="FFFFFF"/>
                <w:sz w:val="36"/>
              </w:rPr>
              <w:t>U.S. Competitive Landscape</w:t>
            </w:r>
            <w:r>
              <w:rPr>
                <w:rFonts w:ascii="Arial" w:hAnsi="Arial"/>
                <w:color w:val="DCE6EC"/>
                <w:sz w:val="17"/>
              </w:rPr>
              <w:br/>
              <w:t>Use the buyer's problem to identify the real competitor—not the logo on the RFP.</w:t>
            </w:r>
          </w:p>
        </w:tc>
        <w:tc>
          <w:tcPr>
            <w:tcW w:type="dxa" w:w="7128"/>
            <w:shd w:fill="1F6E8C"/>
            <w:tcMar>
              <w:top w:w="90" w:type="dxa"/>
              <w:start w:w="80" w:type="dxa"/>
              <w:bottom w:w="90" w:type="dxa"/>
              <w:end w:w="80" w:type="dxa"/>
            </w:tcMar>
            <w:vAlign w:val="center"/>
          </w:tcPr>
          <w:p>
            <w:pPr>
              <w:spacing w:after="0"/>
              <w:jc w:val="center"/>
            </w:pPr>
            <w:r>
              <w:rPr>
                <w:rFonts w:ascii="Arial" w:hAnsi="Arial"/>
                <w:b/>
                <w:color w:val="FFFFFF"/>
                <w:sz w:val="16"/>
              </w:rPr>
              <w:t>MARKET MAP</w:t>
            </w:r>
          </w:p>
        </w:tc>
      </w:tr>
    </w:tbl>
    <w:p>
      <w:pPr>
        <w:pStyle w:val="CardBody"/>
      </w:pPr>
      <w:r>
        <w:rPr>
          <w:b/>
        </w:rPr>
        <w:t xml:space="preserve">Core positioning: </w:t>
      </w:r>
      <w:r>
        <w:t>SEAtS ONE is best framed as a connected student + academic operations platform, not merely an advising CRM. Its U.S. differentiation is strongest when attendance, engagement, case management, SEVIS/compliance, scheduling or campus-space operations matter in the same buying program.</w:t>
      </w:r>
    </w:p>
    <w:tbl>
      <w:tblPr>
        <w:tblW w:type="auto" w:w="0"/>
        <w:jc w:val="center"/>
        <w:tblLayout w:type="fixed"/>
        <w:tblLook w:firstColumn="1" w:firstRow="1" w:lastColumn="0" w:lastRow="0" w:noHBand="0" w:noVBand="1" w:val="04A0"/>
      </w:tblPr>
      <w:tblGrid>
        <w:gridCol w:w="3096"/>
        <w:gridCol w:w="2952"/>
        <w:gridCol w:w="3384"/>
        <w:gridCol w:w="2232"/>
        <w:gridCol w:w="2664"/>
      </w:tblGrid>
      <w:tr>
        <w:trPr>
          <w:tblHeader w:val="true"/>
        </w:trPr>
        <w:tc>
          <w:tcPr>
            <w:tcW w:type="dxa" w:w="2851"/>
            <w:shd w:fill="17324D"/>
            <w:vAlign w:val="center"/>
            <w:tcMar>
              <w:top w:w="80" w:type="dxa"/>
              <w:start w:w="100" w:type="dxa"/>
              <w:bottom w:w="80" w:type="dxa"/>
              <w:end w:w="100" w:type="dxa"/>
            </w:tcMar>
          </w:tcPr>
          <w:p>
            <w:pPr>
              <w:spacing w:after="0"/>
              <w:jc w:val="center"/>
            </w:pPr>
            <w:r/>
            <w:r>
              <w:rPr>
                <w:rFonts w:ascii="Arial" w:hAnsi="Arial"/>
                <w:b/>
                <w:color w:val="FFFFFF"/>
                <w:sz w:val="15"/>
              </w:rPr>
              <w:t>Competitor</w:t>
            </w:r>
          </w:p>
        </w:tc>
        <w:tc>
          <w:tcPr>
            <w:tcW w:type="dxa" w:w="2851"/>
            <w:shd w:fill="17324D"/>
            <w:vAlign w:val="center"/>
            <w:tcMar>
              <w:top w:w="80" w:type="dxa"/>
              <w:start w:w="100" w:type="dxa"/>
              <w:bottom w:w="80" w:type="dxa"/>
              <w:end w:w="100" w:type="dxa"/>
            </w:tcMar>
          </w:tcPr>
          <w:p>
            <w:pPr>
              <w:spacing w:after="0"/>
              <w:jc w:val="center"/>
            </w:pPr>
            <w:r/>
            <w:r>
              <w:rPr>
                <w:rFonts w:ascii="Arial" w:hAnsi="Arial"/>
                <w:b/>
                <w:color w:val="FFFFFF"/>
                <w:sz w:val="15"/>
              </w:rPr>
              <w:t>Primary buying motion</w:t>
            </w:r>
          </w:p>
        </w:tc>
        <w:tc>
          <w:tcPr>
            <w:tcW w:type="dxa" w:w="2851"/>
            <w:shd w:fill="17324D"/>
            <w:vAlign w:val="center"/>
            <w:tcMar>
              <w:top w:w="80" w:type="dxa"/>
              <w:start w:w="100" w:type="dxa"/>
              <w:bottom w:w="80" w:type="dxa"/>
              <w:end w:w="100" w:type="dxa"/>
            </w:tcMar>
          </w:tcPr>
          <w:p>
            <w:pPr>
              <w:spacing w:after="0"/>
              <w:jc w:val="center"/>
            </w:pPr>
            <w:r/>
            <w:r>
              <w:rPr>
                <w:rFonts w:ascii="Arial" w:hAnsi="Arial"/>
                <w:b/>
                <w:color w:val="FFFFFF"/>
                <w:sz w:val="15"/>
              </w:rPr>
              <w:t>Where they are strongest</w:t>
            </w:r>
          </w:p>
        </w:tc>
        <w:tc>
          <w:tcPr>
            <w:tcW w:type="dxa" w:w="2851"/>
            <w:shd w:fill="17324D"/>
            <w:vAlign w:val="center"/>
            <w:tcMar>
              <w:top w:w="80" w:type="dxa"/>
              <w:start w:w="100" w:type="dxa"/>
              <w:bottom w:w="80" w:type="dxa"/>
              <w:end w:w="100" w:type="dxa"/>
            </w:tcMar>
          </w:tcPr>
          <w:p>
            <w:pPr>
              <w:spacing w:after="0"/>
              <w:jc w:val="center"/>
            </w:pPr>
            <w:r/>
            <w:r>
              <w:rPr>
                <w:rFonts w:ascii="Arial" w:hAnsi="Arial"/>
                <w:b/>
                <w:color w:val="FFFFFF"/>
                <w:sz w:val="15"/>
              </w:rPr>
              <w:t>Threat</w:t>
            </w:r>
          </w:p>
        </w:tc>
        <w:tc>
          <w:tcPr>
            <w:tcW w:type="dxa" w:w="2851"/>
            <w:shd w:fill="17324D"/>
            <w:vAlign w:val="center"/>
            <w:tcMar>
              <w:top w:w="80" w:type="dxa"/>
              <w:start w:w="100" w:type="dxa"/>
              <w:bottom w:w="80" w:type="dxa"/>
              <w:end w:w="100" w:type="dxa"/>
            </w:tcMar>
          </w:tcPr>
          <w:p>
            <w:pPr>
              <w:spacing w:after="0"/>
              <w:jc w:val="center"/>
            </w:pPr>
            <w:r/>
            <w:r>
              <w:rPr>
                <w:rFonts w:ascii="Arial" w:hAnsi="Arial"/>
                <w:b/>
                <w:color w:val="FFFFFF"/>
                <w:sz w:val="15"/>
              </w:rPr>
              <w:t>SEAtS wedge</w:t>
            </w:r>
          </w:p>
        </w:tc>
      </w:tr>
      <w:tr>
        <w:tc>
          <w:tcPr>
            <w:tcW w:type="dxa" w:w="3096"/>
            <w:vAlign w:val="center"/>
            <w:tcMar>
              <w:top w:w="80" w:type="dxa"/>
              <w:start w:w="100" w:type="dxa"/>
              <w:bottom w:w="80" w:type="dxa"/>
              <w:end w:w="100" w:type="dxa"/>
            </w:tcMar>
          </w:tcPr>
          <w:p>
            <w:pPr>
              <w:spacing w:after="0"/>
              <w:jc w:val="left"/>
            </w:pPr>
            <w:r/>
            <w:r>
              <w:rPr>
                <w:rFonts w:ascii="Arial" w:hAnsi="Arial"/>
                <w:b w:val="0"/>
                <w:color w:val="1B2733"/>
                <w:sz w:val="14"/>
              </w:rPr>
              <w:t>EAB Navigate360</w:t>
            </w:r>
          </w:p>
        </w:tc>
        <w:tc>
          <w:tcPr>
            <w:tcW w:type="dxa" w:w="2952"/>
            <w:vAlign w:val="center"/>
            <w:tcMar>
              <w:top w:w="80" w:type="dxa"/>
              <w:start w:w="100" w:type="dxa"/>
              <w:bottom w:w="80" w:type="dxa"/>
              <w:end w:w="100" w:type="dxa"/>
            </w:tcMar>
          </w:tcPr>
          <w:p>
            <w:pPr>
              <w:spacing w:after="0"/>
              <w:jc w:val="left"/>
            </w:pPr>
            <w:r/>
            <w:r>
              <w:rPr>
                <w:rFonts w:ascii="Arial" w:hAnsi="Arial"/>
                <w:b w:val="0"/>
                <w:color w:val="1B2733"/>
                <w:sz w:val="14"/>
              </w:rPr>
              <w:t>Student success / advising</w:t>
            </w:r>
          </w:p>
        </w:tc>
        <w:tc>
          <w:tcPr>
            <w:tcW w:type="dxa" w:w="3384"/>
            <w:vAlign w:val="center"/>
            <w:tcMar>
              <w:top w:w="80" w:type="dxa"/>
              <w:start w:w="100" w:type="dxa"/>
              <w:bottom w:w="80" w:type="dxa"/>
              <w:end w:w="100" w:type="dxa"/>
            </w:tcMar>
          </w:tcPr>
          <w:p>
            <w:pPr>
              <w:spacing w:after="0"/>
              <w:jc w:val="left"/>
            </w:pPr>
            <w:r/>
            <w:r>
              <w:rPr>
                <w:rFonts w:ascii="Arial" w:hAnsi="Arial"/>
                <w:b w:val="0"/>
                <w:color w:val="1B2733"/>
                <w:sz w:val="14"/>
              </w:rPr>
              <w:t>Advising, campaigns, coordinated care, U.S. peer network</w:t>
            </w:r>
          </w:p>
        </w:tc>
        <w:tc>
          <w:tcPr>
            <w:tcW w:type="dxa" w:w="2232"/>
            <w:vAlign w:val="center"/>
            <w:tcMar>
              <w:top w:w="80" w:type="dxa"/>
              <w:start w:w="100" w:type="dxa"/>
              <w:bottom w:w="80" w:type="dxa"/>
              <w:end w:w="100" w:type="dxa"/>
            </w:tcMar>
            <w:shd w:fill="F6DADA"/>
          </w:tcPr>
          <w:p>
            <w:pPr>
              <w:spacing w:after="0"/>
              <w:jc w:val="center"/>
            </w:pPr>
            <w:r/>
            <w:r>
              <w:rPr>
                <w:rFonts w:ascii="Arial" w:hAnsi="Arial"/>
                <w:b w:val="0"/>
                <w:color w:val="1B2733"/>
                <w:sz w:val="14"/>
              </w:rPr>
              <w:t>Very High</w:t>
            </w:r>
          </w:p>
        </w:tc>
        <w:tc>
          <w:tcPr>
            <w:tcW w:type="dxa" w:w="2664"/>
            <w:vAlign w:val="center"/>
            <w:tcMar>
              <w:top w:w="80" w:type="dxa"/>
              <w:start w:w="100" w:type="dxa"/>
              <w:bottom w:w="80" w:type="dxa"/>
              <w:end w:w="100" w:type="dxa"/>
            </w:tcMar>
          </w:tcPr>
          <w:p>
            <w:pPr>
              <w:spacing w:after="0"/>
              <w:jc w:val="left"/>
            </w:pPr>
            <w:r/>
            <w:r>
              <w:rPr>
                <w:rFonts w:ascii="Arial" w:hAnsi="Arial"/>
                <w:b w:val="0"/>
                <w:color w:val="1B2733"/>
                <w:sz w:val="14"/>
              </w:rPr>
              <w:t>Operational breadth + attendance</w:t>
            </w:r>
          </w:p>
        </w:tc>
      </w:tr>
      <w:tr>
        <w:tc>
          <w:tcPr>
            <w:tcW w:type="dxa" w:w="3096"/>
            <w:vAlign w:val="center"/>
            <w:tcMar>
              <w:top w:w="80" w:type="dxa"/>
              <w:start w:w="100" w:type="dxa"/>
              <w:bottom w:w="80" w:type="dxa"/>
              <w:end w:w="100" w:type="dxa"/>
            </w:tcMar>
          </w:tcPr>
          <w:p>
            <w:pPr>
              <w:spacing w:after="0"/>
              <w:jc w:val="left"/>
            </w:pPr>
            <w:r/>
            <w:r>
              <w:rPr>
                <w:rFonts w:ascii="Arial" w:hAnsi="Arial"/>
                <w:b w:val="0"/>
                <w:color w:val="1B2733"/>
                <w:sz w:val="14"/>
              </w:rPr>
              <w:t>Watermark SS&amp;E</w:t>
            </w:r>
          </w:p>
        </w:tc>
        <w:tc>
          <w:tcPr>
            <w:tcW w:type="dxa" w:w="2952"/>
            <w:vAlign w:val="center"/>
            <w:tcMar>
              <w:top w:w="80" w:type="dxa"/>
              <w:start w:w="100" w:type="dxa"/>
              <w:bottom w:w="80" w:type="dxa"/>
              <w:end w:w="100" w:type="dxa"/>
            </w:tcMar>
          </w:tcPr>
          <w:p>
            <w:pPr>
              <w:spacing w:after="0"/>
              <w:jc w:val="left"/>
            </w:pPr>
            <w:r/>
            <w:r>
              <w:rPr>
                <w:rFonts w:ascii="Arial" w:hAnsi="Arial"/>
                <w:b w:val="0"/>
                <w:color w:val="1B2733"/>
                <w:sz w:val="14"/>
              </w:rPr>
              <w:t>Retention / advising</w:t>
            </w:r>
          </w:p>
        </w:tc>
        <w:tc>
          <w:tcPr>
            <w:tcW w:type="dxa" w:w="3384"/>
            <w:vAlign w:val="center"/>
            <w:tcMar>
              <w:top w:w="80" w:type="dxa"/>
              <w:start w:w="100" w:type="dxa"/>
              <w:bottom w:w="80" w:type="dxa"/>
              <w:end w:w="100" w:type="dxa"/>
            </w:tcMar>
          </w:tcPr>
          <w:p>
            <w:pPr>
              <w:spacing w:after="0"/>
              <w:jc w:val="left"/>
            </w:pPr>
            <w:r/>
            <w:r>
              <w:rPr>
                <w:rFonts w:ascii="Arial" w:hAnsi="Arial"/>
                <w:b w:val="0"/>
                <w:color w:val="1B2733"/>
                <w:sz w:val="14"/>
              </w:rPr>
              <w:t>Predictive risk, alerts, advising workflows, mobile student support</w:t>
            </w:r>
          </w:p>
        </w:tc>
        <w:tc>
          <w:tcPr>
            <w:tcW w:type="dxa" w:w="2232"/>
            <w:vAlign w:val="center"/>
            <w:tcMar>
              <w:top w:w="80" w:type="dxa"/>
              <w:start w:w="100" w:type="dxa"/>
              <w:bottom w:w="80" w:type="dxa"/>
              <w:end w:w="100" w:type="dxa"/>
            </w:tcMar>
            <w:shd w:fill="F8E8C8"/>
          </w:tcPr>
          <w:p>
            <w:pPr>
              <w:spacing w:after="0"/>
              <w:jc w:val="center"/>
            </w:pPr>
            <w:r/>
            <w:r>
              <w:rPr>
                <w:rFonts w:ascii="Arial" w:hAnsi="Arial"/>
                <w:b w:val="0"/>
                <w:color w:val="1B2733"/>
                <w:sz w:val="14"/>
              </w:rPr>
              <w:t>High</w:t>
            </w:r>
          </w:p>
        </w:tc>
        <w:tc>
          <w:tcPr>
            <w:tcW w:type="dxa" w:w="2664"/>
            <w:vAlign w:val="center"/>
            <w:tcMar>
              <w:top w:w="80" w:type="dxa"/>
              <w:start w:w="100" w:type="dxa"/>
              <w:bottom w:w="80" w:type="dxa"/>
              <w:end w:w="100" w:type="dxa"/>
            </w:tcMar>
          </w:tcPr>
          <w:p>
            <w:pPr>
              <w:spacing w:after="0"/>
              <w:jc w:val="left"/>
            </w:pPr>
            <w:r/>
            <w:r>
              <w:rPr>
                <w:rFonts w:ascii="Arial" w:hAnsi="Arial"/>
                <w:b w:val="0"/>
                <w:color w:val="1B2733"/>
                <w:sz w:val="14"/>
              </w:rPr>
              <w:t>Attendance + operations consolidation</w:t>
            </w:r>
          </w:p>
        </w:tc>
      </w:tr>
      <w:tr>
        <w:tc>
          <w:tcPr>
            <w:tcW w:type="dxa" w:w="3096"/>
            <w:vAlign w:val="center"/>
            <w:tcMar>
              <w:top w:w="80" w:type="dxa"/>
              <w:start w:w="100" w:type="dxa"/>
              <w:bottom w:w="80" w:type="dxa"/>
              <w:end w:w="100" w:type="dxa"/>
            </w:tcMar>
          </w:tcPr>
          <w:p>
            <w:pPr>
              <w:spacing w:after="0"/>
              <w:jc w:val="left"/>
            </w:pPr>
            <w:r/>
            <w:r>
              <w:rPr>
                <w:rFonts w:ascii="Arial" w:hAnsi="Arial"/>
                <w:b w:val="0"/>
                <w:color w:val="1B2733"/>
                <w:sz w:val="14"/>
              </w:rPr>
              <w:t>Civitas Learning</w:t>
            </w:r>
          </w:p>
        </w:tc>
        <w:tc>
          <w:tcPr>
            <w:tcW w:type="dxa" w:w="2952"/>
            <w:vAlign w:val="center"/>
            <w:tcMar>
              <w:top w:w="80" w:type="dxa"/>
              <w:start w:w="100" w:type="dxa"/>
              <w:bottom w:w="80" w:type="dxa"/>
              <w:end w:w="100" w:type="dxa"/>
            </w:tcMar>
          </w:tcPr>
          <w:p>
            <w:pPr>
              <w:spacing w:after="0"/>
              <w:jc w:val="left"/>
            </w:pPr>
            <w:r/>
            <w:r>
              <w:rPr>
                <w:rFonts w:ascii="Arial" w:hAnsi="Arial"/>
                <w:b w:val="0"/>
                <w:color w:val="1B2733"/>
                <w:sz w:val="14"/>
              </w:rPr>
              <w:t>Analytics-led student success</w:t>
            </w:r>
          </w:p>
        </w:tc>
        <w:tc>
          <w:tcPr>
            <w:tcW w:type="dxa" w:w="3384"/>
            <w:vAlign w:val="center"/>
            <w:tcMar>
              <w:top w:w="80" w:type="dxa"/>
              <w:start w:w="100" w:type="dxa"/>
              <w:bottom w:w="80" w:type="dxa"/>
              <w:end w:w="100" w:type="dxa"/>
            </w:tcMar>
          </w:tcPr>
          <w:p>
            <w:pPr>
              <w:spacing w:after="0"/>
              <w:jc w:val="left"/>
            </w:pPr>
            <w:r/>
            <w:r>
              <w:rPr>
                <w:rFonts w:ascii="Arial" w:hAnsi="Arial"/>
                <w:b w:val="0"/>
                <w:color w:val="1B2733"/>
                <w:sz w:val="14"/>
              </w:rPr>
              <w:t>Predictive analytics, intervention intelligence, impact measurement</w:t>
            </w:r>
          </w:p>
        </w:tc>
        <w:tc>
          <w:tcPr>
            <w:tcW w:type="dxa" w:w="2232"/>
            <w:vAlign w:val="center"/>
            <w:tcMar>
              <w:top w:w="80" w:type="dxa"/>
              <w:start w:w="100" w:type="dxa"/>
              <w:bottom w:w="80" w:type="dxa"/>
              <w:end w:w="100" w:type="dxa"/>
            </w:tcMar>
            <w:shd w:fill="F8E8C8"/>
          </w:tcPr>
          <w:p>
            <w:pPr>
              <w:spacing w:after="0"/>
              <w:jc w:val="center"/>
            </w:pPr>
            <w:r/>
            <w:r>
              <w:rPr>
                <w:rFonts w:ascii="Arial" w:hAnsi="Arial"/>
                <w:b w:val="0"/>
                <w:color w:val="1B2733"/>
                <w:sz w:val="14"/>
              </w:rPr>
              <w:t>High</w:t>
            </w:r>
          </w:p>
        </w:tc>
        <w:tc>
          <w:tcPr>
            <w:tcW w:type="dxa" w:w="2664"/>
            <w:vAlign w:val="center"/>
            <w:tcMar>
              <w:top w:w="80" w:type="dxa"/>
              <w:start w:w="100" w:type="dxa"/>
              <w:bottom w:w="80" w:type="dxa"/>
              <w:end w:w="100" w:type="dxa"/>
            </w:tcMar>
          </w:tcPr>
          <w:p>
            <w:pPr>
              <w:spacing w:after="0"/>
              <w:jc w:val="left"/>
            </w:pPr>
            <w:r/>
            <w:r>
              <w:rPr>
                <w:rFonts w:ascii="Arial" w:hAnsi="Arial"/>
                <w:b w:val="0"/>
                <w:color w:val="1B2733"/>
                <w:sz w:val="14"/>
              </w:rPr>
              <w:t>Operational execution + campus data</w:t>
            </w:r>
          </w:p>
        </w:tc>
      </w:tr>
      <w:tr>
        <w:tc>
          <w:tcPr>
            <w:tcW w:type="dxa" w:w="3096"/>
            <w:vAlign w:val="center"/>
            <w:tcMar>
              <w:top w:w="80" w:type="dxa"/>
              <w:start w:w="100" w:type="dxa"/>
              <w:bottom w:w="80" w:type="dxa"/>
              <w:end w:w="100" w:type="dxa"/>
            </w:tcMar>
          </w:tcPr>
          <w:p>
            <w:pPr>
              <w:spacing w:after="0"/>
              <w:jc w:val="left"/>
            </w:pPr>
            <w:r/>
            <w:r>
              <w:rPr>
                <w:rFonts w:ascii="Arial" w:hAnsi="Arial"/>
                <w:b w:val="0"/>
                <w:color w:val="1B2733"/>
                <w:sz w:val="14"/>
              </w:rPr>
              <w:t>Ellucian CRM Advise</w:t>
            </w:r>
          </w:p>
        </w:tc>
        <w:tc>
          <w:tcPr>
            <w:tcW w:type="dxa" w:w="2952"/>
            <w:vAlign w:val="center"/>
            <w:tcMar>
              <w:top w:w="80" w:type="dxa"/>
              <w:start w:w="100" w:type="dxa"/>
              <w:bottom w:w="80" w:type="dxa"/>
              <w:end w:w="100" w:type="dxa"/>
            </w:tcMar>
          </w:tcPr>
          <w:p>
            <w:pPr>
              <w:spacing w:after="0"/>
              <w:jc w:val="left"/>
            </w:pPr>
            <w:r/>
            <w:r>
              <w:rPr>
                <w:rFonts w:ascii="Arial" w:hAnsi="Arial"/>
                <w:b w:val="0"/>
                <w:color w:val="1B2733"/>
                <w:sz w:val="14"/>
              </w:rPr>
              <w:t>SIS-adjacent advising</w:t>
            </w:r>
          </w:p>
        </w:tc>
        <w:tc>
          <w:tcPr>
            <w:tcW w:type="dxa" w:w="3384"/>
            <w:vAlign w:val="center"/>
            <w:tcMar>
              <w:top w:w="80" w:type="dxa"/>
              <w:start w:w="100" w:type="dxa"/>
              <w:bottom w:w="80" w:type="dxa"/>
              <w:end w:w="100" w:type="dxa"/>
            </w:tcMar>
          </w:tcPr>
          <w:p>
            <w:pPr>
              <w:spacing w:after="0"/>
              <w:jc w:val="left"/>
            </w:pPr>
            <w:r/>
            <w:r>
              <w:rPr>
                <w:rFonts w:ascii="Arial" w:hAnsi="Arial"/>
                <w:b w:val="0"/>
                <w:color w:val="1B2733"/>
                <w:sz w:val="14"/>
              </w:rPr>
              <w:t>Banner/Colleague ecosystem, early alerts, holistic advising</w:t>
            </w:r>
          </w:p>
        </w:tc>
        <w:tc>
          <w:tcPr>
            <w:tcW w:type="dxa" w:w="2232"/>
            <w:vAlign w:val="center"/>
            <w:tcMar>
              <w:top w:w="80" w:type="dxa"/>
              <w:start w:w="100" w:type="dxa"/>
              <w:bottom w:w="80" w:type="dxa"/>
              <w:end w:w="100" w:type="dxa"/>
            </w:tcMar>
            <w:shd w:fill="F8E8C8"/>
          </w:tcPr>
          <w:p>
            <w:pPr>
              <w:spacing w:after="0"/>
              <w:jc w:val="center"/>
            </w:pPr>
            <w:r/>
            <w:r>
              <w:rPr>
                <w:rFonts w:ascii="Arial" w:hAnsi="Arial"/>
                <w:b w:val="0"/>
                <w:color w:val="1B2733"/>
                <w:sz w:val="14"/>
              </w:rPr>
              <w:t>High</w:t>
            </w:r>
          </w:p>
        </w:tc>
        <w:tc>
          <w:tcPr>
            <w:tcW w:type="dxa" w:w="2664"/>
            <w:vAlign w:val="center"/>
            <w:tcMar>
              <w:top w:w="80" w:type="dxa"/>
              <w:start w:w="100" w:type="dxa"/>
              <w:bottom w:w="80" w:type="dxa"/>
              <w:end w:w="100" w:type="dxa"/>
            </w:tcMar>
          </w:tcPr>
          <w:p>
            <w:pPr>
              <w:spacing w:after="0"/>
              <w:jc w:val="left"/>
            </w:pPr>
            <w:r/>
            <w:r>
              <w:rPr>
                <w:rFonts w:ascii="Arial" w:hAnsi="Arial"/>
                <w:b w:val="0"/>
                <w:color w:val="1B2733"/>
                <w:sz w:val="14"/>
              </w:rPr>
              <w:t>Cross-SIS platform + broader operations</w:t>
            </w:r>
          </w:p>
        </w:tc>
      </w:tr>
      <w:tr>
        <w:tc>
          <w:tcPr>
            <w:tcW w:type="dxa" w:w="3096"/>
            <w:vAlign w:val="center"/>
            <w:tcMar>
              <w:top w:w="80" w:type="dxa"/>
              <w:start w:w="100" w:type="dxa"/>
              <w:bottom w:w="80" w:type="dxa"/>
              <w:end w:w="100" w:type="dxa"/>
            </w:tcMar>
          </w:tcPr>
          <w:p>
            <w:pPr>
              <w:spacing w:after="0"/>
              <w:jc w:val="left"/>
            </w:pPr>
            <w:r/>
            <w:r>
              <w:rPr>
                <w:rFonts w:ascii="Arial" w:hAnsi="Arial"/>
                <w:b w:val="0"/>
                <w:color w:val="1B2733"/>
                <w:sz w:val="14"/>
              </w:rPr>
              <w:t>Salesforce Agentforce Education</w:t>
            </w:r>
          </w:p>
        </w:tc>
        <w:tc>
          <w:tcPr>
            <w:tcW w:type="dxa" w:w="2952"/>
            <w:vAlign w:val="center"/>
            <w:tcMar>
              <w:top w:w="80" w:type="dxa"/>
              <w:start w:w="100" w:type="dxa"/>
              <w:bottom w:w="80" w:type="dxa"/>
              <w:end w:w="100" w:type="dxa"/>
            </w:tcMar>
          </w:tcPr>
          <w:p>
            <w:pPr>
              <w:spacing w:after="0"/>
              <w:jc w:val="left"/>
            </w:pPr>
            <w:r/>
            <w:r>
              <w:rPr>
                <w:rFonts w:ascii="Arial" w:hAnsi="Arial"/>
                <w:b w:val="0"/>
                <w:color w:val="1B2733"/>
                <w:sz w:val="14"/>
              </w:rPr>
              <w:t>Enterprise CRM transformation</w:t>
            </w:r>
          </w:p>
        </w:tc>
        <w:tc>
          <w:tcPr>
            <w:tcW w:type="dxa" w:w="3384"/>
            <w:vAlign w:val="center"/>
            <w:tcMar>
              <w:top w:w="80" w:type="dxa"/>
              <w:start w:w="100" w:type="dxa"/>
              <w:bottom w:w="80" w:type="dxa"/>
              <w:end w:w="100" w:type="dxa"/>
            </w:tcMar>
          </w:tcPr>
          <w:p>
            <w:pPr>
              <w:spacing w:after="0"/>
              <w:jc w:val="left"/>
            </w:pPr>
            <w:r/>
            <w:r>
              <w:rPr>
                <w:rFonts w:ascii="Arial" w:hAnsi="Arial"/>
                <w:b w:val="0"/>
                <w:color w:val="1B2733"/>
                <w:sz w:val="14"/>
              </w:rPr>
              <w:t>Configurable CRM, AI, case management, 360° constituent view</w:t>
            </w:r>
          </w:p>
        </w:tc>
        <w:tc>
          <w:tcPr>
            <w:tcW w:type="dxa" w:w="2232"/>
            <w:vAlign w:val="center"/>
            <w:tcMar>
              <w:top w:w="80" w:type="dxa"/>
              <w:start w:w="100" w:type="dxa"/>
              <w:bottom w:w="80" w:type="dxa"/>
              <w:end w:w="100" w:type="dxa"/>
            </w:tcMar>
            <w:shd w:fill="F8E8C8"/>
          </w:tcPr>
          <w:p>
            <w:pPr>
              <w:spacing w:after="0"/>
              <w:jc w:val="center"/>
            </w:pPr>
            <w:r/>
            <w:r>
              <w:rPr>
                <w:rFonts w:ascii="Arial" w:hAnsi="Arial"/>
                <w:b w:val="0"/>
                <w:color w:val="1B2733"/>
                <w:sz w:val="14"/>
              </w:rPr>
              <w:t>High / Strategic</w:t>
            </w:r>
          </w:p>
        </w:tc>
        <w:tc>
          <w:tcPr>
            <w:tcW w:type="dxa" w:w="2664"/>
            <w:vAlign w:val="center"/>
            <w:tcMar>
              <w:top w:w="80" w:type="dxa"/>
              <w:start w:w="100" w:type="dxa"/>
              <w:bottom w:w="80" w:type="dxa"/>
              <w:end w:w="100" w:type="dxa"/>
            </w:tcMar>
          </w:tcPr>
          <w:p>
            <w:pPr>
              <w:spacing w:after="0"/>
              <w:jc w:val="left"/>
            </w:pPr>
            <w:r/>
            <w:r>
              <w:rPr>
                <w:rFonts w:ascii="Arial" w:hAnsi="Arial"/>
                <w:b w:val="0"/>
                <w:color w:val="1B2733"/>
                <w:sz w:val="14"/>
              </w:rPr>
              <w:t>Purpose-built higher-ed ops + faster path</w:t>
            </w:r>
          </w:p>
        </w:tc>
      </w:tr>
      <w:tr>
        <w:tc>
          <w:tcPr>
            <w:tcW w:type="dxa" w:w="3096"/>
            <w:vAlign w:val="center"/>
            <w:tcMar>
              <w:top w:w="80" w:type="dxa"/>
              <w:start w:w="100" w:type="dxa"/>
              <w:bottom w:w="80" w:type="dxa"/>
              <w:end w:w="100" w:type="dxa"/>
            </w:tcMar>
          </w:tcPr>
          <w:p>
            <w:pPr>
              <w:spacing w:after="0"/>
              <w:jc w:val="left"/>
            </w:pPr>
            <w:r/>
            <w:r>
              <w:rPr>
                <w:rFonts w:ascii="Arial" w:hAnsi="Arial"/>
                <w:b w:val="0"/>
                <w:color w:val="1B2733"/>
                <w:sz w:val="14"/>
              </w:rPr>
              <w:t>E2E Advising Achieve</w:t>
            </w:r>
          </w:p>
        </w:tc>
        <w:tc>
          <w:tcPr>
            <w:tcW w:type="dxa" w:w="2952"/>
            <w:vAlign w:val="center"/>
            <w:tcMar>
              <w:top w:w="80" w:type="dxa"/>
              <w:start w:w="100" w:type="dxa"/>
              <w:bottom w:w="80" w:type="dxa"/>
              <w:end w:w="100" w:type="dxa"/>
            </w:tcMar>
          </w:tcPr>
          <w:p>
            <w:pPr>
              <w:spacing w:after="0"/>
              <w:jc w:val="left"/>
            </w:pPr>
            <w:r/>
            <w:r>
              <w:rPr>
                <w:rFonts w:ascii="Arial" w:hAnsi="Arial"/>
                <w:b w:val="0"/>
                <w:color w:val="1B2733"/>
                <w:sz w:val="14"/>
              </w:rPr>
              <w:t>Advising / appointments</w:t>
            </w:r>
          </w:p>
        </w:tc>
        <w:tc>
          <w:tcPr>
            <w:tcW w:type="dxa" w:w="3384"/>
            <w:vAlign w:val="center"/>
            <w:tcMar>
              <w:top w:w="80" w:type="dxa"/>
              <w:start w:w="100" w:type="dxa"/>
              <w:bottom w:w="80" w:type="dxa"/>
              <w:end w:w="100" w:type="dxa"/>
            </w:tcMar>
          </w:tcPr>
          <w:p>
            <w:pPr>
              <w:spacing w:after="0"/>
              <w:jc w:val="left"/>
            </w:pPr>
            <w:r/>
            <w:r>
              <w:rPr>
                <w:rFonts w:ascii="Arial" w:hAnsi="Arial"/>
                <w:b w:val="0"/>
                <w:color w:val="1B2733"/>
                <w:sz w:val="14"/>
              </w:rPr>
              <w:t>Scheduling, queue/case mgmt, early alerts, campaigns</w:t>
            </w:r>
          </w:p>
        </w:tc>
        <w:tc>
          <w:tcPr>
            <w:tcW w:type="dxa" w:w="2232"/>
            <w:vAlign w:val="center"/>
            <w:tcMar>
              <w:top w:w="80" w:type="dxa"/>
              <w:start w:w="100" w:type="dxa"/>
              <w:bottom w:w="80" w:type="dxa"/>
              <w:end w:w="100" w:type="dxa"/>
            </w:tcMar>
            <w:shd w:fill="F5F8FA"/>
          </w:tcPr>
          <w:p>
            <w:pPr>
              <w:spacing w:after="0"/>
              <w:jc w:val="center"/>
            </w:pPr>
            <w:r/>
            <w:r>
              <w:rPr>
                <w:rFonts w:ascii="Arial" w:hAnsi="Arial"/>
                <w:b w:val="0"/>
                <w:color w:val="1B2733"/>
                <w:sz w:val="14"/>
              </w:rPr>
              <w:t>Medium</w:t>
            </w:r>
          </w:p>
        </w:tc>
        <w:tc>
          <w:tcPr>
            <w:tcW w:type="dxa" w:w="2664"/>
            <w:vAlign w:val="center"/>
            <w:tcMar>
              <w:top w:w="80" w:type="dxa"/>
              <w:start w:w="100" w:type="dxa"/>
              <w:bottom w:w="80" w:type="dxa"/>
              <w:end w:w="100" w:type="dxa"/>
            </w:tcMar>
          </w:tcPr>
          <w:p>
            <w:pPr>
              <w:spacing w:after="0"/>
              <w:jc w:val="left"/>
            </w:pPr>
            <w:r/>
            <w:r>
              <w:rPr>
                <w:rFonts w:ascii="Arial" w:hAnsi="Arial"/>
                <w:b w:val="0"/>
                <w:color w:val="1B2733"/>
                <w:sz w:val="14"/>
              </w:rPr>
              <w:t>Attendance + compliance + scheduling breadth</w:t>
            </w:r>
          </w:p>
        </w:tc>
      </w:tr>
      <w:tr>
        <w:tc>
          <w:tcPr>
            <w:tcW w:type="dxa" w:w="3096"/>
            <w:vAlign w:val="center"/>
            <w:tcMar>
              <w:top w:w="80" w:type="dxa"/>
              <w:start w:w="100" w:type="dxa"/>
              <w:bottom w:w="80" w:type="dxa"/>
              <w:end w:w="100" w:type="dxa"/>
            </w:tcMar>
          </w:tcPr>
          <w:p>
            <w:pPr>
              <w:spacing w:after="0"/>
              <w:jc w:val="left"/>
            </w:pPr>
            <w:r/>
            <w:r>
              <w:rPr>
                <w:rFonts w:ascii="Arial" w:hAnsi="Arial"/>
                <w:b w:val="0"/>
                <w:color w:val="1B2733"/>
                <w:sz w:val="14"/>
              </w:rPr>
              <w:t>CollegeNET Series25</w:t>
            </w:r>
          </w:p>
        </w:tc>
        <w:tc>
          <w:tcPr>
            <w:tcW w:type="dxa" w:w="2952"/>
            <w:vAlign w:val="center"/>
            <w:tcMar>
              <w:top w:w="80" w:type="dxa"/>
              <w:start w:w="100" w:type="dxa"/>
              <w:bottom w:w="80" w:type="dxa"/>
              <w:end w:w="100" w:type="dxa"/>
            </w:tcMar>
          </w:tcPr>
          <w:p>
            <w:pPr>
              <w:spacing w:after="0"/>
              <w:jc w:val="left"/>
            </w:pPr>
            <w:r/>
            <w:r>
              <w:rPr>
                <w:rFonts w:ascii="Arial" w:hAnsi="Arial"/>
                <w:b w:val="0"/>
                <w:color w:val="1B2733"/>
                <w:sz w:val="14"/>
              </w:rPr>
              <w:t>Registrar / scheduling</w:t>
            </w:r>
          </w:p>
        </w:tc>
        <w:tc>
          <w:tcPr>
            <w:tcW w:type="dxa" w:w="3384"/>
            <w:vAlign w:val="center"/>
            <w:tcMar>
              <w:top w:w="80" w:type="dxa"/>
              <w:start w:w="100" w:type="dxa"/>
              <w:bottom w:w="80" w:type="dxa"/>
              <w:end w:w="100" w:type="dxa"/>
            </w:tcMar>
          </w:tcPr>
          <w:p>
            <w:pPr>
              <w:spacing w:after="0"/>
              <w:jc w:val="left"/>
            </w:pPr>
            <w:r/>
            <w:r>
              <w:rPr>
                <w:rFonts w:ascii="Arial" w:hAnsi="Arial"/>
                <w:b w:val="0"/>
                <w:color w:val="1B2733"/>
                <w:sz w:val="14"/>
              </w:rPr>
              <w:t>Academic scheduling, event/room scheduling, space analytics</w:t>
            </w:r>
          </w:p>
        </w:tc>
        <w:tc>
          <w:tcPr>
            <w:tcW w:type="dxa" w:w="2232"/>
            <w:vAlign w:val="center"/>
            <w:tcMar>
              <w:top w:w="80" w:type="dxa"/>
              <w:start w:w="100" w:type="dxa"/>
              <w:bottom w:w="80" w:type="dxa"/>
              <w:end w:w="100" w:type="dxa"/>
            </w:tcMar>
            <w:shd w:fill="F8E8C8"/>
          </w:tcPr>
          <w:p>
            <w:pPr>
              <w:spacing w:after="0"/>
              <w:jc w:val="center"/>
            </w:pPr>
            <w:r/>
            <w:r>
              <w:rPr>
                <w:rFonts w:ascii="Arial" w:hAnsi="Arial"/>
                <w:b w:val="0"/>
                <w:color w:val="1B2733"/>
                <w:sz w:val="14"/>
              </w:rPr>
              <w:t>High in ops deals</w:t>
            </w:r>
          </w:p>
        </w:tc>
        <w:tc>
          <w:tcPr>
            <w:tcW w:type="dxa" w:w="2664"/>
            <w:vAlign w:val="center"/>
            <w:tcMar>
              <w:top w:w="80" w:type="dxa"/>
              <w:start w:w="100" w:type="dxa"/>
              <w:bottom w:w="80" w:type="dxa"/>
              <w:end w:w="100" w:type="dxa"/>
            </w:tcMar>
          </w:tcPr>
          <w:p>
            <w:pPr>
              <w:spacing w:after="0"/>
              <w:jc w:val="left"/>
            </w:pPr>
            <w:r/>
            <w:r>
              <w:rPr>
                <w:rFonts w:ascii="Arial" w:hAnsi="Arial"/>
                <w:b w:val="0"/>
                <w:color w:val="1B2733"/>
                <w:sz w:val="14"/>
              </w:rPr>
              <w:t>Student success + attendance + compliance</w:t>
            </w:r>
          </w:p>
        </w:tc>
      </w:tr>
      <w:tr>
        <w:tc>
          <w:tcPr>
            <w:tcW w:type="dxa" w:w="3096"/>
            <w:vAlign w:val="center"/>
            <w:tcMar>
              <w:top w:w="80" w:type="dxa"/>
              <w:start w:w="100" w:type="dxa"/>
              <w:bottom w:w="80" w:type="dxa"/>
              <w:end w:w="100" w:type="dxa"/>
            </w:tcMar>
          </w:tcPr>
          <w:p>
            <w:pPr>
              <w:spacing w:after="0"/>
              <w:jc w:val="left"/>
            </w:pPr>
            <w:r/>
            <w:r>
              <w:rPr>
                <w:rFonts w:ascii="Arial" w:hAnsi="Arial"/>
                <w:b w:val="0"/>
                <w:color w:val="1B2733"/>
                <w:sz w:val="14"/>
              </w:rPr>
              <w:t>Degree Analytics</w:t>
            </w:r>
          </w:p>
        </w:tc>
        <w:tc>
          <w:tcPr>
            <w:tcW w:type="dxa" w:w="2952"/>
            <w:vAlign w:val="center"/>
            <w:tcMar>
              <w:top w:w="80" w:type="dxa"/>
              <w:start w:w="100" w:type="dxa"/>
              <w:bottom w:w="80" w:type="dxa"/>
              <w:end w:w="100" w:type="dxa"/>
            </w:tcMar>
          </w:tcPr>
          <w:p>
            <w:pPr>
              <w:spacing w:after="0"/>
              <w:jc w:val="left"/>
            </w:pPr>
            <w:r/>
            <w:r>
              <w:rPr>
                <w:rFonts w:ascii="Arial" w:hAnsi="Arial"/>
                <w:b w:val="0"/>
                <w:color w:val="1B2733"/>
                <w:sz w:val="14"/>
              </w:rPr>
              <w:t>Facilities / attendance intelligence</w:t>
            </w:r>
          </w:p>
        </w:tc>
        <w:tc>
          <w:tcPr>
            <w:tcW w:type="dxa" w:w="3384"/>
            <w:vAlign w:val="center"/>
            <w:tcMar>
              <w:top w:w="80" w:type="dxa"/>
              <w:start w:w="100" w:type="dxa"/>
              <w:bottom w:w="80" w:type="dxa"/>
              <w:end w:w="100" w:type="dxa"/>
            </w:tcMar>
          </w:tcPr>
          <w:p>
            <w:pPr>
              <w:spacing w:after="0"/>
              <w:jc w:val="left"/>
            </w:pPr>
            <w:r/>
            <w:r>
              <w:rPr>
                <w:rFonts w:ascii="Arial" w:hAnsi="Arial"/>
                <w:b w:val="0"/>
                <w:color w:val="1B2733"/>
                <w:sz w:val="14"/>
              </w:rPr>
              <w:t>Wi-Fi-derived attendance and space utilization</w:t>
            </w:r>
          </w:p>
        </w:tc>
        <w:tc>
          <w:tcPr>
            <w:tcW w:type="dxa" w:w="2232"/>
            <w:vAlign w:val="center"/>
            <w:tcMar>
              <w:top w:w="80" w:type="dxa"/>
              <w:start w:w="100" w:type="dxa"/>
              <w:bottom w:w="80" w:type="dxa"/>
              <w:end w:w="100" w:type="dxa"/>
            </w:tcMar>
            <w:shd w:fill="F8E8C8"/>
          </w:tcPr>
          <w:p>
            <w:pPr>
              <w:spacing w:after="0"/>
              <w:jc w:val="center"/>
            </w:pPr>
            <w:r/>
            <w:r>
              <w:rPr>
                <w:rFonts w:ascii="Arial" w:hAnsi="Arial"/>
                <w:b w:val="0"/>
                <w:color w:val="1B2733"/>
                <w:sz w:val="14"/>
              </w:rPr>
              <w:t>High in data-led ops</w:t>
            </w:r>
          </w:p>
        </w:tc>
        <w:tc>
          <w:tcPr>
            <w:tcW w:type="dxa" w:w="2664"/>
            <w:vAlign w:val="center"/>
            <w:tcMar>
              <w:top w:w="80" w:type="dxa"/>
              <w:start w:w="100" w:type="dxa"/>
              <w:bottom w:w="80" w:type="dxa"/>
              <w:end w:w="100" w:type="dxa"/>
            </w:tcMar>
          </w:tcPr>
          <w:p>
            <w:pPr>
              <w:spacing w:after="0"/>
              <w:jc w:val="left"/>
            </w:pPr>
            <w:r/>
            <w:r>
              <w:rPr>
                <w:rFonts w:ascii="Arial" w:hAnsi="Arial"/>
                <w:b w:val="0"/>
                <w:color w:val="1B2733"/>
                <w:sz w:val="14"/>
              </w:rPr>
              <w:t>Workflow/action layer + broader suite</w:t>
            </w:r>
          </w:p>
        </w:tc>
      </w:tr>
      <w:tr>
        <w:tc>
          <w:tcPr>
            <w:tcW w:type="dxa" w:w="3096"/>
            <w:vAlign w:val="center"/>
            <w:tcMar>
              <w:top w:w="80" w:type="dxa"/>
              <w:start w:w="100" w:type="dxa"/>
              <w:bottom w:w="80" w:type="dxa"/>
              <w:end w:w="100" w:type="dxa"/>
            </w:tcMar>
          </w:tcPr>
          <w:p>
            <w:pPr>
              <w:spacing w:after="0"/>
              <w:jc w:val="left"/>
            </w:pPr>
            <w:r/>
            <w:r>
              <w:rPr>
                <w:rFonts w:ascii="Arial" w:hAnsi="Arial"/>
                <w:b w:val="0"/>
                <w:color w:val="1B2733"/>
                <w:sz w:val="14"/>
              </w:rPr>
              <w:t>Terra Dotta ISSS</w:t>
            </w:r>
          </w:p>
        </w:tc>
        <w:tc>
          <w:tcPr>
            <w:tcW w:type="dxa" w:w="2952"/>
            <w:vAlign w:val="center"/>
            <w:tcMar>
              <w:top w:w="80" w:type="dxa"/>
              <w:start w:w="100" w:type="dxa"/>
              <w:bottom w:w="80" w:type="dxa"/>
              <w:end w:w="100" w:type="dxa"/>
            </w:tcMar>
          </w:tcPr>
          <w:p>
            <w:pPr>
              <w:spacing w:after="0"/>
              <w:jc w:val="left"/>
            </w:pPr>
            <w:r/>
            <w:r>
              <w:rPr>
                <w:rFonts w:ascii="Arial" w:hAnsi="Arial"/>
                <w:b w:val="0"/>
                <w:color w:val="1B2733"/>
                <w:sz w:val="14"/>
              </w:rPr>
              <w:t>International services</w:t>
            </w:r>
          </w:p>
        </w:tc>
        <w:tc>
          <w:tcPr>
            <w:tcW w:type="dxa" w:w="3384"/>
            <w:vAlign w:val="center"/>
            <w:tcMar>
              <w:top w:w="80" w:type="dxa"/>
              <w:start w:w="100" w:type="dxa"/>
              <w:bottom w:w="80" w:type="dxa"/>
              <w:end w:w="100" w:type="dxa"/>
            </w:tcMar>
          </w:tcPr>
          <w:p>
            <w:pPr>
              <w:spacing w:after="0"/>
              <w:jc w:val="left"/>
            </w:pPr>
            <w:r/>
            <w:r>
              <w:rPr>
                <w:rFonts w:ascii="Arial" w:hAnsi="Arial"/>
                <w:b w:val="0"/>
                <w:color w:val="1B2733"/>
                <w:sz w:val="14"/>
              </w:rPr>
              <w:t>SEVIS workflows, international student/scholar case management</w:t>
            </w:r>
          </w:p>
        </w:tc>
        <w:tc>
          <w:tcPr>
            <w:tcW w:type="dxa" w:w="2232"/>
            <w:vAlign w:val="center"/>
            <w:tcMar>
              <w:top w:w="80" w:type="dxa"/>
              <w:start w:w="100" w:type="dxa"/>
              <w:bottom w:w="80" w:type="dxa"/>
              <w:end w:w="100" w:type="dxa"/>
            </w:tcMar>
            <w:shd w:fill="F8E8C8"/>
          </w:tcPr>
          <w:p>
            <w:pPr>
              <w:spacing w:after="0"/>
              <w:jc w:val="center"/>
            </w:pPr>
            <w:r/>
            <w:r>
              <w:rPr>
                <w:rFonts w:ascii="Arial" w:hAnsi="Arial"/>
                <w:b w:val="0"/>
                <w:color w:val="1B2733"/>
                <w:sz w:val="14"/>
              </w:rPr>
              <w:t>High in ISSS</w:t>
            </w:r>
          </w:p>
        </w:tc>
        <w:tc>
          <w:tcPr>
            <w:tcW w:type="dxa" w:w="2664"/>
            <w:vAlign w:val="center"/>
            <w:tcMar>
              <w:top w:w="80" w:type="dxa"/>
              <w:start w:w="100" w:type="dxa"/>
              <w:bottom w:w="80" w:type="dxa"/>
              <w:end w:w="100" w:type="dxa"/>
            </w:tcMar>
          </w:tcPr>
          <w:p>
            <w:pPr>
              <w:spacing w:after="0"/>
              <w:jc w:val="left"/>
            </w:pPr>
            <w:r/>
            <w:r>
              <w:rPr>
                <w:rFonts w:ascii="Arial" w:hAnsi="Arial"/>
                <w:b w:val="0"/>
                <w:color w:val="1B2733"/>
                <w:sz w:val="14"/>
              </w:rPr>
              <w:t>SEVIS + attendance + student ops</w:t>
            </w:r>
          </w:p>
        </w:tc>
      </w:tr>
      <w:tr>
        <w:tc>
          <w:tcPr>
            <w:tcW w:type="dxa" w:w="3096"/>
            <w:vAlign w:val="center"/>
            <w:tcMar>
              <w:top w:w="80" w:type="dxa"/>
              <w:start w:w="100" w:type="dxa"/>
              <w:bottom w:w="80" w:type="dxa"/>
              <w:end w:w="100" w:type="dxa"/>
            </w:tcMar>
          </w:tcPr>
          <w:p>
            <w:pPr>
              <w:spacing w:after="0"/>
              <w:jc w:val="left"/>
            </w:pPr>
            <w:r/>
            <w:r>
              <w:rPr>
                <w:rFonts w:ascii="Arial" w:hAnsi="Arial"/>
                <w:b w:val="0"/>
                <w:color w:val="1B2733"/>
                <w:sz w:val="14"/>
              </w:rPr>
              <w:t>sunapsis</w:t>
            </w:r>
          </w:p>
        </w:tc>
        <w:tc>
          <w:tcPr>
            <w:tcW w:type="dxa" w:w="2952"/>
            <w:vAlign w:val="center"/>
            <w:tcMar>
              <w:top w:w="80" w:type="dxa"/>
              <w:start w:w="100" w:type="dxa"/>
              <w:bottom w:w="80" w:type="dxa"/>
              <w:end w:w="100" w:type="dxa"/>
            </w:tcMar>
          </w:tcPr>
          <w:p>
            <w:pPr>
              <w:spacing w:after="0"/>
              <w:jc w:val="left"/>
            </w:pPr>
            <w:r/>
            <w:r>
              <w:rPr>
                <w:rFonts w:ascii="Arial" w:hAnsi="Arial"/>
                <w:b w:val="0"/>
                <w:color w:val="1B2733"/>
                <w:sz w:val="14"/>
              </w:rPr>
              <w:t>International services</w:t>
            </w:r>
          </w:p>
        </w:tc>
        <w:tc>
          <w:tcPr>
            <w:tcW w:type="dxa" w:w="3384"/>
            <w:vAlign w:val="center"/>
            <w:tcMar>
              <w:top w:w="80" w:type="dxa"/>
              <w:start w:w="100" w:type="dxa"/>
              <w:bottom w:w="80" w:type="dxa"/>
              <w:end w:w="100" w:type="dxa"/>
            </w:tcMar>
          </w:tcPr>
          <w:p>
            <w:pPr>
              <w:spacing w:after="0"/>
              <w:jc w:val="left"/>
            </w:pPr>
            <w:r/>
            <w:r>
              <w:rPr>
                <w:rFonts w:ascii="Arial" w:hAnsi="Arial"/>
                <w:b w:val="0"/>
                <w:color w:val="1B2733"/>
                <w:sz w:val="14"/>
              </w:rPr>
              <w:t>Deep SEVIS/compliance workflows, strong U.S. installed base</w:t>
            </w:r>
          </w:p>
        </w:tc>
        <w:tc>
          <w:tcPr>
            <w:tcW w:type="dxa" w:w="2232"/>
            <w:vAlign w:val="center"/>
            <w:tcMar>
              <w:top w:w="80" w:type="dxa"/>
              <w:start w:w="100" w:type="dxa"/>
              <w:bottom w:w="80" w:type="dxa"/>
              <w:end w:w="100" w:type="dxa"/>
            </w:tcMar>
            <w:shd w:fill="F8E8C8"/>
          </w:tcPr>
          <w:p>
            <w:pPr>
              <w:spacing w:after="0"/>
              <w:jc w:val="center"/>
            </w:pPr>
            <w:r/>
            <w:r>
              <w:rPr>
                <w:rFonts w:ascii="Arial" w:hAnsi="Arial"/>
                <w:b w:val="0"/>
                <w:color w:val="1B2733"/>
                <w:sz w:val="14"/>
              </w:rPr>
              <w:t>High in ISSS</w:t>
            </w:r>
          </w:p>
        </w:tc>
        <w:tc>
          <w:tcPr>
            <w:tcW w:type="dxa" w:w="2664"/>
            <w:vAlign w:val="center"/>
            <w:tcMar>
              <w:top w:w="80" w:type="dxa"/>
              <w:start w:w="100" w:type="dxa"/>
              <w:bottom w:w="80" w:type="dxa"/>
              <w:end w:w="100" w:type="dxa"/>
            </w:tcMar>
          </w:tcPr>
          <w:p>
            <w:pPr>
              <w:spacing w:after="0"/>
              <w:jc w:val="left"/>
            </w:pPr>
            <w:r/>
            <w:r>
              <w:rPr>
                <w:rFonts w:ascii="Arial" w:hAnsi="Arial"/>
                <w:b w:val="0"/>
                <w:color w:val="1B2733"/>
                <w:sz w:val="14"/>
              </w:rPr>
              <w:t>Unified compliance + attendance + operations</w:t>
            </w:r>
          </w:p>
        </w:tc>
      </w:tr>
    </w:tbl>
    <w:p/>
    <w:tbl>
      <w:tblPr>
        <w:tblW w:type="auto" w:w="0"/>
        <w:tblLayout w:type="fixed"/>
        <w:tblLook w:firstColumn="1" w:firstRow="1" w:lastColumn="0" w:lastRow="0" w:noHBand="0" w:noVBand="1" w:val="04A0"/>
      </w:tblPr>
      <w:tblGrid>
        <w:gridCol w:w="4536"/>
        <w:gridCol w:w="4536"/>
        <w:gridCol w:w="4536"/>
      </w:tblGrid>
      <w:tr>
        <w:tc>
          <w:tcPr>
            <w:tcW w:type="dxa" w:w="4752"/>
            <w:shd w:fill="EAF1F5"/>
            <w:vAlign w:val="center"/>
            <w:tcMar>
              <w:top w:w="80" w:type="dxa"/>
              <w:start w:w="100" w:type="dxa"/>
              <w:bottom w:w="80" w:type="dxa"/>
              <w:end w:w="100" w:type="dxa"/>
            </w:tcMar>
          </w:tcPr>
          <w:p>
            <w:pPr>
              <w:spacing w:after="0"/>
              <w:jc w:val="left"/>
            </w:pPr>
            <w:r/>
            <w:r>
              <w:rPr>
                <w:rFonts w:ascii="Arial" w:hAnsi="Arial"/>
                <w:b/>
                <w:color w:val="17324D"/>
                <w:sz w:val="17"/>
              </w:rPr>
              <w:t>Lead with</w:t>
            </w:r>
          </w:p>
          <w:p>
            <w:pPr>
              <w:pStyle w:val="CardBody"/>
            </w:pPr>
            <w:r>
              <w:t>Connected data-to-action across attendance, engagement, student success, compliance, scheduling and space.</w:t>
            </w:r>
          </w:p>
        </w:tc>
        <w:tc>
          <w:tcPr>
            <w:tcW w:type="dxa" w:w="4752"/>
            <w:shd w:fill="EAF1F5"/>
            <w:vAlign w:val="center"/>
            <w:tcMar>
              <w:top w:w="80" w:type="dxa"/>
              <w:start w:w="100" w:type="dxa"/>
              <w:bottom w:w="80" w:type="dxa"/>
              <w:end w:w="100" w:type="dxa"/>
            </w:tcMar>
          </w:tcPr>
          <w:p>
            <w:pPr>
              <w:spacing w:after="0"/>
              <w:jc w:val="left"/>
            </w:pPr>
            <w:r/>
            <w:r>
              <w:rPr>
                <w:rFonts w:ascii="Arial" w:hAnsi="Arial"/>
                <w:b/>
                <w:color w:val="17324D"/>
                <w:sz w:val="17"/>
              </w:rPr>
              <w:t>Prove in demo</w:t>
            </w:r>
          </w:p>
          <w:p>
            <w:pPr>
              <w:pStyle w:val="CardBody"/>
            </w:pPr>
            <w:r>
              <w:t>Signal → alert → case → outreach → intervention → outcome, plus the operational workflows that competitors leave in separate tools.</w:t>
            </w:r>
          </w:p>
        </w:tc>
        <w:tc>
          <w:tcPr>
            <w:tcW w:type="dxa" w:w="4752"/>
            <w:shd w:fill="FCEEEE"/>
            <w:vAlign w:val="center"/>
            <w:tcMar>
              <w:top w:w="80" w:type="dxa"/>
              <w:start w:w="100" w:type="dxa"/>
              <w:bottom w:w="80" w:type="dxa"/>
              <w:end w:w="100" w:type="dxa"/>
            </w:tcMar>
          </w:tcPr>
          <w:p>
            <w:pPr>
              <w:spacing w:after="0"/>
              <w:jc w:val="left"/>
            </w:pPr>
            <w:r/>
            <w:r>
              <w:rPr>
                <w:rFonts w:ascii="Arial" w:hAnsi="Arial"/>
                <w:b/>
                <w:color w:val="17324D"/>
                <w:sz w:val="17"/>
              </w:rPr>
              <w:t>Avoid</w:t>
            </w:r>
          </w:p>
          <w:p>
            <w:pPr>
              <w:pStyle w:val="CardBody"/>
            </w:pPr>
            <w:r>
              <w:t>Claiming competitors 'cannot' do something unless verified. Differentiate on depth, connectedness, time-to-value and consolidation instead.</w:t>
            </w:r>
          </w:p>
        </w:tc>
      </w:tr>
    </w:tbl>
    <w:p>
      <w:pPr>
        <w:pStyle w:val="Tiny"/>
        <w:spacing w:before="40"/>
        <w:jc w:val="right"/>
      </w:pPr>
      <w:r>
        <w:t>Seller cheat sheet • Full battlecards follow</w:t>
      </w:r>
    </w:p>
    <w:p>
      <w:r>
        <w:br w:type="page"/>
      </w:r>
    </w:p>
    <w:tbl>
      <w:tblPr>
        <w:tblW w:type="auto" w:w="0"/>
        <w:tblLayout w:type="fixed"/>
        <w:tblLook w:firstColumn="1" w:firstRow="1" w:lastColumn="0" w:lastRow="0" w:noHBand="0" w:noVBand="1" w:val="04A0"/>
      </w:tblPr>
      <w:tblGrid>
        <w:gridCol w:w="11520"/>
        <w:gridCol w:w="2448"/>
      </w:tblGrid>
      <w:tr>
        <w:tc>
          <w:tcPr>
            <w:tcW w:type="dxa" w:w="7128"/>
            <w:shd w:fill="17324D"/>
            <w:tcMar>
              <w:top w:w="100" w:type="dxa"/>
              <w:start w:w="120" w:type="dxa"/>
              <w:bottom w:w="100" w:type="dxa"/>
              <w:end w:w="120" w:type="dxa"/>
            </w:tcMar>
          </w:tcPr>
          <w:p>
            <w:pPr>
              <w:spacing w:after="0"/>
            </w:pPr>
            <w:r>
              <w:rPr>
                <w:rFonts w:ascii="Arial" w:hAnsi="Arial"/>
                <w:b/>
                <w:color w:val="FFFFFF"/>
                <w:sz w:val="36"/>
              </w:rPr>
              <w:t>EAB Navigate360</w:t>
            </w:r>
            <w:r>
              <w:rPr>
                <w:rFonts w:ascii="Arial" w:hAnsi="Arial"/>
                <w:color w:val="DCE6EC"/>
                <w:sz w:val="17"/>
              </w:rPr>
              <w:br/>
              <w:t>DIRECT • STUDENT SUCCESS</w:t>
            </w:r>
          </w:p>
        </w:tc>
        <w:tc>
          <w:tcPr>
            <w:tcW w:type="dxa" w:w="7128"/>
            <w:shd w:fill="B44343"/>
            <w:tcMar>
              <w:top w:w="90" w:type="dxa"/>
              <w:start w:w="80" w:type="dxa"/>
              <w:bottom w:w="90" w:type="dxa"/>
              <w:end w:w="80" w:type="dxa"/>
            </w:tcMar>
            <w:vAlign w:val="center"/>
          </w:tcPr>
          <w:p>
            <w:pPr>
              <w:spacing w:after="0"/>
              <w:jc w:val="center"/>
            </w:pPr>
            <w:r>
              <w:rPr>
                <w:rFonts w:ascii="Arial" w:hAnsi="Arial"/>
                <w:b/>
                <w:color w:val="FFFFFF"/>
                <w:sz w:val="16"/>
              </w:rPr>
              <w:t>VERY HIGH</w:t>
            </w:r>
          </w:p>
        </w:tc>
      </w:tr>
    </w:tbl>
    <w:tbl>
      <w:tblPr>
        <w:tblW w:type="auto" w:w="0"/>
        <w:tblLayout w:type="fixed"/>
        <w:tblLook w:firstColumn="1" w:firstRow="1" w:lastColumn="0" w:lastRow="0" w:noHBand="0" w:noVBand="1" w:val="04A0"/>
      </w:tblPr>
      <w:tblGrid>
        <w:gridCol w:w="6840"/>
        <w:gridCol w:w="6840"/>
      </w:tblGrid>
      <w:tr>
        <w:tc>
          <w:tcPr>
            <w:tcW w:type="dxa" w:w="7128"/>
            <w:shd w:fill="F5F8FA"/>
            <w:tcMar>
              <w:top w:w="90" w:type="dxa"/>
              <w:start w:w="110" w:type="dxa"/>
              <w:bottom w:w="90" w:type="dxa"/>
              <w:end w:w="110" w:type="dxa"/>
            </w:tcMar>
          </w:tcPr>
          <w:p>
            <w:pPr>
              <w:spacing w:after="20"/>
            </w:pPr>
            <w:r>
              <w:rPr>
                <w:rFonts w:ascii="Arial" w:hAnsi="Arial"/>
                <w:b/>
                <w:color w:val="0E8A8A"/>
                <w:sz w:val="15"/>
              </w:rPr>
              <w:t>LIKELY BUYERS</w:t>
            </w:r>
            <w:r>
              <w:rPr>
                <w:rFonts w:ascii="Arial" w:hAnsi="Arial"/>
                <w:color w:val="1B2733"/>
                <w:sz w:val="16"/>
              </w:rPr>
              <w:br/>
              <w:t>Provost; VP Student Success; Advising leadership; Enrollment/Retention; CIO</w:t>
            </w:r>
          </w:p>
        </w:tc>
        <w:tc>
          <w:tcPr>
            <w:tcW w:type="dxa" w:w="7128"/>
            <w:shd w:fill="F5F8FA"/>
            <w:tcMar>
              <w:top w:w="90" w:type="dxa"/>
              <w:start w:w="110" w:type="dxa"/>
              <w:bottom w:w="90" w:type="dxa"/>
              <w:end w:w="110" w:type="dxa"/>
            </w:tcMar>
          </w:tcPr>
          <w:p>
            <w:pPr>
              <w:spacing w:after="20"/>
            </w:pPr>
            <w:r>
              <w:rPr>
                <w:rFonts w:ascii="Arial" w:hAnsi="Arial"/>
                <w:b/>
                <w:color w:val="0E8A8A"/>
                <w:sz w:val="15"/>
              </w:rPr>
              <w:t>WHEN THEY APPEAR</w:t>
            </w:r>
            <w:r>
              <w:rPr>
                <w:rFonts w:ascii="Arial" w:hAnsi="Arial"/>
                <w:color w:val="1B2733"/>
                <w:sz w:val="16"/>
              </w:rPr>
              <w:br/>
              <w:t>Enterprise student-success CRM, advising modernization, retention and coordinated-care programs.</w:t>
            </w:r>
          </w:p>
        </w:tc>
      </w:tr>
    </w:tbl>
    <w:p>
      <w:pPr>
        <w:spacing w:after="0"/>
      </w:pPr>
    </w:p>
    <w:tbl>
      <w:tblPr>
        <w:tblW w:type="auto" w:w="0"/>
        <w:tblLayout w:type="fixed"/>
        <w:tblLook w:firstColumn="1" w:firstRow="1" w:lastColumn="0" w:lastRow="0" w:noHBand="0" w:noVBand="1" w:val="04A0"/>
      </w:tblPr>
      <w:tblGrid>
        <w:gridCol w:w="6840"/>
        <w:gridCol w:w="6840"/>
      </w:tblGrid>
      <w:tr>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WHY THEY ARE CREDIBLE</w:t>
                  </w:r>
                </w:p>
              </w:tc>
            </w:tr>
          </w:tbl>
          <w:p/>
          <w:p>
            <w:pPr>
              <w:pStyle w:val="CardBody"/>
              <w:spacing w:after="32"/>
              <w:ind w:left="173" w:hanging="144"/>
            </w:pPr>
            <w:r>
              <w:rPr>
                <w:b/>
              </w:rPr>
              <w:t xml:space="preserve">• </w:t>
            </w:r>
            <w:r>
              <w:t>Large U.S. higher-ed footprint: EAB states 850+ two- and four-year institutions and 95%+ annual renewal.</w:t>
            </w:r>
          </w:p>
          <w:p>
            <w:pPr>
              <w:pStyle w:val="CardBody"/>
              <w:spacing w:after="32"/>
              <w:ind w:left="173" w:hanging="144"/>
            </w:pPr>
            <w:r>
              <w:rPr>
                <w:b/>
              </w:rPr>
              <w:t xml:space="preserve">• </w:t>
            </w:r>
            <w:r>
              <w:t>Deep advising workflow: appointments, campaigns, alerts, referrals, communications and coordinated care.</w:t>
            </w:r>
          </w:p>
          <w:p>
            <w:pPr>
              <w:pStyle w:val="CardBody"/>
              <w:spacing w:after="32"/>
              <w:ind w:left="173" w:hanging="144"/>
            </w:pPr>
            <w:r>
              <w:rPr>
                <w:b/>
              </w:rPr>
              <w:t xml:space="preserve">• </w:t>
            </w:r>
            <w:r>
              <w:t>Strong peer-network / research narrative through EAB’s Student Success Collaborative.</w:t>
            </w:r>
          </w:p>
        </w:tc>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DDEFF0"/>
                  <w:vAlign w:val="center"/>
                  <w:tcMar>
                    <w:top w:w="80" w:type="dxa"/>
                    <w:start w:w="100" w:type="dxa"/>
                    <w:bottom w:w="80" w:type="dxa"/>
                    <w:end w:w="100" w:type="dxa"/>
                  </w:tcMar>
                </w:tcPr>
                <w:p>
                  <w:pPr>
                    <w:spacing w:after="0"/>
                    <w:jc w:val="left"/>
                  </w:pPr>
                  <w:r/>
                  <w:r>
                    <w:rPr>
                      <w:rFonts w:ascii="Arial" w:hAnsi="Arial"/>
                      <w:b/>
                      <w:color w:val="0E8A8A"/>
                      <w:sz w:val="16"/>
                    </w:rPr>
                    <w:t>SEATS COMPETITIVE WEDGE</w:t>
                  </w:r>
                </w:p>
              </w:tc>
            </w:tr>
          </w:tbl>
          <w:p/>
          <w:p>
            <w:pPr>
              <w:pStyle w:val="CardBody"/>
              <w:spacing w:after="32"/>
              <w:ind w:left="173" w:hanging="144"/>
            </w:pPr>
            <w:r>
              <w:rPr>
                <w:b/>
              </w:rPr>
              <w:t xml:space="preserve">• </w:t>
            </w:r>
            <w:r>
              <w:t>Lead on operational breadth: attendance + engagement + case management + compliance + scheduling + smart space on one platform.</w:t>
            </w:r>
          </w:p>
          <w:p>
            <w:pPr>
              <w:pStyle w:val="CardBody"/>
              <w:spacing w:after="32"/>
              <w:ind w:left="173" w:hanging="144"/>
            </w:pPr>
            <w:r>
              <w:rPr>
                <w:b/>
              </w:rPr>
              <w:t xml:space="preserve">• </w:t>
            </w:r>
            <w:r>
              <w:t>Make attendance an actionable signal, not a separate workflow: detect → create case → route action → evidence outcome.</w:t>
            </w:r>
          </w:p>
          <w:p>
            <w:pPr>
              <w:pStyle w:val="CardBody"/>
              <w:spacing w:after="32"/>
              <w:ind w:left="173" w:hanging="144"/>
            </w:pPr>
            <w:r>
              <w:rPr>
                <w:b/>
              </w:rPr>
              <w:t xml:space="preserve">• </w:t>
            </w:r>
            <w:r>
              <w:t>Use Microsoft-native architecture and campus-operations consolidation where those matter.</w:t>
            </w:r>
          </w:p>
        </w:tc>
      </w:tr>
    </w:tbl>
    <w:p>
      <w:pPr>
        <w:spacing w:after="0"/>
      </w:pPr>
    </w:p>
    <w:tbl>
      <w:tblPr>
        <w:tblW w:type="auto" w:w="0"/>
        <w:tblLook w:firstColumn="1" w:firstRow="1" w:lastColumn="0" w:lastRow="0" w:noHBand="0" w:noVBand="1" w:val="04A0"/>
      </w:tblPr>
      <w:tblGrid>
        <w:gridCol w:w="14256"/>
      </w:tblGrid>
      <w:tr>
        <w:tc>
          <w:tcPr>
            <w:tcW w:type="dxa" w:w="14256"/>
            <w:shd w:fill="EAF1F5"/>
            <w:tcMar>
              <w:top w:w="90" w:type="dxa"/>
              <w:start w:w="130" w:type="dxa"/>
              <w:bottom w:w="90" w:type="dxa"/>
              <w:end w:w="130" w:type="dxa"/>
            </w:tcMar>
          </w:tcPr>
          <w:p>
            <w:r>
              <w:rPr>
                <w:b/>
                <w:color w:val="17324D"/>
                <w:sz w:val="16"/>
              </w:rPr>
              <w:t xml:space="preserve">CORE TALK TRACK  </w:t>
            </w:r>
            <w:r>
              <w:rPr>
                <w:i/>
                <w:color w:val="1B2733"/>
                <w:sz w:val="18"/>
              </w:rPr>
              <w:t>“Navigate360 is a strong advising CRM. The question is whether you need another advising system—or a connected operating layer that turns attendance, engagement, compliance and campus data into action across the institution.”</w:t>
            </w:r>
          </w:p>
        </w:tc>
      </w:tr>
    </w:tbl>
    <w:p>
      <w:pPr>
        <w:spacing w:after="0"/>
      </w:pPr>
    </w:p>
    <w:tbl>
      <w:tblPr>
        <w:tblW w:type="auto" w:w="0"/>
        <w:tblLayout w:type="fixed"/>
        <w:tblLook w:firstColumn="1" w:firstRow="1" w:lastColumn="0" w:lastRow="0" w:noHBand="0" w:noVBand="1" w:val="04A0"/>
      </w:tblPr>
      <w:tblGrid>
        <w:gridCol w:w="6840"/>
        <w:gridCol w:w="6840"/>
      </w:tblGrid>
      <w:tr>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DISCOVERY QUESTIONS</w:t>
                  </w:r>
                </w:p>
              </w:tc>
            </w:tr>
          </w:tbl>
          <w:p/>
          <w:p>
            <w:pPr>
              <w:pStyle w:val="CardBody"/>
              <w:spacing w:after="32"/>
              <w:ind w:left="173" w:hanging="144"/>
            </w:pPr>
            <w:r>
              <w:rPr>
                <w:b/>
              </w:rPr>
              <w:t xml:space="preserve">• </w:t>
            </w:r>
            <w:r>
              <w:t>Is this project only about advising, or are attendance/compliance/scheduling systems also in scope?</w:t>
            </w:r>
          </w:p>
          <w:p>
            <w:pPr>
              <w:pStyle w:val="CardBody"/>
              <w:spacing w:after="32"/>
              <w:ind w:left="173" w:hanging="144"/>
            </w:pPr>
            <w:r>
              <w:rPr>
                <w:b/>
              </w:rPr>
              <w:t xml:space="preserve">• </w:t>
            </w:r>
            <w:r>
              <w:t>How quickly do advisors see changes in actual attendance and engagement?</w:t>
            </w:r>
          </w:p>
          <w:p>
            <w:pPr>
              <w:pStyle w:val="CardBody"/>
              <w:spacing w:after="32"/>
              <w:ind w:left="173" w:hanging="144"/>
            </w:pPr>
            <w:r>
              <w:rPr>
                <w:b/>
              </w:rPr>
              <w:t xml:space="preserve">• </w:t>
            </w:r>
            <w:r>
              <w:t>How many separate platforms are involved from signal detection to intervention?</w:t>
            </w:r>
          </w:p>
          <w:p>
            <w:pPr>
              <w:pStyle w:val="CardBody"/>
              <w:spacing w:after="32"/>
              <w:ind w:left="173" w:hanging="144"/>
            </w:pPr>
            <w:r>
              <w:rPr>
                <w:b/>
              </w:rPr>
              <w:t xml:space="preserve">• </w:t>
            </w:r>
            <w:r>
              <w:t>Is Microsoft/Azure alignment an architectural priority?</w:t>
            </w:r>
          </w:p>
        </w:tc>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FCEEEE"/>
                  <w:vAlign w:val="center"/>
                  <w:tcMar>
                    <w:top w:w="80" w:type="dxa"/>
                    <w:start w:w="100" w:type="dxa"/>
                    <w:bottom w:w="80" w:type="dxa"/>
                    <w:end w:w="100" w:type="dxa"/>
                  </w:tcMar>
                </w:tcPr>
                <w:p>
                  <w:pPr>
                    <w:spacing w:after="0"/>
                    <w:jc w:val="left"/>
                  </w:pPr>
                  <w:r/>
                  <w:r>
                    <w:rPr>
                      <w:rFonts w:ascii="Arial" w:hAnsi="Arial"/>
                      <w:b/>
                      <w:color w:val="B44343"/>
                      <w:sz w:val="16"/>
                    </w:rPr>
                    <w:t>SALES LANDMINES / PROOF DISCIPLINE</w:t>
                  </w:r>
                </w:p>
              </w:tc>
            </w:tr>
          </w:tbl>
          <w:p/>
          <w:p>
            <w:pPr>
              <w:pStyle w:val="CardBody"/>
              <w:spacing w:after="32"/>
              <w:ind w:left="173" w:hanging="144"/>
            </w:pPr>
            <w:r>
              <w:rPr>
                <w:b/>
              </w:rPr>
              <w:t xml:space="preserve">• </w:t>
            </w:r>
            <w:r>
              <w:t>Do not attack EAB’s installed base; reframe the decision around scope and consolidation.</w:t>
            </w:r>
          </w:p>
          <w:p>
            <w:pPr>
              <w:pStyle w:val="CardBody"/>
              <w:spacing w:after="32"/>
              <w:ind w:left="173" w:hanging="144"/>
            </w:pPr>
            <w:r>
              <w:rPr>
                <w:b/>
              </w:rPr>
              <w:t xml:space="preserve">• </w:t>
            </w:r>
            <w:r>
              <w:t>Do not say Navigate360 lacks attendance—focus on SEAtS depth and linkage to broader operations.</w:t>
            </w:r>
          </w:p>
          <w:p>
            <w:pPr>
              <w:pStyle w:val="CardBody"/>
              <w:spacing w:after="32"/>
              <w:ind w:left="173" w:hanging="144"/>
            </w:pPr>
            <w:r>
              <w:rPr>
                <w:b/>
              </w:rPr>
              <w:t xml:space="preserve">• </w:t>
            </w:r>
            <w:r>
              <w:t>Ask for apples-to-apples five-year TCO including any systems that could be retired.</w:t>
            </w:r>
          </w:p>
        </w:tc>
      </w:tr>
    </w:tbl>
    <w:tbl>
      <w:tblPr>
        <w:tblW w:type="auto" w:w="0"/>
        <w:tblLayout w:type="fixed"/>
        <w:tblLook w:firstColumn="1" w:firstRow="1" w:lastColumn="0" w:lastRow="0" w:noHBand="0" w:noVBand="1" w:val="04A0"/>
      </w:tblPr>
      <w:tblGrid>
        <w:gridCol w:w="6840"/>
        <w:gridCol w:w="6840"/>
      </w:tblGrid>
      <w:tr>
        <w:tc>
          <w:tcPr>
            <w:tcW w:type="dxa" w:w="7128"/>
            <w:shd w:fill="E6F3EA"/>
            <w:tcMar>
              <w:top w:w="70" w:type="dxa"/>
              <w:start w:w="110" w:type="dxa"/>
              <w:bottom w:w="70" w:type="dxa"/>
              <w:end w:w="110" w:type="dxa"/>
            </w:tcMar>
          </w:tcPr>
          <w:p>
            <w:r>
              <w:rPr>
                <w:b/>
                <w:color w:val="2D7A4B"/>
                <w:sz w:val="15"/>
              </w:rPr>
              <w:t xml:space="preserve">WIN SIGNALS  </w:t>
            </w:r>
            <w:r>
              <w:rPr>
                <w:color w:val="1B2733"/>
                <w:sz w:val="16"/>
              </w:rPr>
              <w:t>Attendance/compliance/scheduling included; multi-department sponsor; desire to consolidate systems.</w:t>
            </w:r>
          </w:p>
        </w:tc>
        <w:tc>
          <w:tcPr>
            <w:tcW w:type="dxa" w:w="7128"/>
            <w:shd w:fill="F8E8C8"/>
            <w:tcMar>
              <w:top w:w="70" w:type="dxa"/>
              <w:start w:w="110" w:type="dxa"/>
              <w:bottom w:w="70" w:type="dxa"/>
              <w:end w:w="110" w:type="dxa"/>
            </w:tcMar>
          </w:tcPr>
          <w:p>
            <w:r>
              <w:rPr>
                <w:b/>
                <w:color w:val="A06B00"/>
                <w:sz w:val="15"/>
              </w:rPr>
              <w:t xml:space="preserve">LOSS / RISK SIGNALS  </w:t>
            </w:r>
            <w:r>
              <w:rPr>
                <w:color w:val="1B2733"/>
                <w:sz w:val="16"/>
              </w:rPr>
              <w:t>Pure advising RFP; buyer heavily values EAB peer network; incumbent Navigate360 with strong adoption.</w:t>
            </w:r>
          </w:p>
        </w:tc>
      </w:tr>
    </w:tbl>
    <w:p>
      <w:pPr>
        <w:pStyle w:val="Tiny"/>
        <w:spacing w:before="40"/>
      </w:pPr>
      <w:r>
        <w:rPr>
          <w:b/>
        </w:rPr>
        <w:t xml:space="preserve">Verified sources: </w:t>
      </w:r>
      <w:hyperlink r:id="rId9">
        <w:r>
          <w:rPr>
            <w:color w:val="0563C1"/>
            <w:u w:val="single"/>
            <w:sz w:val="14"/>
          </w:rPr>
          <w:t>EAB Navigate360</w:t>
        </w:r>
      </w:hyperlink>
      <w:r>
        <w:t xml:space="preserve">  •  </w:t>
      </w:r>
      <w:hyperlink r:id="rId10">
        <w:r>
          <w:rPr>
            <w:color w:val="0563C1"/>
            <w:u w:val="single"/>
            <w:sz w:val="14"/>
          </w:rPr>
          <w:t>SEAtS ONE platform</w:t>
        </w:r>
      </w:hyperlink>
    </w:p>
    <w:p>
      <w:r>
        <w:br w:type="page"/>
      </w:r>
    </w:p>
    <w:tbl>
      <w:tblPr>
        <w:tblW w:type="auto" w:w="0"/>
        <w:tblLayout w:type="fixed"/>
        <w:tblLook w:firstColumn="1" w:firstRow="1" w:lastColumn="0" w:lastRow="0" w:noHBand="0" w:noVBand="1" w:val="04A0"/>
      </w:tblPr>
      <w:tblGrid>
        <w:gridCol w:w="11520"/>
        <w:gridCol w:w="2448"/>
      </w:tblGrid>
      <w:tr>
        <w:tc>
          <w:tcPr>
            <w:tcW w:type="dxa" w:w="7128"/>
            <w:shd w:fill="17324D"/>
            <w:tcMar>
              <w:top w:w="100" w:type="dxa"/>
              <w:start w:w="120" w:type="dxa"/>
              <w:bottom w:w="100" w:type="dxa"/>
              <w:end w:w="120" w:type="dxa"/>
            </w:tcMar>
          </w:tcPr>
          <w:p>
            <w:pPr>
              <w:spacing w:after="0"/>
            </w:pPr>
            <w:r>
              <w:rPr>
                <w:rFonts w:ascii="Arial" w:hAnsi="Arial"/>
                <w:b/>
                <w:color w:val="FFFFFF"/>
                <w:sz w:val="36"/>
              </w:rPr>
              <w:t>Watermark Student Success &amp; Engagement</w:t>
            </w:r>
            <w:r>
              <w:rPr>
                <w:rFonts w:ascii="Arial" w:hAnsi="Arial"/>
                <w:color w:val="DCE6EC"/>
                <w:sz w:val="17"/>
              </w:rPr>
              <w:br/>
              <w:t>DIRECT • STUDENT SUCCESS</w:t>
            </w:r>
          </w:p>
        </w:tc>
        <w:tc>
          <w:tcPr>
            <w:tcW w:type="dxa" w:w="7128"/>
            <w:shd w:fill="A06B00"/>
            <w:tcMar>
              <w:top w:w="90" w:type="dxa"/>
              <w:start w:w="80" w:type="dxa"/>
              <w:bottom w:w="90" w:type="dxa"/>
              <w:end w:w="80" w:type="dxa"/>
            </w:tcMar>
            <w:vAlign w:val="center"/>
          </w:tcPr>
          <w:p>
            <w:pPr>
              <w:spacing w:after="0"/>
              <w:jc w:val="center"/>
            </w:pPr>
            <w:r>
              <w:rPr>
                <w:rFonts w:ascii="Arial" w:hAnsi="Arial"/>
                <w:b/>
                <w:color w:val="FFFFFF"/>
                <w:sz w:val="16"/>
              </w:rPr>
              <w:t>HIGH</w:t>
            </w:r>
          </w:p>
        </w:tc>
      </w:tr>
    </w:tbl>
    <w:tbl>
      <w:tblPr>
        <w:tblW w:type="auto" w:w="0"/>
        <w:tblLayout w:type="fixed"/>
        <w:tblLook w:firstColumn="1" w:firstRow="1" w:lastColumn="0" w:lastRow="0" w:noHBand="0" w:noVBand="1" w:val="04A0"/>
      </w:tblPr>
      <w:tblGrid>
        <w:gridCol w:w="6840"/>
        <w:gridCol w:w="6840"/>
      </w:tblGrid>
      <w:tr>
        <w:tc>
          <w:tcPr>
            <w:tcW w:type="dxa" w:w="7128"/>
            <w:shd w:fill="F5F8FA"/>
            <w:tcMar>
              <w:top w:w="90" w:type="dxa"/>
              <w:start w:w="110" w:type="dxa"/>
              <w:bottom w:w="90" w:type="dxa"/>
              <w:end w:w="110" w:type="dxa"/>
            </w:tcMar>
          </w:tcPr>
          <w:p>
            <w:pPr>
              <w:spacing w:after="20"/>
            </w:pPr>
            <w:r>
              <w:rPr>
                <w:rFonts w:ascii="Arial" w:hAnsi="Arial"/>
                <w:b/>
                <w:color w:val="0E8A8A"/>
                <w:sz w:val="15"/>
              </w:rPr>
              <w:t>LIKELY BUYERS</w:t>
            </w:r>
            <w:r>
              <w:rPr>
                <w:rFonts w:ascii="Arial" w:hAnsi="Arial"/>
                <w:color w:val="1B2733"/>
                <w:sz w:val="16"/>
              </w:rPr>
              <w:br/>
              <w:t>Student Success; Advising; Institutional Effectiveness; Retention; CIO</w:t>
            </w:r>
          </w:p>
        </w:tc>
        <w:tc>
          <w:tcPr>
            <w:tcW w:type="dxa" w:w="7128"/>
            <w:shd w:fill="F5F8FA"/>
            <w:tcMar>
              <w:top w:w="90" w:type="dxa"/>
              <w:start w:w="110" w:type="dxa"/>
              <w:bottom w:w="90" w:type="dxa"/>
              <w:end w:w="110" w:type="dxa"/>
            </w:tcMar>
          </w:tcPr>
          <w:p>
            <w:pPr>
              <w:spacing w:after="20"/>
            </w:pPr>
            <w:r>
              <w:rPr>
                <w:rFonts w:ascii="Arial" w:hAnsi="Arial"/>
                <w:b/>
                <w:color w:val="0E8A8A"/>
                <w:sz w:val="15"/>
              </w:rPr>
              <w:t>WHEN THEY APPEAR</w:t>
            </w:r>
            <w:r>
              <w:rPr>
                <w:rFonts w:ascii="Arial" w:hAnsi="Arial"/>
                <w:color w:val="1B2733"/>
                <w:sz w:val="16"/>
              </w:rPr>
              <w:br/>
              <w:t>Retention, predictive risk, early alert, advising, engagement and intervention management.</w:t>
            </w:r>
          </w:p>
        </w:tc>
      </w:tr>
    </w:tbl>
    <w:p>
      <w:pPr>
        <w:spacing w:after="0"/>
      </w:pPr>
    </w:p>
    <w:tbl>
      <w:tblPr>
        <w:tblW w:type="auto" w:w="0"/>
        <w:tblLayout w:type="fixed"/>
        <w:tblLook w:firstColumn="1" w:firstRow="1" w:lastColumn="0" w:lastRow="0" w:noHBand="0" w:noVBand="1" w:val="04A0"/>
      </w:tblPr>
      <w:tblGrid>
        <w:gridCol w:w="6840"/>
        <w:gridCol w:w="6840"/>
      </w:tblGrid>
      <w:tr>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WHY THEY ARE CREDIBLE</w:t>
                  </w:r>
                </w:p>
              </w:tc>
            </w:tr>
          </w:tbl>
          <w:p/>
          <w:p>
            <w:pPr>
              <w:pStyle w:val="CardBody"/>
              <w:spacing w:after="32"/>
              <w:ind w:left="173" w:hanging="144"/>
            </w:pPr>
            <w:r>
              <w:rPr>
                <w:b/>
              </w:rPr>
              <w:t xml:space="preserve">• </w:t>
            </w:r>
            <w:r>
              <w:t>Predictive models and early alerts aimed at identifying students who need support.</w:t>
            </w:r>
          </w:p>
          <w:p>
            <w:pPr>
              <w:pStyle w:val="CardBody"/>
              <w:spacing w:after="32"/>
              <w:ind w:left="173" w:hanging="144"/>
            </w:pPr>
            <w:r>
              <w:rPr>
                <w:b/>
              </w:rPr>
              <w:t xml:space="preserve">• </w:t>
            </w:r>
            <w:r>
              <w:t>Advising workflows, appointment scheduling, messaging, campaigns and mobile student experience.</w:t>
            </w:r>
          </w:p>
          <w:p>
            <w:pPr>
              <w:pStyle w:val="CardBody"/>
              <w:spacing w:after="32"/>
              <w:ind w:left="173" w:hanging="144"/>
            </w:pPr>
            <w:r>
              <w:rPr>
                <w:b/>
              </w:rPr>
              <w:t xml:space="preserve">• </w:t>
            </w:r>
            <w:r>
              <w:t>Broad SIS/LMS connectivity story and strong institutional-effectiveness adjacency.</w:t>
            </w:r>
          </w:p>
        </w:tc>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DDEFF0"/>
                  <w:vAlign w:val="center"/>
                  <w:tcMar>
                    <w:top w:w="80" w:type="dxa"/>
                    <w:start w:w="100" w:type="dxa"/>
                    <w:bottom w:w="80" w:type="dxa"/>
                    <w:end w:w="100" w:type="dxa"/>
                  </w:tcMar>
                </w:tcPr>
                <w:p>
                  <w:pPr>
                    <w:spacing w:after="0"/>
                    <w:jc w:val="left"/>
                  </w:pPr>
                  <w:r/>
                  <w:r>
                    <w:rPr>
                      <w:rFonts w:ascii="Arial" w:hAnsi="Arial"/>
                      <w:b/>
                      <w:color w:val="0E8A8A"/>
                      <w:sz w:val="16"/>
                    </w:rPr>
                    <w:t>SEATS COMPETITIVE WEDGE</w:t>
                  </w:r>
                </w:p>
              </w:tc>
            </w:tr>
          </w:tbl>
          <w:p/>
          <w:p>
            <w:pPr>
              <w:pStyle w:val="CardBody"/>
              <w:spacing w:after="32"/>
              <w:ind w:left="173" w:hanging="144"/>
            </w:pPr>
            <w:r>
              <w:rPr>
                <w:b/>
              </w:rPr>
              <w:t xml:space="preserve">• </w:t>
            </w:r>
            <w:r>
              <w:t>Differentiate with real attendance/engagement capture plus downstream action.</w:t>
            </w:r>
          </w:p>
          <w:p>
            <w:pPr>
              <w:pStyle w:val="CardBody"/>
              <w:spacing w:after="32"/>
              <w:ind w:left="173" w:hanging="144"/>
            </w:pPr>
            <w:r>
              <w:rPr>
                <w:b/>
              </w:rPr>
              <w:t xml:space="preserve">• </w:t>
            </w:r>
            <w:r>
              <w:t>Expand the buying lens beyond retention software to compliance, scheduling and smart-campus operations.</w:t>
            </w:r>
          </w:p>
          <w:p>
            <w:pPr>
              <w:pStyle w:val="CardBody"/>
              <w:spacing w:after="32"/>
              <w:ind w:left="173" w:hanging="144"/>
            </w:pPr>
            <w:r>
              <w:rPr>
                <w:b/>
              </w:rPr>
              <w:t xml:space="preserve">• </w:t>
            </w:r>
            <w:r>
              <w:t>Show a single operational record connecting what happens in class and on campus to support actions.</w:t>
            </w:r>
          </w:p>
        </w:tc>
      </w:tr>
    </w:tbl>
    <w:p>
      <w:pPr>
        <w:spacing w:after="0"/>
      </w:pPr>
    </w:p>
    <w:tbl>
      <w:tblPr>
        <w:tblW w:type="auto" w:w="0"/>
        <w:tblLook w:firstColumn="1" w:firstRow="1" w:lastColumn="0" w:lastRow="0" w:noHBand="0" w:noVBand="1" w:val="04A0"/>
      </w:tblPr>
      <w:tblGrid>
        <w:gridCol w:w="14256"/>
      </w:tblGrid>
      <w:tr>
        <w:tc>
          <w:tcPr>
            <w:tcW w:type="dxa" w:w="14256"/>
            <w:shd w:fill="EAF1F5"/>
            <w:tcMar>
              <w:top w:w="90" w:type="dxa"/>
              <w:start w:w="130" w:type="dxa"/>
              <w:bottom w:w="90" w:type="dxa"/>
              <w:end w:w="130" w:type="dxa"/>
            </w:tcMar>
          </w:tcPr>
          <w:p>
            <w:r>
              <w:rPr>
                <w:b/>
                <w:color w:val="17324D"/>
                <w:sz w:val="16"/>
              </w:rPr>
              <w:t xml:space="preserve">CORE TALK TRACK  </w:t>
            </w:r>
            <w:r>
              <w:rPr>
                <w:i/>
                <w:color w:val="1B2733"/>
                <w:sz w:val="18"/>
              </w:rPr>
              <w:t>“Watermark is strong at student-success insight and intervention. SEAtS becomes more compelling when the institution wants the same platform to own the operational signals—attendance, compliance and campus activity—that trigger those interventions.”</w:t>
            </w:r>
          </w:p>
        </w:tc>
      </w:tr>
    </w:tbl>
    <w:p>
      <w:pPr>
        <w:spacing w:after="0"/>
      </w:pPr>
    </w:p>
    <w:tbl>
      <w:tblPr>
        <w:tblW w:type="auto" w:w="0"/>
        <w:tblLayout w:type="fixed"/>
        <w:tblLook w:firstColumn="1" w:firstRow="1" w:lastColumn="0" w:lastRow="0" w:noHBand="0" w:noVBand="1" w:val="04A0"/>
      </w:tblPr>
      <w:tblGrid>
        <w:gridCol w:w="6840"/>
        <w:gridCol w:w="6840"/>
      </w:tblGrid>
      <w:tr>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DISCOVERY QUESTIONS</w:t>
                  </w:r>
                </w:p>
              </w:tc>
            </w:tr>
          </w:tbl>
          <w:p/>
          <w:p>
            <w:pPr>
              <w:pStyle w:val="CardBody"/>
              <w:spacing w:after="32"/>
              <w:ind w:left="173" w:hanging="144"/>
            </w:pPr>
            <w:r>
              <w:rPr>
                <w:b/>
              </w:rPr>
              <w:t xml:space="preserve">• </w:t>
            </w:r>
            <w:r>
              <w:t>Which risk inputs are trusted today—and how much of that data is behavioral versus academic?</w:t>
            </w:r>
          </w:p>
          <w:p>
            <w:pPr>
              <w:pStyle w:val="CardBody"/>
              <w:spacing w:after="32"/>
              <w:ind w:left="173" w:hanging="144"/>
            </w:pPr>
            <w:r>
              <w:rPr>
                <w:b/>
              </w:rPr>
              <w:t xml:space="preserve">• </w:t>
            </w:r>
            <w:r>
              <w:t>Is attendance currently manual, fragmented or handled in another product?</w:t>
            </w:r>
          </w:p>
          <w:p>
            <w:pPr>
              <w:pStyle w:val="CardBody"/>
              <w:spacing w:after="32"/>
              <w:ind w:left="173" w:hanging="144"/>
            </w:pPr>
            <w:r>
              <w:rPr>
                <w:b/>
              </w:rPr>
              <w:t xml:space="preserve">• </w:t>
            </w:r>
            <w:r>
              <w:t>Would the institution benefit from retiring separate scheduling/compliance/space tools?</w:t>
            </w:r>
          </w:p>
          <w:p>
            <w:pPr>
              <w:pStyle w:val="CardBody"/>
              <w:spacing w:after="32"/>
              <w:ind w:left="173" w:hanging="144"/>
            </w:pPr>
            <w:r>
              <w:rPr>
                <w:b/>
              </w:rPr>
              <w:t xml:space="preserve">• </w:t>
            </w:r>
            <w:r>
              <w:t>How important is operational automation versus advisor-only workflow?</w:t>
            </w:r>
          </w:p>
        </w:tc>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FCEEEE"/>
                  <w:vAlign w:val="center"/>
                  <w:tcMar>
                    <w:top w:w="80" w:type="dxa"/>
                    <w:start w:w="100" w:type="dxa"/>
                    <w:bottom w:w="80" w:type="dxa"/>
                    <w:end w:w="100" w:type="dxa"/>
                  </w:tcMar>
                </w:tcPr>
                <w:p>
                  <w:pPr>
                    <w:spacing w:after="0"/>
                    <w:jc w:val="left"/>
                  </w:pPr>
                  <w:r/>
                  <w:r>
                    <w:rPr>
                      <w:rFonts w:ascii="Arial" w:hAnsi="Arial"/>
                      <w:b/>
                      <w:color w:val="B44343"/>
                      <w:sz w:val="16"/>
                    </w:rPr>
                    <w:t>SALES LANDMINES / PROOF DISCIPLINE</w:t>
                  </w:r>
                </w:p>
              </w:tc>
            </w:tr>
          </w:tbl>
          <w:p/>
          <w:p>
            <w:pPr>
              <w:pStyle w:val="CardBody"/>
              <w:spacing w:after="32"/>
              <w:ind w:left="173" w:hanging="144"/>
            </w:pPr>
            <w:r>
              <w:rPr>
                <w:b/>
              </w:rPr>
              <w:t xml:space="preserve">• </w:t>
            </w:r>
            <w:r>
              <w:t>Watermark supports attendance; do not frame it as absent. Ask how it is captured, validated and tied to workflows.</w:t>
            </w:r>
          </w:p>
          <w:p>
            <w:pPr>
              <w:pStyle w:val="CardBody"/>
              <w:spacing w:after="32"/>
              <w:ind w:left="173" w:hanging="144"/>
            </w:pPr>
            <w:r>
              <w:rPr>
                <w:b/>
              </w:rPr>
              <w:t xml:space="preserve">• </w:t>
            </w:r>
            <w:r>
              <w:t>Separate vendor-published outcome claims from independently verified results.</w:t>
            </w:r>
          </w:p>
          <w:p>
            <w:pPr>
              <w:pStyle w:val="CardBody"/>
              <w:spacing w:after="32"/>
              <w:ind w:left="173" w:hanging="144"/>
            </w:pPr>
            <w:r>
              <w:rPr>
                <w:b/>
              </w:rPr>
              <w:t xml:space="preserve">• </w:t>
            </w:r>
            <w:r>
              <w:t>Probe packaging/tier requirements for Predict, campaigns, texting and advanced capabilities.</w:t>
            </w:r>
          </w:p>
        </w:tc>
      </w:tr>
    </w:tbl>
    <w:tbl>
      <w:tblPr>
        <w:tblW w:type="auto" w:w="0"/>
        <w:tblLayout w:type="fixed"/>
        <w:tblLook w:firstColumn="1" w:firstRow="1" w:lastColumn="0" w:lastRow="0" w:noHBand="0" w:noVBand="1" w:val="04A0"/>
      </w:tblPr>
      <w:tblGrid>
        <w:gridCol w:w="6840"/>
        <w:gridCol w:w="6840"/>
      </w:tblGrid>
      <w:tr>
        <w:tc>
          <w:tcPr>
            <w:tcW w:type="dxa" w:w="7128"/>
            <w:shd w:fill="E6F3EA"/>
            <w:tcMar>
              <w:top w:w="70" w:type="dxa"/>
              <w:start w:w="110" w:type="dxa"/>
              <w:bottom w:w="70" w:type="dxa"/>
              <w:end w:w="110" w:type="dxa"/>
            </w:tcMar>
          </w:tcPr>
          <w:p>
            <w:r>
              <w:rPr>
                <w:b/>
                <w:color w:val="2D7A4B"/>
                <w:sz w:val="15"/>
              </w:rPr>
              <w:t xml:space="preserve">WIN SIGNALS  </w:t>
            </w:r>
            <w:r>
              <w:rPr>
                <w:color w:val="1B2733"/>
                <w:sz w:val="16"/>
              </w:rPr>
              <w:t>Need to connect behavioral signals to action; consolidation opportunity; attendance pain.</w:t>
            </w:r>
          </w:p>
        </w:tc>
        <w:tc>
          <w:tcPr>
            <w:tcW w:type="dxa" w:w="7128"/>
            <w:shd w:fill="F8E8C8"/>
            <w:tcMar>
              <w:top w:w="70" w:type="dxa"/>
              <w:start w:w="110" w:type="dxa"/>
              <w:bottom w:w="70" w:type="dxa"/>
              <w:end w:w="110" w:type="dxa"/>
            </w:tcMar>
          </w:tcPr>
          <w:p>
            <w:r>
              <w:rPr>
                <w:b/>
                <w:color w:val="A06B00"/>
                <w:sz w:val="15"/>
              </w:rPr>
              <w:t xml:space="preserve">LOSS / RISK SIGNALS  </w:t>
            </w:r>
            <w:r>
              <w:rPr>
                <w:color w:val="1B2733"/>
                <w:sz w:val="16"/>
              </w:rPr>
              <w:t>Buyer wants a focused, established retention/advising product and values Watermark suite adjacency.</w:t>
            </w:r>
          </w:p>
        </w:tc>
      </w:tr>
    </w:tbl>
    <w:p>
      <w:pPr>
        <w:pStyle w:val="Tiny"/>
        <w:spacing w:before="40"/>
      </w:pPr>
      <w:r>
        <w:rPr>
          <w:b/>
        </w:rPr>
        <w:t xml:space="preserve">Verified sources: </w:t>
      </w:r>
      <w:hyperlink r:id="rId11">
        <w:r>
          <w:rPr>
            <w:color w:val="0563C1"/>
            <w:u w:val="single"/>
            <w:sz w:val="14"/>
          </w:rPr>
          <w:t>Watermark SS&amp;E</w:t>
        </w:r>
      </w:hyperlink>
      <w:r>
        <w:t xml:space="preserve">  •  </w:t>
      </w:r>
      <w:hyperlink r:id="rId12">
        <w:r>
          <w:rPr>
            <w:color w:val="0563C1"/>
            <w:u w:val="single"/>
            <w:sz w:val="14"/>
          </w:rPr>
          <w:t>Watermark SS&amp;E support</w:t>
        </w:r>
      </w:hyperlink>
    </w:p>
    <w:p>
      <w:r>
        <w:br w:type="page"/>
      </w:r>
    </w:p>
    <w:tbl>
      <w:tblPr>
        <w:tblW w:type="auto" w:w="0"/>
        <w:tblLayout w:type="fixed"/>
        <w:tblLook w:firstColumn="1" w:firstRow="1" w:lastColumn="0" w:lastRow="0" w:noHBand="0" w:noVBand="1" w:val="04A0"/>
      </w:tblPr>
      <w:tblGrid>
        <w:gridCol w:w="11520"/>
        <w:gridCol w:w="2448"/>
      </w:tblGrid>
      <w:tr>
        <w:tc>
          <w:tcPr>
            <w:tcW w:type="dxa" w:w="7128"/>
            <w:shd w:fill="17324D"/>
            <w:tcMar>
              <w:top w:w="100" w:type="dxa"/>
              <w:start w:w="120" w:type="dxa"/>
              <w:bottom w:w="100" w:type="dxa"/>
              <w:end w:w="120" w:type="dxa"/>
            </w:tcMar>
          </w:tcPr>
          <w:p>
            <w:pPr>
              <w:spacing w:after="0"/>
            </w:pPr>
            <w:r>
              <w:rPr>
                <w:rFonts w:ascii="Arial" w:hAnsi="Arial"/>
                <w:b/>
                <w:color w:val="FFFFFF"/>
                <w:sz w:val="36"/>
              </w:rPr>
              <w:t>Civitas Learning — Student Impact Platform</w:t>
            </w:r>
            <w:r>
              <w:rPr>
                <w:rFonts w:ascii="Arial" w:hAnsi="Arial"/>
                <w:color w:val="DCE6EC"/>
                <w:sz w:val="17"/>
              </w:rPr>
              <w:br/>
              <w:t>DIRECT • ANALYTICS-LED SUCCESS</w:t>
            </w:r>
          </w:p>
        </w:tc>
        <w:tc>
          <w:tcPr>
            <w:tcW w:type="dxa" w:w="7128"/>
            <w:shd w:fill="A06B00"/>
            <w:tcMar>
              <w:top w:w="90" w:type="dxa"/>
              <w:start w:w="80" w:type="dxa"/>
              <w:bottom w:w="90" w:type="dxa"/>
              <w:end w:w="80" w:type="dxa"/>
            </w:tcMar>
            <w:vAlign w:val="center"/>
          </w:tcPr>
          <w:p>
            <w:pPr>
              <w:spacing w:after="0"/>
              <w:jc w:val="center"/>
            </w:pPr>
            <w:r>
              <w:rPr>
                <w:rFonts w:ascii="Arial" w:hAnsi="Arial"/>
                <w:b/>
                <w:color w:val="FFFFFF"/>
                <w:sz w:val="16"/>
              </w:rPr>
              <w:t>HIGH</w:t>
            </w:r>
          </w:p>
        </w:tc>
      </w:tr>
    </w:tbl>
    <w:tbl>
      <w:tblPr>
        <w:tblW w:type="auto" w:w="0"/>
        <w:tblLayout w:type="fixed"/>
        <w:tblLook w:firstColumn="1" w:firstRow="1" w:lastColumn="0" w:lastRow="0" w:noHBand="0" w:noVBand="1" w:val="04A0"/>
      </w:tblPr>
      <w:tblGrid>
        <w:gridCol w:w="6840"/>
        <w:gridCol w:w="6840"/>
      </w:tblGrid>
      <w:tr>
        <w:tc>
          <w:tcPr>
            <w:tcW w:type="dxa" w:w="7128"/>
            <w:shd w:fill="F5F8FA"/>
            <w:tcMar>
              <w:top w:w="90" w:type="dxa"/>
              <w:start w:w="110" w:type="dxa"/>
              <w:bottom w:w="90" w:type="dxa"/>
              <w:end w:w="110" w:type="dxa"/>
            </w:tcMar>
          </w:tcPr>
          <w:p>
            <w:pPr>
              <w:spacing w:after="20"/>
            </w:pPr>
            <w:r>
              <w:rPr>
                <w:rFonts w:ascii="Arial" w:hAnsi="Arial"/>
                <w:b/>
                <w:color w:val="0E8A8A"/>
                <w:sz w:val="15"/>
              </w:rPr>
              <w:t>LIKELY BUYERS</w:t>
            </w:r>
            <w:r>
              <w:rPr>
                <w:rFonts w:ascii="Arial" w:hAnsi="Arial"/>
                <w:color w:val="1B2733"/>
                <w:sz w:val="16"/>
              </w:rPr>
              <w:br/>
              <w:t>Provost; Student Success; Institutional Research; Analytics; Advising</w:t>
            </w:r>
          </w:p>
        </w:tc>
        <w:tc>
          <w:tcPr>
            <w:tcW w:type="dxa" w:w="7128"/>
            <w:shd w:fill="F5F8FA"/>
            <w:tcMar>
              <w:top w:w="90" w:type="dxa"/>
              <w:start w:w="110" w:type="dxa"/>
              <w:bottom w:w="90" w:type="dxa"/>
              <w:end w:w="110" w:type="dxa"/>
            </w:tcMar>
          </w:tcPr>
          <w:p>
            <w:pPr>
              <w:spacing w:after="20"/>
            </w:pPr>
            <w:r>
              <w:rPr>
                <w:rFonts w:ascii="Arial" w:hAnsi="Arial"/>
                <w:b/>
                <w:color w:val="0E8A8A"/>
                <w:sz w:val="15"/>
              </w:rPr>
              <w:t>WHEN THEY APPEAR</w:t>
            </w:r>
            <w:r>
              <w:rPr>
                <w:rFonts w:ascii="Arial" w:hAnsi="Arial"/>
                <w:color w:val="1B2733"/>
                <w:sz w:val="16"/>
              </w:rPr>
              <w:br/>
              <w:t>Predictive student-success analytics, intervention intelligence, coordinated support and outcome measurement.</w:t>
            </w:r>
          </w:p>
        </w:tc>
      </w:tr>
    </w:tbl>
    <w:p>
      <w:pPr>
        <w:spacing w:after="0"/>
      </w:pPr>
    </w:p>
    <w:tbl>
      <w:tblPr>
        <w:tblW w:type="auto" w:w="0"/>
        <w:tblLayout w:type="fixed"/>
        <w:tblLook w:firstColumn="1" w:firstRow="1" w:lastColumn="0" w:lastRow="0" w:noHBand="0" w:noVBand="1" w:val="04A0"/>
      </w:tblPr>
      <w:tblGrid>
        <w:gridCol w:w="6840"/>
        <w:gridCol w:w="6840"/>
      </w:tblGrid>
      <w:tr>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WHY THEY ARE CREDIBLE</w:t>
                  </w:r>
                </w:p>
              </w:tc>
            </w:tr>
          </w:tbl>
          <w:p/>
          <w:p>
            <w:pPr>
              <w:pStyle w:val="CardBody"/>
              <w:spacing w:after="32"/>
              <w:ind w:left="173" w:hanging="144"/>
            </w:pPr>
            <w:r>
              <w:rPr>
                <w:b/>
              </w:rPr>
              <w:t xml:space="preserve">• </w:t>
            </w:r>
            <w:r>
              <w:t>Strong narrative around institution-specific predictive analytics and identifying what interventions work.</w:t>
            </w:r>
          </w:p>
          <w:p>
            <w:pPr>
              <w:pStyle w:val="CardBody"/>
              <w:spacing w:after="32"/>
              <w:ind w:left="173" w:hanging="144"/>
            </w:pPr>
            <w:r>
              <w:rPr>
                <w:b/>
              </w:rPr>
              <w:t xml:space="preserve">• </w:t>
            </w:r>
            <w:r>
              <w:t>Unifies data and action workflows around student-success outcomes.</w:t>
            </w:r>
          </w:p>
          <w:p>
            <w:pPr>
              <w:pStyle w:val="CardBody"/>
              <w:spacing w:after="32"/>
              <w:ind w:left="173" w:hanging="144"/>
            </w:pPr>
            <w:r>
              <w:rPr>
                <w:b/>
              </w:rPr>
              <w:t xml:space="preserve">• </w:t>
            </w:r>
            <w:r>
              <w:t>Appeals to analytics-led institutions that want evidence of intervention impact.</w:t>
            </w:r>
          </w:p>
        </w:tc>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DDEFF0"/>
                  <w:vAlign w:val="center"/>
                  <w:tcMar>
                    <w:top w:w="80" w:type="dxa"/>
                    <w:start w:w="100" w:type="dxa"/>
                    <w:bottom w:w="80" w:type="dxa"/>
                    <w:end w:w="100" w:type="dxa"/>
                  </w:tcMar>
                </w:tcPr>
                <w:p>
                  <w:pPr>
                    <w:spacing w:after="0"/>
                    <w:jc w:val="left"/>
                  </w:pPr>
                  <w:r/>
                  <w:r>
                    <w:rPr>
                      <w:rFonts w:ascii="Arial" w:hAnsi="Arial"/>
                      <w:b/>
                      <w:color w:val="0E8A8A"/>
                      <w:sz w:val="16"/>
                    </w:rPr>
                    <w:t>SEATS COMPETITIVE WEDGE</w:t>
                  </w:r>
                </w:p>
              </w:tc>
            </w:tr>
          </w:tbl>
          <w:p/>
          <w:p>
            <w:pPr>
              <w:pStyle w:val="CardBody"/>
              <w:spacing w:after="32"/>
              <w:ind w:left="173" w:hanging="144"/>
            </w:pPr>
            <w:r>
              <w:rPr>
                <w:b/>
              </w:rPr>
              <w:t xml:space="preserve">• </w:t>
            </w:r>
            <w:r>
              <w:t>Shift from 'predict who is at risk' to 'connect the real operational signals and act immediately.'</w:t>
            </w:r>
          </w:p>
          <w:p>
            <w:pPr>
              <w:pStyle w:val="CardBody"/>
              <w:spacing w:after="32"/>
              <w:ind w:left="173" w:hanging="144"/>
            </w:pPr>
            <w:r>
              <w:rPr>
                <w:b/>
              </w:rPr>
              <w:t xml:space="preserve">• </w:t>
            </w:r>
            <w:r>
              <w:t>Demonstrate attendance, engagement, case creation and operational workflows in one sequence.</w:t>
            </w:r>
          </w:p>
          <w:p>
            <w:pPr>
              <w:pStyle w:val="CardBody"/>
              <w:spacing w:after="32"/>
              <w:ind w:left="173" w:hanging="144"/>
            </w:pPr>
            <w:r>
              <w:rPr>
                <w:b/>
              </w:rPr>
              <w:t xml:space="preserve">• </w:t>
            </w:r>
            <w:r>
              <w:t>Use broader campus operations—scheduling, compliance and space—as a consolidation advantage.</w:t>
            </w:r>
          </w:p>
        </w:tc>
      </w:tr>
    </w:tbl>
    <w:p>
      <w:pPr>
        <w:spacing w:after="0"/>
      </w:pPr>
    </w:p>
    <w:tbl>
      <w:tblPr>
        <w:tblW w:type="auto" w:w="0"/>
        <w:tblLook w:firstColumn="1" w:firstRow="1" w:lastColumn="0" w:lastRow="0" w:noHBand="0" w:noVBand="1" w:val="04A0"/>
      </w:tblPr>
      <w:tblGrid>
        <w:gridCol w:w="14256"/>
      </w:tblGrid>
      <w:tr>
        <w:tc>
          <w:tcPr>
            <w:tcW w:type="dxa" w:w="14256"/>
            <w:shd w:fill="EAF1F5"/>
            <w:tcMar>
              <w:top w:w="90" w:type="dxa"/>
              <w:start w:w="130" w:type="dxa"/>
              <w:bottom w:w="90" w:type="dxa"/>
              <w:end w:w="130" w:type="dxa"/>
            </w:tcMar>
          </w:tcPr>
          <w:p>
            <w:r>
              <w:rPr>
                <w:b/>
                <w:color w:val="17324D"/>
                <w:sz w:val="16"/>
              </w:rPr>
              <w:t xml:space="preserve">CORE TALK TRACK  </w:t>
            </w:r>
            <w:r>
              <w:rPr>
                <w:i/>
                <w:color w:val="1B2733"/>
                <w:sz w:val="18"/>
              </w:rPr>
              <w:t>“Civitas is compelling when the center of gravity is predictive analytics. SEAtS is stronger when the institution wants analytics connected directly to the operational systems and workflows that generate the signals and execute the response.”</w:t>
            </w:r>
          </w:p>
        </w:tc>
      </w:tr>
    </w:tbl>
    <w:p>
      <w:pPr>
        <w:spacing w:after="0"/>
      </w:pPr>
    </w:p>
    <w:tbl>
      <w:tblPr>
        <w:tblW w:type="auto" w:w="0"/>
        <w:tblLayout w:type="fixed"/>
        <w:tblLook w:firstColumn="1" w:firstRow="1" w:lastColumn="0" w:lastRow="0" w:noHBand="0" w:noVBand="1" w:val="04A0"/>
      </w:tblPr>
      <w:tblGrid>
        <w:gridCol w:w="6840"/>
        <w:gridCol w:w="6840"/>
      </w:tblGrid>
      <w:tr>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DISCOVERY QUESTIONS</w:t>
                  </w:r>
                </w:p>
              </w:tc>
            </w:tr>
          </w:tbl>
          <w:p/>
          <w:p>
            <w:pPr>
              <w:pStyle w:val="CardBody"/>
              <w:spacing w:after="32"/>
              <w:ind w:left="173" w:hanging="144"/>
            </w:pPr>
            <w:r>
              <w:rPr>
                <w:b/>
              </w:rPr>
              <w:t xml:space="preserve">• </w:t>
            </w:r>
            <w:r>
              <w:t>Is the buyer optimizing prediction accuracy, intervention execution—or both?</w:t>
            </w:r>
          </w:p>
          <w:p>
            <w:pPr>
              <w:pStyle w:val="CardBody"/>
              <w:spacing w:after="32"/>
              <w:ind w:left="173" w:hanging="144"/>
            </w:pPr>
            <w:r>
              <w:rPr>
                <w:b/>
              </w:rPr>
              <w:t xml:space="preserve">• </w:t>
            </w:r>
            <w:r>
              <w:t>Which data signals arrive too late today?</w:t>
            </w:r>
          </w:p>
          <w:p>
            <w:pPr>
              <w:pStyle w:val="CardBody"/>
              <w:spacing w:after="32"/>
              <w:ind w:left="173" w:hanging="144"/>
            </w:pPr>
            <w:r>
              <w:rPr>
                <w:b/>
              </w:rPr>
              <w:t xml:space="preserve">• </w:t>
            </w:r>
            <w:r>
              <w:t>How are attendance and campus-presence signals currently captured?</w:t>
            </w:r>
          </w:p>
          <w:p>
            <w:pPr>
              <w:pStyle w:val="CardBody"/>
              <w:spacing w:after="32"/>
              <w:ind w:left="173" w:hanging="144"/>
            </w:pPr>
            <w:r>
              <w:rPr>
                <w:b/>
              </w:rPr>
              <w:t xml:space="preserve">• </w:t>
            </w:r>
            <w:r>
              <w:t>How will success be measured: model performance, staff productivity, retention, or systems retired?</w:t>
            </w:r>
          </w:p>
        </w:tc>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FCEEEE"/>
                  <w:vAlign w:val="center"/>
                  <w:tcMar>
                    <w:top w:w="80" w:type="dxa"/>
                    <w:start w:w="100" w:type="dxa"/>
                    <w:bottom w:w="80" w:type="dxa"/>
                    <w:end w:w="100" w:type="dxa"/>
                  </w:tcMar>
                </w:tcPr>
                <w:p>
                  <w:pPr>
                    <w:spacing w:after="0"/>
                    <w:jc w:val="left"/>
                  </w:pPr>
                  <w:r/>
                  <w:r>
                    <w:rPr>
                      <w:rFonts w:ascii="Arial" w:hAnsi="Arial"/>
                      <w:b/>
                      <w:color w:val="B44343"/>
                      <w:sz w:val="16"/>
                    </w:rPr>
                    <w:t>SALES LANDMINES / PROOF DISCIPLINE</w:t>
                  </w:r>
                </w:p>
              </w:tc>
            </w:tr>
          </w:tbl>
          <w:p/>
          <w:p>
            <w:pPr>
              <w:pStyle w:val="CardBody"/>
              <w:spacing w:after="32"/>
              <w:ind w:left="173" w:hanging="144"/>
            </w:pPr>
            <w:r>
              <w:rPr>
                <w:b/>
              </w:rPr>
              <w:t xml:space="preserve">• </w:t>
            </w:r>
            <w:r>
              <w:t>Do not dismiss predictive modeling. Ask whether predictions are explainable and operationally actionable.</w:t>
            </w:r>
          </w:p>
          <w:p>
            <w:pPr>
              <w:pStyle w:val="CardBody"/>
              <w:spacing w:after="32"/>
              <w:ind w:left="173" w:hanging="144"/>
            </w:pPr>
            <w:r>
              <w:rPr>
                <w:b/>
              </w:rPr>
              <w:t xml:space="preserve">• </w:t>
            </w:r>
            <w:r>
              <w:t>Keep the conversation tied to institutional workflow, not model sophistication alone.</w:t>
            </w:r>
          </w:p>
          <w:p>
            <w:pPr>
              <w:pStyle w:val="CardBody"/>
              <w:spacing w:after="32"/>
              <w:ind w:left="173" w:hanging="144"/>
            </w:pPr>
            <w:r>
              <w:rPr>
                <w:b/>
              </w:rPr>
              <w:t xml:space="preserve">• </w:t>
            </w:r>
            <w:r>
              <w:t>Require proof of integration latency for critical signals.</w:t>
            </w:r>
          </w:p>
        </w:tc>
      </w:tr>
    </w:tbl>
    <w:tbl>
      <w:tblPr>
        <w:tblW w:type="auto" w:w="0"/>
        <w:tblLayout w:type="fixed"/>
        <w:tblLook w:firstColumn="1" w:firstRow="1" w:lastColumn="0" w:lastRow="0" w:noHBand="0" w:noVBand="1" w:val="04A0"/>
      </w:tblPr>
      <w:tblGrid>
        <w:gridCol w:w="6840"/>
        <w:gridCol w:w="6840"/>
      </w:tblGrid>
      <w:tr>
        <w:tc>
          <w:tcPr>
            <w:tcW w:type="dxa" w:w="7128"/>
            <w:shd w:fill="E6F3EA"/>
            <w:tcMar>
              <w:top w:w="70" w:type="dxa"/>
              <w:start w:w="110" w:type="dxa"/>
              <w:bottom w:w="70" w:type="dxa"/>
              <w:end w:w="110" w:type="dxa"/>
            </w:tcMar>
          </w:tcPr>
          <w:p>
            <w:r>
              <w:rPr>
                <w:b/>
                <w:color w:val="2D7A4B"/>
                <w:sz w:val="15"/>
              </w:rPr>
              <w:t xml:space="preserve">WIN SIGNALS  </w:t>
            </w:r>
            <w:r>
              <w:rPr>
                <w:color w:val="1B2733"/>
                <w:sz w:val="16"/>
              </w:rPr>
              <w:t>Operational automation and attendance are strategic; buyer wants fewer disconnected tools.</w:t>
            </w:r>
          </w:p>
        </w:tc>
        <w:tc>
          <w:tcPr>
            <w:tcW w:type="dxa" w:w="7128"/>
            <w:shd w:fill="F8E8C8"/>
            <w:tcMar>
              <w:top w:w="70" w:type="dxa"/>
              <w:start w:w="110" w:type="dxa"/>
              <w:bottom w:w="70" w:type="dxa"/>
              <w:end w:w="110" w:type="dxa"/>
            </w:tcMar>
          </w:tcPr>
          <w:p>
            <w:r>
              <w:rPr>
                <w:b/>
                <w:color w:val="A06B00"/>
                <w:sz w:val="15"/>
              </w:rPr>
              <w:t xml:space="preserve">LOSS / RISK SIGNALS  </w:t>
            </w:r>
            <w:r>
              <w:rPr>
                <w:color w:val="1B2733"/>
                <w:sz w:val="16"/>
              </w:rPr>
              <w:t>Analytics/IR-led procurement prioritizes predictive modeling and intervention-effectiveness measurement.</w:t>
            </w:r>
          </w:p>
        </w:tc>
      </w:tr>
    </w:tbl>
    <w:p>
      <w:pPr>
        <w:pStyle w:val="Tiny"/>
        <w:spacing w:before="40"/>
      </w:pPr>
      <w:r>
        <w:rPr>
          <w:b/>
        </w:rPr>
        <w:t xml:space="preserve">Verified sources: </w:t>
      </w:r>
      <w:hyperlink r:id="rId13">
        <w:r>
          <w:rPr>
            <w:color w:val="0563C1"/>
            <w:u w:val="single"/>
            <w:sz w:val="14"/>
          </w:rPr>
          <w:t>Civitas Student Impact Platform</w:t>
        </w:r>
      </w:hyperlink>
      <w:r>
        <w:t xml:space="preserve">  •  </w:t>
      </w:r>
      <w:hyperlink r:id="rId10">
        <w:r>
          <w:rPr>
            <w:color w:val="0563C1"/>
            <w:u w:val="single"/>
            <w:sz w:val="14"/>
          </w:rPr>
          <w:t>SEAtS ONE platform</w:t>
        </w:r>
      </w:hyperlink>
    </w:p>
    <w:p>
      <w:r>
        <w:br w:type="page"/>
      </w:r>
    </w:p>
    <w:tbl>
      <w:tblPr>
        <w:tblW w:type="auto" w:w="0"/>
        <w:tblLayout w:type="fixed"/>
        <w:tblLook w:firstColumn="1" w:firstRow="1" w:lastColumn="0" w:lastRow="0" w:noHBand="0" w:noVBand="1" w:val="04A0"/>
      </w:tblPr>
      <w:tblGrid>
        <w:gridCol w:w="11520"/>
        <w:gridCol w:w="2448"/>
      </w:tblGrid>
      <w:tr>
        <w:tc>
          <w:tcPr>
            <w:tcW w:type="dxa" w:w="7128"/>
            <w:shd w:fill="17324D"/>
            <w:tcMar>
              <w:top w:w="100" w:type="dxa"/>
              <w:start w:w="120" w:type="dxa"/>
              <w:bottom w:w="100" w:type="dxa"/>
              <w:end w:w="120" w:type="dxa"/>
            </w:tcMar>
          </w:tcPr>
          <w:p>
            <w:pPr>
              <w:spacing w:after="0"/>
            </w:pPr>
            <w:r>
              <w:rPr>
                <w:rFonts w:ascii="Arial" w:hAnsi="Arial"/>
                <w:b/>
                <w:color w:val="FFFFFF"/>
                <w:sz w:val="36"/>
              </w:rPr>
              <w:t>Ellucian CRM Advise</w:t>
            </w:r>
            <w:r>
              <w:rPr>
                <w:rFonts w:ascii="Arial" w:hAnsi="Arial"/>
                <w:color w:val="DCE6EC"/>
                <w:sz w:val="17"/>
              </w:rPr>
              <w:br/>
              <w:t>DIRECT • SIS-ADJACENT</w:t>
            </w:r>
          </w:p>
        </w:tc>
        <w:tc>
          <w:tcPr>
            <w:tcW w:type="dxa" w:w="7128"/>
            <w:shd w:fill="A06B00"/>
            <w:tcMar>
              <w:top w:w="90" w:type="dxa"/>
              <w:start w:w="80" w:type="dxa"/>
              <w:bottom w:w="90" w:type="dxa"/>
              <w:end w:w="80" w:type="dxa"/>
            </w:tcMar>
            <w:vAlign w:val="center"/>
          </w:tcPr>
          <w:p>
            <w:pPr>
              <w:spacing w:after="0"/>
              <w:jc w:val="center"/>
            </w:pPr>
            <w:r>
              <w:rPr>
                <w:rFonts w:ascii="Arial" w:hAnsi="Arial"/>
                <w:b/>
                <w:color w:val="FFFFFF"/>
                <w:sz w:val="16"/>
              </w:rPr>
              <w:t>HIGH</w:t>
            </w:r>
          </w:p>
        </w:tc>
      </w:tr>
    </w:tbl>
    <w:tbl>
      <w:tblPr>
        <w:tblW w:type="auto" w:w="0"/>
        <w:tblLayout w:type="fixed"/>
        <w:tblLook w:firstColumn="1" w:firstRow="1" w:lastColumn="0" w:lastRow="0" w:noHBand="0" w:noVBand="1" w:val="04A0"/>
      </w:tblPr>
      <w:tblGrid>
        <w:gridCol w:w="6840"/>
        <w:gridCol w:w="6840"/>
      </w:tblGrid>
      <w:tr>
        <w:tc>
          <w:tcPr>
            <w:tcW w:type="dxa" w:w="7128"/>
            <w:shd w:fill="F5F8FA"/>
            <w:tcMar>
              <w:top w:w="90" w:type="dxa"/>
              <w:start w:w="110" w:type="dxa"/>
              <w:bottom w:w="90" w:type="dxa"/>
              <w:end w:w="110" w:type="dxa"/>
            </w:tcMar>
          </w:tcPr>
          <w:p>
            <w:pPr>
              <w:spacing w:after="20"/>
            </w:pPr>
            <w:r>
              <w:rPr>
                <w:rFonts w:ascii="Arial" w:hAnsi="Arial"/>
                <w:b/>
                <w:color w:val="0E8A8A"/>
                <w:sz w:val="15"/>
              </w:rPr>
              <w:t>LIKELY BUYERS</w:t>
            </w:r>
            <w:r>
              <w:rPr>
                <w:rFonts w:ascii="Arial" w:hAnsi="Arial"/>
                <w:color w:val="1B2733"/>
                <w:sz w:val="16"/>
              </w:rPr>
              <w:br/>
              <w:t>CIO; Registrar; Advising; Student Success; Banner/Colleague stakeholders</w:t>
            </w:r>
          </w:p>
        </w:tc>
        <w:tc>
          <w:tcPr>
            <w:tcW w:type="dxa" w:w="7128"/>
            <w:shd w:fill="F5F8FA"/>
            <w:tcMar>
              <w:top w:w="90" w:type="dxa"/>
              <w:start w:w="110" w:type="dxa"/>
              <w:bottom w:w="90" w:type="dxa"/>
              <w:end w:w="110" w:type="dxa"/>
            </w:tcMar>
          </w:tcPr>
          <w:p>
            <w:pPr>
              <w:spacing w:after="20"/>
            </w:pPr>
            <w:r>
              <w:rPr>
                <w:rFonts w:ascii="Arial" w:hAnsi="Arial"/>
                <w:b/>
                <w:color w:val="0E8A8A"/>
                <w:sz w:val="15"/>
              </w:rPr>
              <w:t>WHEN THEY APPEAR</w:t>
            </w:r>
            <w:r>
              <w:rPr>
                <w:rFonts w:ascii="Arial" w:hAnsi="Arial"/>
                <w:color w:val="1B2733"/>
                <w:sz w:val="16"/>
              </w:rPr>
              <w:br/>
              <w:t>Advising and retention modernization, especially where Ellucian is already the core SIS provider.</w:t>
            </w:r>
          </w:p>
        </w:tc>
      </w:tr>
    </w:tbl>
    <w:p>
      <w:pPr>
        <w:spacing w:after="0"/>
      </w:pPr>
    </w:p>
    <w:tbl>
      <w:tblPr>
        <w:tblW w:type="auto" w:w="0"/>
        <w:tblLayout w:type="fixed"/>
        <w:tblLook w:firstColumn="1" w:firstRow="1" w:lastColumn="0" w:lastRow="0" w:noHBand="0" w:noVBand="1" w:val="04A0"/>
      </w:tblPr>
      <w:tblGrid>
        <w:gridCol w:w="6840"/>
        <w:gridCol w:w="6840"/>
      </w:tblGrid>
      <w:tr>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WHY THEY ARE CREDIBLE</w:t>
                  </w:r>
                </w:p>
              </w:tc>
            </w:tr>
          </w:tbl>
          <w:p/>
          <w:p>
            <w:pPr>
              <w:pStyle w:val="CardBody"/>
              <w:spacing w:after="32"/>
              <w:ind w:left="173" w:hanging="144"/>
            </w:pPr>
            <w:r>
              <w:rPr>
                <w:b/>
              </w:rPr>
              <w:t xml:space="preserve">• </w:t>
            </w:r>
            <w:r>
              <w:t>Natural ecosystem advantage in Banner/Colleague institutions.</w:t>
            </w:r>
          </w:p>
          <w:p>
            <w:pPr>
              <w:pStyle w:val="CardBody"/>
              <w:spacing w:after="32"/>
              <w:ind w:left="173" w:hanging="144"/>
            </w:pPr>
            <w:r>
              <w:rPr>
                <w:b/>
              </w:rPr>
              <w:t xml:space="preserve">• </w:t>
            </w:r>
            <w:r>
              <w:t>Holistic advising, early alerts, coordinated support and student communication.</w:t>
            </w:r>
          </w:p>
          <w:p>
            <w:pPr>
              <w:pStyle w:val="CardBody"/>
              <w:spacing w:after="32"/>
              <w:ind w:left="173" w:hanging="144"/>
            </w:pPr>
            <w:r>
              <w:rPr>
                <w:b/>
              </w:rPr>
              <w:t xml:space="preserve">• </w:t>
            </w:r>
            <w:r>
              <w:t>Lower perceived vendor sprawl when institution prefers to buy from incumbent enterprise provider.</w:t>
            </w:r>
          </w:p>
        </w:tc>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DDEFF0"/>
                  <w:vAlign w:val="center"/>
                  <w:tcMar>
                    <w:top w:w="80" w:type="dxa"/>
                    <w:start w:w="100" w:type="dxa"/>
                    <w:bottom w:w="80" w:type="dxa"/>
                    <w:end w:w="100" w:type="dxa"/>
                  </w:tcMar>
                </w:tcPr>
                <w:p>
                  <w:pPr>
                    <w:spacing w:after="0"/>
                    <w:jc w:val="left"/>
                  </w:pPr>
                  <w:r/>
                  <w:r>
                    <w:rPr>
                      <w:rFonts w:ascii="Arial" w:hAnsi="Arial"/>
                      <w:b/>
                      <w:color w:val="0E8A8A"/>
                      <w:sz w:val="16"/>
                    </w:rPr>
                    <w:t>SEATS COMPETITIVE WEDGE</w:t>
                  </w:r>
                </w:p>
              </w:tc>
            </w:tr>
          </w:tbl>
          <w:p/>
          <w:p>
            <w:pPr>
              <w:pStyle w:val="CardBody"/>
              <w:spacing w:after="32"/>
              <w:ind w:left="173" w:hanging="144"/>
            </w:pPr>
            <w:r>
              <w:rPr>
                <w:b/>
              </w:rPr>
              <w:t xml:space="preserve">• </w:t>
            </w:r>
            <w:r>
              <w:t>Position SEAtS as SIS-agnostic operating layer rather than another SIS module.</w:t>
            </w:r>
          </w:p>
          <w:p>
            <w:pPr>
              <w:pStyle w:val="CardBody"/>
              <w:spacing w:after="32"/>
              <w:ind w:left="173" w:hanging="144"/>
            </w:pPr>
            <w:r>
              <w:rPr>
                <w:b/>
              </w:rPr>
              <w:t xml:space="preserve">• </w:t>
            </w:r>
            <w:r>
              <w:t>Lead with capabilities beyond advising: attendance, SEVIS/compliance, scheduling and smart space.</w:t>
            </w:r>
          </w:p>
          <w:p>
            <w:pPr>
              <w:pStyle w:val="CardBody"/>
              <w:spacing w:after="32"/>
              <w:ind w:left="173" w:hanging="144"/>
            </w:pPr>
            <w:r>
              <w:rPr>
                <w:b/>
              </w:rPr>
              <w:t xml:space="preserve">• </w:t>
            </w:r>
            <w:r>
              <w:t>Show how one connected platform can span Registrar, Student Success, International Services and Facilities.</w:t>
            </w:r>
          </w:p>
        </w:tc>
      </w:tr>
    </w:tbl>
    <w:p>
      <w:pPr>
        <w:spacing w:after="0"/>
      </w:pPr>
    </w:p>
    <w:tbl>
      <w:tblPr>
        <w:tblW w:type="auto" w:w="0"/>
        <w:tblLook w:firstColumn="1" w:firstRow="1" w:lastColumn="0" w:lastRow="0" w:noHBand="0" w:noVBand="1" w:val="04A0"/>
      </w:tblPr>
      <w:tblGrid>
        <w:gridCol w:w="14256"/>
      </w:tblGrid>
      <w:tr>
        <w:tc>
          <w:tcPr>
            <w:tcW w:type="dxa" w:w="14256"/>
            <w:shd w:fill="EAF1F5"/>
            <w:tcMar>
              <w:top w:w="90" w:type="dxa"/>
              <w:start w:w="130" w:type="dxa"/>
              <w:bottom w:w="90" w:type="dxa"/>
              <w:end w:w="130" w:type="dxa"/>
            </w:tcMar>
          </w:tcPr>
          <w:p>
            <w:r>
              <w:rPr>
                <w:b/>
                <w:color w:val="17324D"/>
                <w:sz w:val="16"/>
              </w:rPr>
              <w:t xml:space="preserve">CORE TALK TRACK  </w:t>
            </w:r>
            <w:r>
              <w:rPr>
                <w:i/>
                <w:color w:val="1B2733"/>
                <w:sz w:val="18"/>
              </w:rPr>
              <w:t>“The incumbent argument is powerful—but the real question is whether the SIS-adjacent tool covers the operational workflows the institution is trying to modernize. SEAtS sits across those workflows without requiring the institution to change its SIS.”</w:t>
            </w:r>
          </w:p>
        </w:tc>
      </w:tr>
    </w:tbl>
    <w:p>
      <w:pPr>
        <w:spacing w:after="0"/>
      </w:pPr>
    </w:p>
    <w:tbl>
      <w:tblPr>
        <w:tblW w:type="auto" w:w="0"/>
        <w:tblLayout w:type="fixed"/>
        <w:tblLook w:firstColumn="1" w:firstRow="1" w:lastColumn="0" w:lastRow="0" w:noHBand="0" w:noVBand="1" w:val="04A0"/>
      </w:tblPr>
      <w:tblGrid>
        <w:gridCol w:w="6840"/>
        <w:gridCol w:w="6840"/>
      </w:tblGrid>
      <w:tr>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DISCOVERY QUESTIONS</w:t>
                  </w:r>
                </w:p>
              </w:tc>
            </w:tr>
          </w:tbl>
          <w:p/>
          <w:p>
            <w:pPr>
              <w:pStyle w:val="CardBody"/>
              <w:spacing w:after="32"/>
              <w:ind w:left="173" w:hanging="144"/>
            </w:pPr>
            <w:r>
              <w:rPr>
                <w:b/>
              </w:rPr>
              <w:t xml:space="preserve">• </w:t>
            </w:r>
            <w:r>
              <w:t>Is the institution trying to simplify vendors—or simplify workflows?</w:t>
            </w:r>
          </w:p>
          <w:p>
            <w:pPr>
              <w:pStyle w:val="CardBody"/>
              <w:spacing w:after="32"/>
              <w:ind w:left="173" w:hanging="144"/>
            </w:pPr>
            <w:r>
              <w:rPr>
                <w:b/>
              </w:rPr>
              <w:t xml:space="preserve">• </w:t>
            </w:r>
            <w:r>
              <w:t>Which capabilities would still require separate products after CRM Advise?</w:t>
            </w:r>
          </w:p>
          <w:p>
            <w:pPr>
              <w:pStyle w:val="CardBody"/>
              <w:spacing w:after="32"/>
              <w:ind w:left="173" w:hanging="144"/>
            </w:pPr>
            <w:r>
              <w:rPr>
                <w:b/>
              </w:rPr>
              <w:t xml:space="preserve">• </w:t>
            </w:r>
            <w:r>
              <w:t>How much custom work is required to connect attendance, compliance and scheduling data?</w:t>
            </w:r>
          </w:p>
          <w:p>
            <w:pPr>
              <w:pStyle w:val="CardBody"/>
              <w:spacing w:after="32"/>
              <w:ind w:left="173" w:hanging="144"/>
            </w:pPr>
            <w:r>
              <w:rPr>
                <w:b/>
              </w:rPr>
              <w:t xml:space="preserve">• </w:t>
            </w:r>
            <w:r>
              <w:t>Who owns the business case: IT, advising, registrar or operations?</w:t>
            </w:r>
          </w:p>
        </w:tc>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FCEEEE"/>
                  <w:vAlign w:val="center"/>
                  <w:tcMar>
                    <w:top w:w="80" w:type="dxa"/>
                    <w:start w:w="100" w:type="dxa"/>
                    <w:bottom w:w="80" w:type="dxa"/>
                    <w:end w:w="100" w:type="dxa"/>
                  </w:tcMar>
                </w:tcPr>
                <w:p>
                  <w:pPr>
                    <w:spacing w:after="0"/>
                    <w:jc w:val="left"/>
                  </w:pPr>
                  <w:r/>
                  <w:r>
                    <w:rPr>
                      <w:rFonts w:ascii="Arial" w:hAnsi="Arial"/>
                      <w:b/>
                      <w:color w:val="B44343"/>
                      <w:sz w:val="16"/>
                    </w:rPr>
                    <w:t>SALES LANDMINES / PROOF DISCIPLINE</w:t>
                  </w:r>
                </w:p>
              </w:tc>
            </w:tr>
          </w:tbl>
          <w:p/>
          <w:p>
            <w:pPr>
              <w:pStyle w:val="CardBody"/>
              <w:spacing w:after="32"/>
              <w:ind w:left="173" w:hanging="144"/>
            </w:pPr>
            <w:r>
              <w:rPr>
                <w:b/>
              </w:rPr>
              <w:t xml:space="preserve">• </w:t>
            </w:r>
            <w:r>
              <w:t>Do not lead with 'best of breed' as a generic claim; tie it to specific requirements.</w:t>
            </w:r>
          </w:p>
          <w:p>
            <w:pPr>
              <w:pStyle w:val="CardBody"/>
              <w:spacing w:after="32"/>
              <w:ind w:left="173" w:hanging="144"/>
            </w:pPr>
            <w:r>
              <w:rPr>
                <w:b/>
              </w:rPr>
              <w:t xml:space="preserve">• </w:t>
            </w:r>
            <w:r>
              <w:t>Expect 'we already own Ellucian' objections—respond with scope/TCO, not feature dumping.</w:t>
            </w:r>
          </w:p>
          <w:p>
            <w:pPr>
              <w:pStyle w:val="CardBody"/>
              <w:spacing w:after="32"/>
              <w:ind w:left="173" w:hanging="144"/>
            </w:pPr>
            <w:r>
              <w:rPr>
                <w:b/>
              </w:rPr>
              <w:t xml:space="preserve">• </w:t>
            </w:r>
            <w:r>
              <w:t>Validate current Ellucian packaging because product portfolio can evolve.</w:t>
            </w:r>
          </w:p>
        </w:tc>
      </w:tr>
    </w:tbl>
    <w:tbl>
      <w:tblPr>
        <w:tblW w:type="auto" w:w="0"/>
        <w:tblLayout w:type="fixed"/>
        <w:tblLook w:firstColumn="1" w:firstRow="1" w:lastColumn="0" w:lastRow="0" w:noHBand="0" w:noVBand="1" w:val="04A0"/>
      </w:tblPr>
      <w:tblGrid>
        <w:gridCol w:w="6840"/>
        <w:gridCol w:w="6840"/>
      </w:tblGrid>
      <w:tr>
        <w:tc>
          <w:tcPr>
            <w:tcW w:type="dxa" w:w="7128"/>
            <w:shd w:fill="E6F3EA"/>
            <w:tcMar>
              <w:top w:w="70" w:type="dxa"/>
              <w:start w:w="110" w:type="dxa"/>
              <w:bottom w:w="70" w:type="dxa"/>
              <w:end w:w="110" w:type="dxa"/>
            </w:tcMar>
          </w:tcPr>
          <w:p>
            <w:r>
              <w:rPr>
                <w:b/>
                <w:color w:val="2D7A4B"/>
                <w:sz w:val="15"/>
              </w:rPr>
              <w:t xml:space="preserve">WIN SIGNALS  </w:t>
            </w:r>
            <w:r>
              <w:rPr>
                <w:color w:val="1B2733"/>
                <w:sz w:val="16"/>
              </w:rPr>
              <w:t>Cross-functional scope beyond advising; need to remain SIS-independent; consolidation across ops.</w:t>
            </w:r>
          </w:p>
        </w:tc>
        <w:tc>
          <w:tcPr>
            <w:tcW w:type="dxa" w:w="7128"/>
            <w:shd w:fill="F8E8C8"/>
            <w:tcMar>
              <w:top w:w="70" w:type="dxa"/>
              <w:start w:w="110" w:type="dxa"/>
              <w:bottom w:w="70" w:type="dxa"/>
              <w:end w:w="110" w:type="dxa"/>
            </w:tcMar>
          </w:tcPr>
          <w:p>
            <w:r>
              <w:rPr>
                <w:b/>
                <w:color w:val="A06B00"/>
                <w:sz w:val="15"/>
              </w:rPr>
              <w:t xml:space="preserve">LOSS / RISK SIGNALS  </w:t>
            </w:r>
            <w:r>
              <w:rPr>
                <w:color w:val="1B2733"/>
                <w:sz w:val="16"/>
              </w:rPr>
              <w:t>Strong Ellucian standardization policy; narrow advising requirement; existing license economics dominate.</w:t>
            </w:r>
          </w:p>
        </w:tc>
      </w:tr>
    </w:tbl>
    <w:p>
      <w:pPr>
        <w:pStyle w:val="Tiny"/>
        <w:spacing w:before="40"/>
      </w:pPr>
      <w:r>
        <w:rPr>
          <w:b/>
        </w:rPr>
        <w:t xml:space="preserve">Verified sources: </w:t>
      </w:r>
      <w:hyperlink r:id="rId14">
        <w:r>
          <w:rPr>
            <w:color w:val="0563C1"/>
            <w:u w:val="single"/>
            <w:sz w:val="14"/>
          </w:rPr>
          <w:t>Ellucian CRM Advise customer story</w:t>
        </w:r>
      </w:hyperlink>
      <w:r>
        <w:t xml:space="preserve">  •  </w:t>
      </w:r>
      <w:hyperlink r:id="rId15">
        <w:r>
          <w:rPr>
            <w:color w:val="0563C1"/>
            <w:u w:val="single"/>
            <w:sz w:val="14"/>
          </w:rPr>
          <w:t>Ellucian student success</w:t>
        </w:r>
      </w:hyperlink>
    </w:p>
    <w:p>
      <w:r>
        <w:br w:type="page"/>
      </w:r>
    </w:p>
    <w:tbl>
      <w:tblPr>
        <w:tblW w:type="auto" w:w="0"/>
        <w:tblLayout w:type="fixed"/>
        <w:tblLook w:firstColumn="1" w:firstRow="1" w:lastColumn="0" w:lastRow="0" w:noHBand="0" w:noVBand="1" w:val="04A0"/>
      </w:tblPr>
      <w:tblGrid>
        <w:gridCol w:w="11520"/>
        <w:gridCol w:w="2448"/>
      </w:tblGrid>
      <w:tr>
        <w:tc>
          <w:tcPr>
            <w:tcW w:type="dxa" w:w="7128"/>
            <w:shd w:fill="17324D"/>
            <w:tcMar>
              <w:top w:w="100" w:type="dxa"/>
              <w:start w:w="120" w:type="dxa"/>
              <w:bottom w:w="100" w:type="dxa"/>
              <w:end w:w="120" w:type="dxa"/>
            </w:tcMar>
          </w:tcPr>
          <w:p>
            <w:pPr>
              <w:spacing w:after="0"/>
            </w:pPr>
            <w:r>
              <w:rPr>
                <w:rFonts w:ascii="Arial" w:hAnsi="Arial"/>
                <w:b/>
                <w:color w:val="FFFFFF"/>
                <w:sz w:val="36"/>
              </w:rPr>
              <w:t>Salesforce Agentforce Education</w:t>
            </w:r>
            <w:r>
              <w:rPr>
                <w:rFonts w:ascii="Arial" w:hAnsi="Arial"/>
                <w:color w:val="DCE6EC"/>
                <w:sz w:val="17"/>
              </w:rPr>
              <w:br/>
              <w:t>STRATEGIC • ENTERPRISE CRM</w:t>
            </w:r>
          </w:p>
        </w:tc>
        <w:tc>
          <w:tcPr>
            <w:tcW w:type="dxa" w:w="7128"/>
            <w:shd w:fill="A06B00"/>
            <w:tcMar>
              <w:top w:w="90" w:type="dxa"/>
              <w:start w:w="80" w:type="dxa"/>
              <w:bottom w:w="90" w:type="dxa"/>
              <w:end w:w="80" w:type="dxa"/>
            </w:tcMar>
            <w:vAlign w:val="center"/>
          </w:tcPr>
          <w:p>
            <w:pPr>
              <w:spacing w:after="0"/>
              <w:jc w:val="center"/>
            </w:pPr>
            <w:r>
              <w:rPr>
                <w:rFonts w:ascii="Arial" w:hAnsi="Arial"/>
                <w:b/>
                <w:color w:val="FFFFFF"/>
                <w:sz w:val="16"/>
              </w:rPr>
              <w:t>HIGH / STRATEGIC</w:t>
            </w:r>
          </w:p>
        </w:tc>
      </w:tr>
    </w:tbl>
    <w:tbl>
      <w:tblPr>
        <w:tblW w:type="auto" w:w="0"/>
        <w:tblLayout w:type="fixed"/>
        <w:tblLook w:firstColumn="1" w:firstRow="1" w:lastColumn="0" w:lastRow="0" w:noHBand="0" w:noVBand="1" w:val="04A0"/>
      </w:tblPr>
      <w:tblGrid>
        <w:gridCol w:w="6840"/>
        <w:gridCol w:w="6840"/>
      </w:tblGrid>
      <w:tr>
        <w:tc>
          <w:tcPr>
            <w:tcW w:type="dxa" w:w="7128"/>
            <w:shd w:fill="F5F8FA"/>
            <w:tcMar>
              <w:top w:w="90" w:type="dxa"/>
              <w:start w:w="110" w:type="dxa"/>
              <w:bottom w:w="90" w:type="dxa"/>
              <w:end w:w="110" w:type="dxa"/>
            </w:tcMar>
          </w:tcPr>
          <w:p>
            <w:pPr>
              <w:spacing w:after="20"/>
            </w:pPr>
            <w:r>
              <w:rPr>
                <w:rFonts w:ascii="Arial" w:hAnsi="Arial"/>
                <w:b/>
                <w:color w:val="0E8A8A"/>
                <w:sz w:val="15"/>
              </w:rPr>
              <w:t>LIKELY BUYERS</w:t>
            </w:r>
            <w:r>
              <w:rPr>
                <w:rFonts w:ascii="Arial" w:hAnsi="Arial"/>
                <w:color w:val="1B2733"/>
                <w:sz w:val="16"/>
              </w:rPr>
              <w:br/>
              <w:t>CIO; Enterprise Architecture; CRM COE; Student Success; Digital Transformation</w:t>
            </w:r>
          </w:p>
        </w:tc>
        <w:tc>
          <w:tcPr>
            <w:tcW w:type="dxa" w:w="7128"/>
            <w:shd w:fill="F5F8FA"/>
            <w:tcMar>
              <w:top w:w="90" w:type="dxa"/>
              <w:start w:w="110" w:type="dxa"/>
              <w:bottom w:w="90" w:type="dxa"/>
              <w:end w:w="110" w:type="dxa"/>
            </w:tcMar>
          </w:tcPr>
          <w:p>
            <w:pPr>
              <w:spacing w:after="20"/>
            </w:pPr>
            <w:r>
              <w:rPr>
                <w:rFonts w:ascii="Arial" w:hAnsi="Arial"/>
                <w:b/>
                <w:color w:val="0E8A8A"/>
                <w:sz w:val="15"/>
              </w:rPr>
              <w:t>WHEN THEY APPEAR</w:t>
            </w:r>
            <w:r>
              <w:rPr>
                <w:rFonts w:ascii="Arial" w:hAnsi="Arial"/>
                <w:color w:val="1B2733"/>
                <w:sz w:val="16"/>
              </w:rPr>
              <w:br/>
              <w:t>Enterprise CRM transformation, constituent 360, advising, case management, AI and broad lifecycle engagement.</w:t>
            </w:r>
          </w:p>
        </w:tc>
      </w:tr>
    </w:tbl>
    <w:p>
      <w:pPr>
        <w:spacing w:after="0"/>
      </w:pPr>
    </w:p>
    <w:tbl>
      <w:tblPr>
        <w:tblW w:type="auto" w:w="0"/>
        <w:tblLayout w:type="fixed"/>
        <w:tblLook w:firstColumn="1" w:firstRow="1" w:lastColumn="0" w:lastRow="0" w:noHBand="0" w:noVBand="1" w:val="04A0"/>
      </w:tblPr>
      <w:tblGrid>
        <w:gridCol w:w="6840"/>
        <w:gridCol w:w="6840"/>
      </w:tblGrid>
      <w:tr>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WHY THEY ARE CREDIBLE</w:t>
                  </w:r>
                </w:p>
              </w:tc>
            </w:tr>
          </w:tbl>
          <w:p/>
          <w:p>
            <w:pPr>
              <w:pStyle w:val="CardBody"/>
              <w:spacing w:after="32"/>
              <w:ind w:left="173" w:hanging="144"/>
            </w:pPr>
            <w:r>
              <w:rPr>
                <w:b/>
              </w:rPr>
              <w:t xml:space="preserve">• </w:t>
            </w:r>
            <w:r>
              <w:t>Highly configurable enterprise CRM with a large partner ecosystem.</w:t>
            </w:r>
          </w:p>
          <w:p>
            <w:pPr>
              <w:pStyle w:val="CardBody"/>
              <w:spacing w:after="32"/>
              <w:ind w:left="173" w:hanging="144"/>
            </w:pPr>
            <w:r>
              <w:rPr>
                <w:b/>
              </w:rPr>
              <w:t xml:space="preserve">• </w:t>
            </w:r>
            <w:r>
              <w:t>Student Success capabilities include alerts, care/action plans, advising, appointments, analytics and AI support.</w:t>
            </w:r>
          </w:p>
          <w:p>
            <w:pPr>
              <w:pStyle w:val="CardBody"/>
              <w:spacing w:after="32"/>
              <w:ind w:left="173" w:hanging="144"/>
            </w:pPr>
            <w:r>
              <w:rPr>
                <w:b/>
              </w:rPr>
              <w:t xml:space="preserve">• </w:t>
            </w:r>
            <w:r>
              <w:t>Can become institution-wide architecture when Salesforce is already strategic.</w:t>
            </w:r>
          </w:p>
        </w:tc>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DDEFF0"/>
                  <w:vAlign w:val="center"/>
                  <w:tcMar>
                    <w:top w:w="80" w:type="dxa"/>
                    <w:start w:w="100" w:type="dxa"/>
                    <w:bottom w:w="80" w:type="dxa"/>
                    <w:end w:w="100" w:type="dxa"/>
                  </w:tcMar>
                </w:tcPr>
                <w:p>
                  <w:pPr>
                    <w:spacing w:after="0"/>
                    <w:jc w:val="left"/>
                  </w:pPr>
                  <w:r/>
                  <w:r>
                    <w:rPr>
                      <w:rFonts w:ascii="Arial" w:hAnsi="Arial"/>
                      <w:b/>
                      <w:color w:val="0E8A8A"/>
                      <w:sz w:val="16"/>
                    </w:rPr>
                    <w:t>SEATS COMPETITIVE WEDGE</w:t>
                  </w:r>
                </w:p>
              </w:tc>
            </w:tr>
          </w:tbl>
          <w:p/>
          <w:p>
            <w:pPr>
              <w:pStyle w:val="CardBody"/>
              <w:spacing w:after="32"/>
              <w:ind w:left="173" w:hanging="144"/>
            </w:pPr>
            <w:r>
              <w:rPr>
                <w:b/>
              </w:rPr>
              <w:t xml:space="preserve">• </w:t>
            </w:r>
            <w:r>
              <w:t>Contrast configuration effort with purpose-built higher-ed operations.</w:t>
            </w:r>
          </w:p>
          <w:p>
            <w:pPr>
              <w:pStyle w:val="CardBody"/>
              <w:spacing w:after="32"/>
              <w:ind w:left="173" w:hanging="144"/>
            </w:pPr>
            <w:r>
              <w:rPr>
                <w:b/>
              </w:rPr>
              <w:t xml:space="preserve">• </w:t>
            </w:r>
            <w:r>
              <w:t>Lead on attendance, SEVIS/compliance, academic scheduling and smart-space capabilities that are not the center of Salesforce’s student-success proposition.</w:t>
            </w:r>
          </w:p>
          <w:p>
            <w:pPr>
              <w:pStyle w:val="CardBody"/>
              <w:spacing w:after="32"/>
              <w:ind w:left="173" w:hanging="144"/>
            </w:pPr>
            <w:r>
              <w:rPr>
                <w:b/>
              </w:rPr>
              <w:t xml:space="preserve">• </w:t>
            </w:r>
            <w:r>
              <w:t>Focus on faster time-to-value and avoiding a large custom implementation where standard SEAtS workflows fit.</w:t>
            </w:r>
          </w:p>
        </w:tc>
      </w:tr>
    </w:tbl>
    <w:p>
      <w:pPr>
        <w:spacing w:after="0"/>
      </w:pPr>
    </w:p>
    <w:tbl>
      <w:tblPr>
        <w:tblW w:type="auto" w:w="0"/>
        <w:tblLook w:firstColumn="1" w:firstRow="1" w:lastColumn="0" w:lastRow="0" w:noHBand="0" w:noVBand="1" w:val="04A0"/>
      </w:tblPr>
      <w:tblGrid>
        <w:gridCol w:w="14256"/>
      </w:tblGrid>
      <w:tr>
        <w:tc>
          <w:tcPr>
            <w:tcW w:type="dxa" w:w="14256"/>
            <w:shd w:fill="EAF1F5"/>
            <w:tcMar>
              <w:top w:w="90" w:type="dxa"/>
              <w:start w:w="130" w:type="dxa"/>
              <w:bottom w:w="90" w:type="dxa"/>
              <w:end w:w="130" w:type="dxa"/>
            </w:tcMar>
          </w:tcPr>
          <w:p>
            <w:r>
              <w:rPr>
                <w:b/>
                <w:color w:val="17324D"/>
                <w:sz w:val="16"/>
              </w:rPr>
              <w:t xml:space="preserve">CORE TALK TRACK  </w:t>
            </w:r>
            <w:r>
              <w:rPr>
                <w:i/>
                <w:color w:val="1B2733"/>
                <w:sz w:val="18"/>
              </w:rPr>
              <w:t>“Salesforce can be configured to support almost any constituent workflow. The buying question is how much you want to build and govern versus how much higher-ed operational capability you want ready to deploy.”</w:t>
            </w:r>
          </w:p>
        </w:tc>
      </w:tr>
    </w:tbl>
    <w:p>
      <w:pPr>
        <w:spacing w:after="0"/>
      </w:pPr>
    </w:p>
    <w:tbl>
      <w:tblPr>
        <w:tblW w:type="auto" w:w="0"/>
        <w:tblLayout w:type="fixed"/>
        <w:tblLook w:firstColumn="1" w:firstRow="1" w:lastColumn="0" w:lastRow="0" w:noHBand="0" w:noVBand="1" w:val="04A0"/>
      </w:tblPr>
      <w:tblGrid>
        <w:gridCol w:w="6840"/>
        <w:gridCol w:w="6840"/>
      </w:tblGrid>
      <w:tr>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DISCOVERY QUESTIONS</w:t>
                  </w:r>
                </w:p>
              </w:tc>
            </w:tr>
          </w:tbl>
          <w:p/>
          <w:p>
            <w:pPr>
              <w:pStyle w:val="CardBody"/>
              <w:spacing w:after="32"/>
              <w:ind w:left="173" w:hanging="144"/>
            </w:pPr>
            <w:r>
              <w:rPr>
                <w:b/>
              </w:rPr>
              <w:t xml:space="preserve">• </w:t>
            </w:r>
            <w:r>
              <w:t>Is Salesforce already an enterprise standard with funded admin/development capacity?</w:t>
            </w:r>
          </w:p>
          <w:p>
            <w:pPr>
              <w:pStyle w:val="CardBody"/>
              <w:spacing w:after="32"/>
              <w:ind w:left="173" w:hanging="144"/>
            </w:pPr>
            <w:r>
              <w:rPr>
                <w:b/>
              </w:rPr>
              <w:t xml:space="preserve">• </w:t>
            </w:r>
            <w:r>
              <w:t>What percentage of the desired workflow is out-of-the-box versus custom Flow/partner work?</w:t>
            </w:r>
          </w:p>
          <w:p>
            <w:pPr>
              <w:pStyle w:val="CardBody"/>
              <w:spacing w:after="32"/>
              <w:ind w:left="173" w:hanging="144"/>
            </w:pPr>
            <w:r>
              <w:rPr>
                <w:b/>
              </w:rPr>
              <w:t xml:space="preserve">• </w:t>
            </w:r>
            <w:r>
              <w:t>Are attendance, SEVIS, scheduling and space management part of the same transformation?</w:t>
            </w:r>
          </w:p>
          <w:p>
            <w:pPr>
              <w:pStyle w:val="CardBody"/>
              <w:spacing w:after="32"/>
              <w:ind w:left="173" w:hanging="144"/>
            </w:pPr>
            <w:r>
              <w:rPr>
                <w:b/>
              </w:rPr>
              <w:t xml:space="preserve">• </w:t>
            </w:r>
            <w:r>
              <w:t>Who will own long-term configuration and technical debt?</w:t>
            </w:r>
          </w:p>
        </w:tc>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FCEEEE"/>
                  <w:vAlign w:val="center"/>
                  <w:tcMar>
                    <w:top w:w="80" w:type="dxa"/>
                    <w:start w:w="100" w:type="dxa"/>
                    <w:bottom w:w="80" w:type="dxa"/>
                    <w:end w:w="100" w:type="dxa"/>
                  </w:tcMar>
                </w:tcPr>
                <w:p>
                  <w:pPr>
                    <w:spacing w:after="0"/>
                    <w:jc w:val="left"/>
                  </w:pPr>
                  <w:r/>
                  <w:r>
                    <w:rPr>
                      <w:rFonts w:ascii="Arial" w:hAnsi="Arial"/>
                      <w:b/>
                      <w:color w:val="B44343"/>
                      <w:sz w:val="16"/>
                    </w:rPr>
                    <w:t>SALES LANDMINES / PROOF DISCIPLINE</w:t>
                  </w:r>
                </w:p>
              </w:tc>
            </w:tr>
          </w:tbl>
          <w:p/>
          <w:p>
            <w:pPr>
              <w:pStyle w:val="CardBody"/>
              <w:spacing w:after="32"/>
              <w:ind w:left="173" w:hanging="144"/>
            </w:pPr>
            <w:r>
              <w:rPr>
                <w:b/>
              </w:rPr>
              <w:t xml:space="preserve">• </w:t>
            </w:r>
            <w:r>
              <w:t>Use the current name Agentforce Education; buyers may still say Education Cloud.</w:t>
            </w:r>
          </w:p>
          <w:p>
            <w:pPr>
              <w:pStyle w:val="CardBody"/>
              <w:spacing w:after="32"/>
              <w:ind w:left="173" w:hanging="144"/>
            </w:pPr>
            <w:r>
              <w:rPr>
                <w:b/>
              </w:rPr>
              <w:t xml:space="preserve">• </w:t>
            </w:r>
            <w:r>
              <w:t>Do not claim Salesforce cannot support a workflow—focus on configuration burden and purpose-built depth.</w:t>
            </w:r>
          </w:p>
          <w:p>
            <w:pPr>
              <w:pStyle w:val="CardBody"/>
              <w:spacing w:after="32"/>
              <w:ind w:left="173" w:hanging="144"/>
            </w:pPr>
            <w:r>
              <w:rPr>
                <w:b/>
              </w:rPr>
              <w:t xml:space="preserve">• </w:t>
            </w:r>
            <w:r>
              <w:t>Model services, admin staffing and partner costs in TCO.</w:t>
            </w:r>
          </w:p>
        </w:tc>
      </w:tr>
    </w:tbl>
    <w:tbl>
      <w:tblPr>
        <w:tblW w:type="auto" w:w="0"/>
        <w:tblLayout w:type="fixed"/>
        <w:tblLook w:firstColumn="1" w:firstRow="1" w:lastColumn="0" w:lastRow="0" w:noHBand="0" w:noVBand="1" w:val="04A0"/>
      </w:tblPr>
      <w:tblGrid>
        <w:gridCol w:w="6840"/>
        <w:gridCol w:w="6840"/>
      </w:tblGrid>
      <w:tr>
        <w:tc>
          <w:tcPr>
            <w:tcW w:type="dxa" w:w="7128"/>
            <w:shd w:fill="E6F3EA"/>
            <w:tcMar>
              <w:top w:w="70" w:type="dxa"/>
              <w:start w:w="110" w:type="dxa"/>
              <w:bottom w:w="70" w:type="dxa"/>
              <w:end w:w="110" w:type="dxa"/>
            </w:tcMar>
          </w:tcPr>
          <w:p>
            <w:r>
              <w:rPr>
                <w:b/>
                <w:color w:val="2D7A4B"/>
                <w:sz w:val="15"/>
              </w:rPr>
              <w:t xml:space="preserve">WIN SIGNALS  </w:t>
            </w:r>
            <w:r>
              <w:rPr>
                <w:color w:val="1B2733"/>
                <w:sz w:val="16"/>
              </w:rPr>
              <w:t>Buyer wants purpose-built operations, quick deployment, Microsoft-native alignment, multiple non-CRM modules.</w:t>
            </w:r>
          </w:p>
        </w:tc>
        <w:tc>
          <w:tcPr>
            <w:tcW w:type="dxa" w:w="7128"/>
            <w:shd w:fill="F8E8C8"/>
            <w:tcMar>
              <w:top w:w="70" w:type="dxa"/>
              <w:start w:w="110" w:type="dxa"/>
              <w:bottom w:w="70" w:type="dxa"/>
              <w:end w:w="110" w:type="dxa"/>
            </w:tcMar>
          </w:tcPr>
          <w:p>
            <w:r>
              <w:rPr>
                <w:b/>
                <w:color w:val="A06B00"/>
                <w:sz w:val="15"/>
              </w:rPr>
              <w:t xml:space="preserve">LOSS / RISK SIGNALS  </w:t>
            </w:r>
            <w:r>
              <w:rPr>
                <w:color w:val="1B2733"/>
                <w:sz w:val="16"/>
              </w:rPr>
              <w:t>Salesforce is mandated enterprise platform; strong internal COE; broad CRM transformation budget.</w:t>
            </w:r>
          </w:p>
        </w:tc>
      </w:tr>
    </w:tbl>
    <w:p>
      <w:pPr>
        <w:pStyle w:val="Tiny"/>
        <w:spacing w:before="40"/>
      </w:pPr>
      <w:r>
        <w:rPr>
          <w:b/>
        </w:rPr>
        <w:t xml:space="preserve">Verified sources: </w:t>
      </w:r>
      <w:hyperlink r:id="rId16">
        <w:r>
          <w:rPr>
            <w:color w:val="0563C1"/>
            <w:u w:val="single"/>
            <w:sz w:val="14"/>
          </w:rPr>
          <w:t>Salesforce Agentforce Education</w:t>
        </w:r>
      </w:hyperlink>
      <w:r>
        <w:t xml:space="preserve">  •  </w:t>
      </w:r>
      <w:hyperlink r:id="rId17">
        <w:r>
          <w:rPr>
            <w:color w:val="0563C1"/>
            <w:u w:val="single"/>
            <w:sz w:val="14"/>
          </w:rPr>
          <w:t>Salesforce Student Success</w:t>
        </w:r>
      </w:hyperlink>
    </w:p>
    <w:p>
      <w:r>
        <w:br w:type="page"/>
      </w:r>
    </w:p>
    <w:tbl>
      <w:tblPr>
        <w:tblW w:type="auto" w:w="0"/>
        <w:tblLayout w:type="fixed"/>
        <w:tblLook w:firstColumn="1" w:firstRow="1" w:lastColumn="0" w:lastRow="0" w:noHBand="0" w:noVBand="1" w:val="04A0"/>
      </w:tblPr>
      <w:tblGrid>
        <w:gridCol w:w="11520"/>
        <w:gridCol w:w="2448"/>
      </w:tblGrid>
      <w:tr>
        <w:tc>
          <w:tcPr>
            <w:tcW w:type="dxa" w:w="7128"/>
            <w:shd w:fill="17324D"/>
            <w:tcMar>
              <w:top w:w="100" w:type="dxa"/>
              <w:start w:w="120" w:type="dxa"/>
              <w:bottom w:w="100" w:type="dxa"/>
              <w:end w:w="120" w:type="dxa"/>
            </w:tcMar>
          </w:tcPr>
          <w:p>
            <w:pPr>
              <w:spacing w:after="0"/>
            </w:pPr>
            <w:r>
              <w:rPr>
                <w:rFonts w:ascii="Arial" w:hAnsi="Arial"/>
                <w:b/>
                <w:color w:val="FFFFFF"/>
                <w:sz w:val="36"/>
              </w:rPr>
              <w:t>E2E Advising — Achieve</w:t>
            </w:r>
            <w:r>
              <w:rPr>
                <w:rFonts w:ascii="Arial" w:hAnsi="Arial"/>
                <w:color w:val="DCE6EC"/>
                <w:sz w:val="17"/>
              </w:rPr>
              <w:br/>
              <w:t>DIRECT • MID-MARKET ADVISING</w:t>
            </w:r>
          </w:p>
        </w:tc>
        <w:tc>
          <w:tcPr>
            <w:tcW w:type="dxa" w:w="7128"/>
            <w:shd w:fill="1F6E8C"/>
            <w:tcMar>
              <w:top w:w="90" w:type="dxa"/>
              <w:start w:w="80" w:type="dxa"/>
              <w:bottom w:w="90" w:type="dxa"/>
              <w:end w:w="80" w:type="dxa"/>
            </w:tcMar>
            <w:vAlign w:val="center"/>
          </w:tcPr>
          <w:p>
            <w:pPr>
              <w:spacing w:after="0"/>
              <w:jc w:val="center"/>
            </w:pPr>
            <w:r>
              <w:rPr>
                <w:rFonts w:ascii="Arial" w:hAnsi="Arial"/>
                <w:b/>
                <w:color w:val="FFFFFF"/>
                <w:sz w:val="16"/>
              </w:rPr>
              <w:t>MEDIUM</w:t>
            </w:r>
          </w:p>
        </w:tc>
      </w:tr>
    </w:tbl>
    <w:tbl>
      <w:tblPr>
        <w:tblW w:type="auto" w:w="0"/>
        <w:tblLayout w:type="fixed"/>
        <w:tblLook w:firstColumn="1" w:firstRow="1" w:lastColumn="0" w:lastRow="0" w:noHBand="0" w:noVBand="1" w:val="04A0"/>
      </w:tblPr>
      <w:tblGrid>
        <w:gridCol w:w="6840"/>
        <w:gridCol w:w="6840"/>
      </w:tblGrid>
      <w:tr>
        <w:tc>
          <w:tcPr>
            <w:tcW w:type="dxa" w:w="7128"/>
            <w:shd w:fill="F5F8FA"/>
            <w:tcMar>
              <w:top w:w="90" w:type="dxa"/>
              <w:start w:w="110" w:type="dxa"/>
              <w:bottom w:w="90" w:type="dxa"/>
              <w:end w:w="110" w:type="dxa"/>
            </w:tcMar>
          </w:tcPr>
          <w:p>
            <w:pPr>
              <w:spacing w:after="20"/>
            </w:pPr>
            <w:r>
              <w:rPr>
                <w:rFonts w:ascii="Arial" w:hAnsi="Arial"/>
                <w:b/>
                <w:color w:val="0E8A8A"/>
                <w:sz w:val="15"/>
              </w:rPr>
              <w:t>LIKELY BUYERS</w:t>
            </w:r>
            <w:r>
              <w:rPr>
                <w:rFonts w:ascii="Arial" w:hAnsi="Arial"/>
                <w:color w:val="1B2733"/>
                <w:sz w:val="16"/>
              </w:rPr>
              <w:br/>
              <w:t>Advising; Student Services; Retention; Registrar; CIO</w:t>
            </w:r>
          </w:p>
        </w:tc>
        <w:tc>
          <w:tcPr>
            <w:tcW w:type="dxa" w:w="7128"/>
            <w:shd w:fill="F5F8FA"/>
            <w:tcMar>
              <w:top w:w="90" w:type="dxa"/>
              <w:start w:w="110" w:type="dxa"/>
              <w:bottom w:w="90" w:type="dxa"/>
              <w:end w:w="110" w:type="dxa"/>
            </w:tcMar>
          </w:tcPr>
          <w:p>
            <w:pPr>
              <w:spacing w:after="20"/>
            </w:pPr>
            <w:r>
              <w:rPr>
                <w:rFonts w:ascii="Arial" w:hAnsi="Arial"/>
                <w:b/>
                <w:color w:val="0E8A8A"/>
                <w:sz w:val="15"/>
              </w:rPr>
              <w:t>WHEN THEY APPEAR</w:t>
            </w:r>
            <w:r>
              <w:rPr>
                <w:rFonts w:ascii="Arial" w:hAnsi="Arial"/>
                <w:color w:val="1B2733"/>
                <w:sz w:val="16"/>
              </w:rPr>
              <w:br/>
              <w:t>Advising productivity, appointment scheduling, queue/case management, early alerts and retention.</w:t>
            </w:r>
          </w:p>
        </w:tc>
      </w:tr>
    </w:tbl>
    <w:p>
      <w:pPr>
        <w:spacing w:after="0"/>
      </w:pPr>
    </w:p>
    <w:tbl>
      <w:tblPr>
        <w:tblW w:type="auto" w:w="0"/>
        <w:tblLayout w:type="fixed"/>
        <w:tblLook w:firstColumn="1" w:firstRow="1" w:lastColumn="0" w:lastRow="0" w:noHBand="0" w:noVBand="1" w:val="04A0"/>
      </w:tblPr>
      <w:tblGrid>
        <w:gridCol w:w="6840"/>
        <w:gridCol w:w="6840"/>
      </w:tblGrid>
      <w:tr>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WHY THEY ARE CREDIBLE</w:t>
                  </w:r>
                </w:p>
              </w:tc>
            </w:tr>
          </w:tbl>
          <w:p/>
          <w:p>
            <w:pPr>
              <w:pStyle w:val="CardBody"/>
              <w:spacing w:after="32"/>
              <w:ind w:left="173" w:hanging="144"/>
            </w:pPr>
            <w:r>
              <w:rPr>
                <w:b/>
              </w:rPr>
              <w:t xml:space="preserve">• </w:t>
            </w:r>
            <w:r>
              <w:t>Strong appointment-booking and two-way calendar story with Outlook/Google.</w:t>
            </w:r>
          </w:p>
          <w:p>
            <w:pPr>
              <w:pStyle w:val="CardBody"/>
              <w:spacing w:after="32"/>
              <w:ind w:left="173" w:hanging="144"/>
            </w:pPr>
            <w:r>
              <w:rPr>
                <w:b/>
              </w:rPr>
              <w:t xml:space="preserve">• </w:t>
            </w:r>
            <w:r>
              <w:t>Kiosk/queue management and student-service case workflows.</w:t>
            </w:r>
          </w:p>
          <w:p>
            <w:pPr>
              <w:pStyle w:val="CardBody"/>
              <w:spacing w:after="32"/>
              <w:ind w:left="173" w:hanging="144"/>
            </w:pPr>
            <w:r>
              <w:rPr>
                <w:b/>
              </w:rPr>
              <w:t xml:space="preserve">• </w:t>
            </w:r>
            <w:r>
              <w:t>Early alerts, campaigns, reporting and SIS/LMS integrations.</w:t>
            </w:r>
          </w:p>
        </w:tc>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DDEFF0"/>
                  <w:vAlign w:val="center"/>
                  <w:tcMar>
                    <w:top w:w="80" w:type="dxa"/>
                    <w:start w:w="100" w:type="dxa"/>
                    <w:bottom w:w="80" w:type="dxa"/>
                    <w:end w:w="100" w:type="dxa"/>
                  </w:tcMar>
                </w:tcPr>
                <w:p>
                  <w:pPr>
                    <w:spacing w:after="0"/>
                    <w:jc w:val="left"/>
                  </w:pPr>
                  <w:r/>
                  <w:r>
                    <w:rPr>
                      <w:rFonts w:ascii="Arial" w:hAnsi="Arial"/>
                      <w:b/>
                      <w:color w:val="0E8A8A"/>
                      <w:sz w:val="16"/>
                    </w:rPr>
                    <w:t>SEATS COMPETITIVE WEDGE</w:t>
                  </w:r>
                </w:p>
              </w:tc>
            </w:tr>
          </w:tbl>
          <w:p/>
          <w:p>
            <w:pPr>
              <w:pStyle w:val="CardBody"/>
              <w:spacing w:after="32"/>
              <w:ind w:left="173" w:hanging="144"/>
            </w:pPr>
            <w:r>
              <w:rPr>
                <w:b/>
              </w:rPr>
              <w:t xml:space="preserve">• </w:t>
            </w:r>
            <w:r>
              <w:t>Expand beyond advising-center workflows to attendance, compliance, scheduling and campus operations.</w:t>
            </w:r>
          </w:p>
          <w:p>
            <w:pPr>
              <w:pStyle w:val="CardBody"/>
              <w:spacing w:after="32"/>
              <w:ind w:left="173" w:hanging="144"/>
            </w:pPr>
            <w:r>
              <w:rPr>
                <w:b/>
              </w:rPr>
              <w:t xml:space="preserve">• </w:t>
            </w:r>
            <w:r>
              <w:t>Use Microsoft-native integration as part of the broader platform story, not just calendar synchronization.</w:t>
            </w:r>
          </w:p>
          <w:p>
            <w:pPr>
              <w:pStyle w:val="CardBody"/>
              <w:spacing w:after="32"/>
              <w:ind w:left="173" w:hanging="144"/>
            </w:pPr>
            <w:r>
              <w:rPr>
                <w:b/>
              </w:rPr>
              <w:t xml:space="preserve">• </w:t>
            </w:r>
            <w:r>
              <w:t>Demonstrate connected workflows across multiple departments.</w:t>
            </w:r>
          </w:p>
        </w:tc>
      </w:tr>
    </w:tbl>
    <w:p>
      <w:pPr>
        <w:spacing w:after="0"/>
      </w:pPr>
    </w:p>
    <w:tbl>
      <w:tblPr>
        <w:tblW w:type="auto" w:w="0"/>
        <w:tblLook w:firstColumn="1" w:firstRow="1" w:lastColumn="0" w:lastRow="0" w:noHBand="0" w:noVBand="1" w:val="04A0"/>
      </w:tblPr>
      <w:tblGrid>
        <w:gridCol w:w="14256"/>
      </w:tblGrid>
      <w:tr>
        <w:tc>
          <w:tcPr>
            <w:tcW w:type="dxa" w:w="14256"/>
            <w:shd w:fill="EAF1F5"/>
            <w:tcMar>
              <w:top w:w="90" w:type="dxa"/>
              <w:start w:w="130" w:type="dxa"/>
              <w:bottom w:w="90" w:type="dxa"/>
              <w:end w:w="130" w:type="dxa"/>
            </w:tcMar>
          </w:tcPr>
          <w:p>
            <w:r>
              <w:rPr>
                <w:b/>
                <w:color w:val="17324D"/>
                <w:sz w:val="16"/>
              </w:rPr>
              <w:t xml:space="preserve">CORE TALK TRACK  </w:t>
            </w:r>
            <w:r>
              <w:rPr>
                <w:i/>
                <w:color w:val="1B2733"/>
                <w:sz w:val="18"/>
              </w:rPr>
              <w:t>“Achieve is a focused advising and student-services platform. SEAtS is the stronger conversation when the institution wants those workflows connected to attendance, compliance and academic/campus operations rather than stopping at the advising center.”</w:t>
            </w:r>
          </w:p>
        </w:tc>
      </w:tr>
    </w:tbl>
    <w:p>
      <w:pPr>
        <w:spacing w:after="0"/>
      </w:pPr>
    </w:p>
    <w:tbl>
      <w:tblPr>
        <w:tblW w:type="auto" w:w="0"/>
        <w:tblLayout w:type="fixed"/>
        <w:tblLook w:firstColumn="1" w:firstRow="1" w:lastColumn="0" w:lastRow="0" w:noHBand="0" w:noVBand="1" w:val="04A0"/>
      </w:tblPr>
      <w:tblGrid>
        <w:gridCol w:w="6840"/>
        <w:gridCol w:w="6840"/>
      </w:tblGrid>
      <w:tr>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DISCOVERY QUESTIONS</w:t>
                  </w:r>
                </w:p>
              </w:tc>
            </w:tr>
          </w:tbl>
          <w:p/>
          <w:p>
            <w:pPr>
              <w:pStyle w:val="CardBody"/>
              <w:spacing w:after="32"/>
              <w:ind w:left="173" w:hanging="144"/>
            </w:pPr>
            <w:r>
              <w:rPr>
                <w:b/>
              </w:rPr>
              <w:t xml:space="preserve">• </w:t>
            </w:r>
            <w:r>
              <w:t>Is the requirement centered on an advising center or institution-wide operations?</w:t>
            </w:r>
          </w:p>
          <w:p>
            <w:pPr>
              <w:pStyle w:val="CardBody"/>
              <w:spacing w:after="32"/>
              <w:ind w:left="173" w:hanging="144"/>
            </w:pPr>
            <w:r>
              <w:rPr>
                <w:b/>
              </w:rPr>
              <w:t xml:space="preserve">• </w:t>
            </w:r>
            <w:r>
              <w:t>Does the institution need class attendance, regulatory compliance or academic scheduling?</w:t>
            </w:r>
          </w:p>
          <w:p>
            <w:pPr>
              <w:pStyle w:val="CardBody"/>
              <w:spacing w:after="32"/>
              <w:ind w:left="173" w:hanging="144"/>
            </w:pPr>
            <w:r>
              <w:rPr>
                <w:b/>
              </w:rPr>
              <w:t xml:space="preserve">• </w:t>
            </w:r>
            <w:r>
              <w:t>What systems feed the current queue/case workflow?</w:t>
            </w:r>
          </w:p>
          <w:p>
            <w:pPr>
              <w:pStyle w:val="CardBody"/>
              <w:spacing w:after="32"/>
              <w:ind w:left="173" w:hanging="144"/>
            </w:pPr>
            <w:r>
              <w:rPr>
                <w:b/>
              </w:rPr>
              <w:t xml:space="preserve">• </w:t>
            </w:r>
            <w:r>
              <w:t>How many departments need to operate from the same student record?</w:t>
            </w:r>
          </w:p>
        </w:tc>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FCEEEE"/>
                  <w:vAlign w:val="center"/>
                  <w:tcMar>
                    <w:top w:w="80" w:type="dxa"/>
                    <w:start w:w="100" w:type="dxa"/>
                    <w:bottom w:w="80" w:type="dxa"/>
                    <w:end w:w="100" w:type="dxa"/>
                  </w:tcMar>
                </w:tcPr>
                <w:p>
                  <w:pPr>
                    <w:spacing w:after="0"/>
                    <w:jc w:val="left"/>
                  </w:pPr>
                  <w:r/>
                  <w:r>
                    <w:rPr>
                      <w:rFonts w:ascii="Arial" w:hAnsi="Arial"/>
                      <w:b/>
                      <w:color w:val="B44343"/>
                      <w:sz w:val="16"/>
                    </w:rPr>
                    <w:t>SALES LANDMINES / PROOF DISCIPLINE</w:t>
                  </w:r>
                </w:p>
              </w:tc>
            </w:tr>
          </w:tbl>
          <w:p/>
          <w:p>
            <w:pPr>
              <w:pStyle w:val="CardBody"/>
              <w:spacing w:after="32"/>
              <w:ind w:left="173" w:hanging="144"/>
            </w:pPr>
            <w:r>
              <w:rPr>
                <w:b/>
              </w:rPr>
              <w:t xml:space="preserve">• </w:t>
            </w:r>
            <w:r>
              <w:t>Do not underestimate ease-of-use and focused scope as buying advantages.</w:t>
            </w:r>
          </w:p>
          <w:p>
            <w:pPr>
              <w:pStyle w:val="CardBody"/>
              <w:spacing w:after="32"/>
              <w:ind w:left="173" w:hanging="144"/>
            </w:pPr>
            <w:r>
              <w:rPr>
                <w:b/>
              </w:rPr>
              <w:t xml:space="preserve">• </w:t>
            </w:r>
            <w:r>
              <w:t>Probe actual implementation scope rather than assuming smaller vendor = simpler.</w:t>
            </w:r>
          </w:p>
          <w:p>
            <w:pPr>
              <w:pStyle w:val="CardBody"/>
              <w:spacing w:after="32"/>
              <w:ind w:left="173" w:hanging="144"/>
            </w:pPr>
            <w:r>
              <w:rPr>
                <w:b/>
              </w:rPr>
              <w:t xml:space="preserve">• </w:t>
            </w:r>
            <w:r>
              <w:t>Be specific about which SEAtS modules create incremental value.</w:t>
            </w:r>
          </w:p>
        </w:tc>
      </w:tr>
    </w:tbl>
    <w:tbl>
      <w:tblPr>
        <w:tblW w:type="auto" w:w="0"/>
        <w:tblLayout w:type="fixed"/>
        <w:tblLook w:firstColumn="1" w:firstRow="1" w:lastColumn="0" w:lastRow="0" w:noHBand="0" w:noVBand="1" w:val="04A0"/>
      </w:tblPr>
      <w:tblGrid>
        <w:gridCol w:w="6840"/>
        <w:gridCol w:w="6840"/>
      </w:tblGrid>
      <w:tr>
        <w:tc>
          <w:tcPr>
            <w:tcW w:type="dxa" w:w="7128"/>
            <w:shd w:fill="E6F3EA"/>
            <w:tcMar>
              <w:top w:w="70" w:type="dxa"/>
              <w:start w:w="110" w:type="dxa"/>
              <w:bottom w:w="70" w:type="dxa"/>
              <w:end w:w="110" w:type="dxa"/>
            </w:tcMar>
          </w:tcPr>
          <w:p>
            <w:r>
              <w:rPr>
                <w:b/>
                <w:color w:val="2D7A4B"/>
                <w:sz w:val="15"/>
              </w:rPr>
              <w:t xml:space="preserve">WIN SIGNALS  </w:t>
            </w:r>
            <w:r>
              <w:rPr>
                <w:color w:val="1B2733"/>
                <w:sz w:val="16"/>
              </w:rPr>
              <w:t>Broader scope, attendance/compliance need, cross-department workflow.</w:t>
            </w:r>
          </w:p>
        </w:tc>
        <w:tc>
          <w:tcPr>
            <w:tcW w:type="dxa" w:w="7128"/>
            <w:shd w:fill="F8E8C8"/>
            <w:tcMar>
              <w:top w:w="70" w:type="dxa"/>
              <w:start w:w="110" w:type="dxa"/>
              <w:bottom w:w="70" w:type="dxa"/>
              <w:end w:w="110" w:type="dxa"/>
            </w:tcMar>
          </w:tcPr>
          <w:p>
            <w:r>
              <w:rPr>
                <w:b/>
                <w:color w:val="A06B00"/>
                <w:sz w:val="15"/>
              </w:rPr>
              <w:t xml:space="preserve">LOSS / RISK SIGNALS  </w:t>
            </w:r>
            <w:r>
              <w:rPr>
                <w:color w:val="1B2733"/>
                <w:sz w:val="16"/>
              </w:rPr>
              <w:t>Narrow appointment/case-management project with price sensitivity and limited operational scope.</w:t>
            </w:r>
          </w:p>
        </w:tc>
      </w:tr>
    </w:tbl>
    <w:p>
      <w:pPr>
        <w:pStyle w:val="Tiny"/>
        <w:spacing w:before="40"/>
      </w:pPr>
      <w:r>
        <w:rPr>
          <w:b/>
        </w:rPr>
        <w:t xml:space="preserve">Verified sources: </w:t>
      </w:r>
      <w:hyperlink r:id="rId18">
        <w:r>
          <w:rPr>
            <w:color w:val="0563C1"/>
            <w:u w:val="single"/>
            <w:sz w:val="14"/>
          </w:rPr>
          <w:t>E2E Advising Achieve</w:t>
        </w:r>
      </w:hyperlink>
      <w:r>
        <w:t xml:space="preserve">  •  </w:t>
      </w:r>
      <w:hyperlink r:id="rId19">
        <w:r>
          <w:rPr>
            <w:color w:val="0563C1"/>
            <w:u w:val="single"/>
            <w:sz w:val="14"/>
          </w:rPr>
          <w:t>Achieve enrollment outreach</w:t>
        </w:r>
      </w:hyperlink>
    </w:p>
    <w:p>
      <w:r>
        <w:br w:type="page"/>
      </w:r>
    </w:p>
    <w:tbl>
      <w:tblPr>
        <w:tblW w:type="auto" w:w="0"/>
        <w:tblLayout w:type="fixed"/>
        <w:tblLook w:firstColumn="1" w:firstRow="1" w:lastColumn="0" w:lastRow="0" w:noHBand="0" w:noVBand="1" w:val="04A0"/>
      </w:tblPr>
      <w:tblGrid>
        <w:gridCol w:w="11520"/>
        <w:gridCol w:w="2448"/>
      </w:tblGrid>
      <w:tr>
        <w:tc>
          <w:tcPr>
            <w:tcW w:type="dxa" w:w="7128"/>
            <w:shd w:fill="17324D"/>
            <w:tcMar>
              <w:top w:w="100" w:type="dxa"/>
              <w:start w:w="120" w:type="dxa"/>
              <w:bottom w:w="100" w:type="dxa"/>
              <w:end w:w="120" w:type="dxa"/>
            </w:tcMar>
          </w:tcPr>
          <w:p>
            <w:pPr>
              <w:spacing w:after="0"/>
            </w:pPr>
            <w:r>
              <w:rPr>
                <w:rFonts w:ascii="Arial" w:hAnsi="Arial"/>
                <w:b/>
                <w:color w:val="FFFFFF"/>
                <w:sz w:val="36"/>
              </w:rPr>
              <w:t>CollegeNET Series25</w:t>
            </w:r>
            <w:r>
              <w:rPr>
                <w:rFonts w:ascii="Arial" w:hAnsi="Arial"/>
                <w:color w:val="DCE6EC"/>
                <w:sz w:val="17"/>
              </w:rPr>
              <w:br/>
              <w:t>ADJACENT • SCHEDULING / SPACE</w:t>
            </w:r>
          </w:p>
        </w:tc>
        <w:tc>
          <w:tcPr>
            <w:tcW w:type="dxa" w:w="7128"/>
            <w:shd w:fill="A06B00"/>
            <w:tcMar>
              <w:top w:w="90" w:type="dxa"/>
              <w:start w:w="80" w:type="dxa"/>
              <w:bottom w:w="90" w:type="dxa"/>
              <w:end w:w="80" w:type="dxa"/>
            </w:tcMar>
            <w:vAlign w:val="center"/>
          </w:tcPr>
          <w:p>
            <w:pPr>
              <w:spacing w:after="0"/>
              <w:jc w:val="center"/>
            </w:pPr>
            <w:r>
              <w:rPr>
                <w:rFonts w:ascii="Arial" w:hAnsi="Arial"/>
                <w:b/>
                <w:color w:val="FFFFFF"/>
                <w:sz w:val="16"/>
              </w:rPr>
              <w:t>HIGH IN OPERATIONS</w:t>
            </w:r>
          </w:p>
        </w:tc>
      </w:tr>
    </w:tbl>
    <w:tbl>
      <w:tblPr>
        <w:tblW w:type="auto" w:w="0"/>
        <w:tblLayout w:type="fixed"/>
        <w:tblLook w:firstColumn="1" w:firstRow="1" w:lastColumn="0" w:lastRow="0" w:noHBand="0" w:noVBand="1" w:val="04A0"/>
      </w:tblPr>
      <w:tblGrid>
        <w:gridCol w:w="6840"/>
        <w:gridCol w:w="6840"/>
      </w:tblGrid>
      <w:tr>
        <w:tc>
          <w:tcPr>
            <w:tcW w:type="dxa" w:w="7128"/>
            <w:shd w:fill="F5F8FA"/>
            <w:tcMar>
              <w:top w:w="90" w:type="dxa"/>
              <w:start w:w="110" w:type="dxa"/>
              <w:bottom w:w="90" w:type="dxa"/>
              <w:end w:w="110" w:type="dxa"/>
            </w:tcMar>
          </w:tcPr>
          <w:p>
            <w:pPr>
              <w:spacing w:after="20"/>
            </w:pPr>
            <w:r>
              <w:rPr>
                <w:rFonts w:ascii="Arial" w:hAnsi="Arial"/>
                <w:b/>
                <w:color w:val="0E8A8A"/>
                <w:sz w:val="15"/>
              </w:rPr>
              <w:t>LIKELY BUYERS</w:t>
            </w:r>
            <w:r>
              <w:rPr>
                <w:rFonts w:ascii="Arial" w:hAnsi="Arial"/>
                <w:color w:val="1B2733"/>
                <w:sz w:val="16"/>
              </w:rPr>
              <w:br/>
              <w:t>Registrar; Academic Affairs; Facilities; Space Planning; CIO</w:t>
            </w:r>
          </w:p>
        </w:tc>
        <w:tc>
          <w:tcPr>
            <w:tcW w:type="dxa" w:w="7128"/>
            <w:shd w:fill="F5F8FA"/>
            <w:tcMar>
              <w:top w:w="90" w:type="dxa"/>
              <w:start w:w="110" w:type="dxa"/>
              <w:bottom w:w="90" w:type="dxa"/>
              <w:end w:w="110" w:type="dxa"/>
            </w:tcMar>
          </w:tcPr>
          <w:p>
            <w:pPr>
              <w:spacing w:after="20"/>
            </w:pPr>
            <w:r>
              <w:rPr>
                <w:rFonts w:ascii="Arial" w:hAnsi="Arial"/>
                <w:b/>
                <w:color w:val="0E8A8A"/>
                <w:sz w:val="15"/>
              </w:rPr>
              <w:t>WHEN THEY APPEAR</w:t>
            </w:r>
            <w:r>
              <w:rPr>
                <w:rFonts w:ascii="Arial" w:hAnsi="Arial"/>
                <w:color w:val="1B2733"/>
                <w:sz w:val="16"/>
              </w:rPr>
              <w:br/>
              <w:t>Academic scheduling, room assignment, event scheduling and space-utilization planning.</w:t>
            </w:r>
          </w:p>
        </w:tc>
      </w:tr>
    </w:tbl>
    <w:p>
      <w:pPr>
        <w:spacing w:after="0"/>
      </w:pPr>
    </w:p>
    <w:tbl>
      <w:tblPr>
        <w:tblW w:type="auto" w:w="0"/>
        <w:tblLayout w:type="fixed"/>
        <w:tblLook w:firstColumn="1" w:firstRow="1" w:lastColumn="0" w:lastRow="0" w:noHBand="0" w:noVBand="1" w:val="04A0"/>
      </w:tblPr>
      <w:tblGrid>
        <w:gridCol w:w="6840"/>
        <w:gridCol w:w="6840"/>
      </w:tblGrid>
      <w:tr>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WHY THEY ARE CREDIBLE</w:t>
                  </w:r>
                </w:p>
              </w:tc>
            </w:tr>
          </w:tbl>
          <w:p/>
          <w:p>
            <w:pPr>
              <w:pStyle w:val="CardBody"/>
              <w:spacing w:after="32"/>
              <w:ind w:left="173" w:hanging="144"/>
            </w:pPr>
            <w:r>
              <w:rPr>
                <w:b/>
              </w:rPr>
              <w:t xml:space="preserve">• </w:t>
            </w:r>
            <w:r>
              <w:t>Purpose-built, established scheduling suite: Schedule25, 25Live and X25.</w:t>
            </w:r>
          </w:p>
          <w:p>
            <w:pPr>
              <w:pStyle w:val="CardBody"/>
              <w:spacing w:after="32"/>
              <w:ind w:left="173" w:hanging="144"/>
            </w:pPr>
            <w:r>
              <w:rPr>
                <w:b/>
              </w:rPr>
              <w:t xml:space="preserve">• </w:t>
            </w:r>
            <w:r>
              <w:t>Strong room-assignment optimization and scheduling rules.</w:t>
            </w:r>
          </w:p>
          <w:p>
            <w:pPr>
              <w:pStyle w:val="CardBody"/>
              <w:spacing w:after="32"/>
              <w:ind w:left="173" w:hanging="144"/>
            </w:pPr>
            <w:r>
              <w:rPr>
                <w:b/>
              </w:rPr>
              <w:t xml:space="preserve">• </w:t>
            </w:r>
            <w:r>
              <w:t>Space analytics/scenario planning plus SIS integration.</w:t>
            </w:r>
          </w:p>
        </w:tc>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DDEFF0"/>
                  <w:vAlign w:val="center"/>
                  <w:tcMar>
                    <w:top w:w="80" w:type="dxa"/>
                    <w:start w:w="100" w:type="dxa"/>
                    <w:bottom w:w="80" w:type="dxa"/>
                    <w:end w:w="100" w:type="dxa"/>
                  </w:tcMar>
                </w:tcPr>
                <w:p>
                  <w:pPr>
                    <w:spacing w:after="0"/>
                    <w:jc w:val="left"/>
                  </w:pPr>
                  <w:r/>
                  <w:r>
                    <w:rPr>
                      <w:rFonts w:ascii="Arial" w:hAnsi="Arial"/>
                      <w:b/>
                      <w:color w:val="0E8A8A"/>
                      <w:sz w:val="16"/>
                    </w:rPr>
                    <w:t>SEATS COMPETITIVE WEDGE</w:t>
                  </w:r>
                </w:p>
              </w:tc>
            </w:tr>
          </w:tbl>
          <w:p/>
          <w:p>
            <w:pPr>
              <w:pStyle w:val="CardBody"/>
              <w:spacing w:after="32"/>
              <w:ind w:left="173" w:hanging="144"/>
            </w:pPr>
            <w:r>
              <w:rPr>
                <w:b/>
              </w:rPr>
              <w:t xml:space="preserve">• </w:t>
            </w:r>
            <w:r>
              <w:t>Broaden from 'where should the class go?' to 'what happened, who attended, who needs support, and how is the space performing?'</w:t>
            </w:r>
          </w:p>
          <w:p>
            <w:pPr>
              <w:pStyle w:val="CardBody"/>
              <w:spacing w:after="32"/>
              <w:ind w:left="173" w:hanging="144"/>
            </w:pPr>
            <w:r>
              <w:rPr>
                <w:b/>
              </w:rPr>
              <w:t xml:space="preserve">• </w:t>
            </w:r>
            <w:r>
              <w:t>Unify scheduling with attendance, student success, compliance and room utilization.</w:t>
            </w:r>
          </w:p>
          <w:p>
            <w:pPr>
              <w:pStyle w:val="CardBody"/>
              <w:spacing w:after="32"/>
              <w:ind w:left="173" w:hanging="144"/>
            </w:pPr>
            <w:r>
              <w:rPr>
                <w:b/>
              </w:rPr>
              <w:t xml:space="preserve">• </w:t>
            </w:r>
            <w:r>
              <w:t>Use the same operational record to connect schedule decisions to actual occupancy and outcomes.</w:t>
            </w:r>
          </w:p>
        </w:tc>
      </w:tr>
    </w:tbl>
    <w:p>
      <w:pPr>
        <w:spacing w:after="0"/>
      </w:pPr>
    </w:p>
    <w:tbl>
      <w:tblPr>
        <w:tblW w:type="auto" w:w="0"/>
        <w:tblLook w:firstColumn="1" w:firstRow="1" w:lastColumn="0" w:lastRow="0" w:noHBand="0" w:noVBand="1" w:val="04A0"/>
      </w:tblPr>
      <w:tblGrid>
        <w:gridCol w:w="14256"/>
      </w:tblGrid>
      <w:tr>
        <w:tc>
          <w:tcPr>
            <w:tcW w:type="dxa" w:w="14256"/>
            <w:shd w:fill="EAF1F5"/>
            <w:tcMar>
              <w:top w:w="90" w:type="dxa"/>
              <w:start w:w="130" w:type="dxa"/>
              <w:bottom w:w="90" w:type="dxa"/>
              <w:end w:w="130" w:type="dxa"/>
            </w:tcMar>
          </w:tcPr>
          <w:p>
            <w:r>
              <w:rPr>
                <w:b/>
                <w:color w:val="17324D"/>
                <w:sz w:val="16"/>
              </w:rPr>
              <w:t xml:space="preserve">CORE TALK TRACK  </w:t>
            </w:r>
            <w:r>
              <w:rPr>
                <w:i/>
                <w:color w:val="1B2733"/>
                <w:sz w:val="18"/>
              </w:rPr>
              <w:t>“Series25 is a strong scheduling suite. SEAtS becomes differentiated when the institution wants scheduling to be part of a larger operational loop—schedule the activity, capture attendance, act on student risk, and measure how space is actually used.”</w:t>
            </w:r>
          </w:p>
        </w:tc>
      </w:tr>
    </w:tbl>
    <w:p>
      <w:pPr>
        <w:spacing w:after="0"/>
      </w:pPr>
    </w:p>
    <w:tbl>
      <w:tblPr>
        <w:tblW w:type="auto" w:w="0"/>
        <w:tblLayout w:type="fixed"/>
        <w:tblLook w:firstColumn="1" w:firstRow="1" w:lastColumn="0" w:lastRow="0" w:noHBand="0" w:noVBand="1" w:val="04A0"/>
      </w:tblPr>
      <w:tblGrid>
        <w:gridCol w:w="6840"/>
        <w:gridCol w:w="6840"/>
      </w:tblGrid>
      <w:tr>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DISCOVERY QUESTIONS</w:t>
                  </w:r>
                </w:p>
              </w:tc>
            </w:tr>
          </w:tbl>
          <w:p/>
          <w:p>
            <w:pPr>
              <w:pStyle w:val="CardBody"/>
              <w:spacing w:after="32"/>
              <w:ind w:left="173" w:hanging="144"/>
            </w:pPr>
            <w:r>
              <w:rPr>
                <w:b/>
              </w:rPr>
              <w:t xml:space="preserve">• </w:t>
            </w:r>
            <w:r>
              <w:t>Is the project only replacing scheduling, or also attendance and space analytics?</w:t>
            </w:r>
          </w:p>
          <w:p>
            <w:pPr>
              <w:pStyle w:val="CardBody"/>
              <w:spacing w:after="32"/>
              <w:ind w:left="173" w:hanging="144"/>
            </w:pPr>
            <w:r>
              <w:rPr>
                <w:b/>
              </w:rPr>
              <w:t xml:space="preserve">• </w:t>
            </w:r>
            <w:r>
              <w:t>Can the institution compare scheduled utilization with actual occupancy?</w:t>
            </w:r>
          </w:p>
          <w:p>
            <w:pPr>
              <w:pStyle w:val="CardBody"/>
              <w:spacing w:after="32"/>
              <w:ind w:left="173" w:hanging="144"/>
            </w:pPr>
            <w:r>
              <w:rPr>
                <w:b/>
              </w:rPr>
              <w:t xml:space="preserve">• </w:t>
            </w:r>
            <w:r>
              <w:t>How many separate systems serve Registrar, Facilities and Student Success?</w:t>
            </w:r>
          </w:p>
          <w:p>
            <w:pPr>
              <w:pStyle w:val="CardBody"/>
              <w:spacing w:after="32"/>
              <w:ind w:left="173" w:hanging="144"/>
            </w:pPr>
            <w:r>
              <w:rPr>
                <w:b/>
              </w:rPr>
              <w:t xml:space="preserve">• </w:t>
            </w:r>
            <w:r>
              <w:t>Does the institution want one operating layer across those teams?</w:t>
            </w:r>
          </w:p>
        </w:tc>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FCEEEE"/>
                  <w:vAlign w:val="center"/>
                  <w:tcMar>
                    <w:top w:w="80" w:type="dxa"/>
                    <w:start w:w="100" w:type="dxa"/>
                    <w:bottom w:w="80" w:type="dxa"/>
                    <w:end w:w="100" w:type="dxa"/>
                  </w:tcMar>
                </w:tcPr>
                <w:p>
                  <w:pPr>
                    <w:spacing w:after="0"/>
                    <w:jc w:val="left"/>
                  </w:pPr>
                  <w:r/>
                  <w:r>
                    <w:rPr>
                      <w:rFonts w:ascii="Arial" w:hAnsi="Arial"/>
                      <w:b/>
                      <w:color w:val="B44343"/>
                      <w:sz w:val="16"/>
                    </w:rPr>
                    <w:t>SALES LANDMINES / PROOF DISCIPLINE</w:t>
                  </w:r>
                </w:p>
              </w:tc>
            </w:tr>
          </w:tbl>
          <w:p/>
          <w:p>
            <w:pPr>
              <w:pStyle w:val="CardBody"/>
              <w:spacing w:after="32"/>
              <w:ind w:left="173" w:hanging="144"/>
            </w:pPr>
            <w:r>
              <w:rPr>
                <w:b/>
              </w:rPr>
              <w:t xml:space="preserve">• </w:t>
            </w:r>
            <w:r>
              <w:t>Do not compete on scheduling feature count alone; CollegeNET is specialized.</w:t>
            </w:r>
          </w:p>
          <w:p>
            <w:pPr>
              <w:pStyle w:val="CardBody"/>
              <w:spacing w:after="32"/>
              <w:ind w:left="173" w:hanging="144"/>
            </w:pPr>
            <w:r>
              <w:rPr>
                <w:b/>
              </w:rPr>
              <w:t xml:space="preserve">• </w:t>
            </w:r>
            <w:r>
              <w:t>Require scenario demos that span scheduling + attendance + space + intervention.</w:t>
            </w:r>
          </w:p>
          <w:p>
            <w:pPr>
              <w:pStyle w:val="CardBody"/>
              <w:spacing w:after="32"/>
              <w:ind w:left="173" w:hanging="144"/>
            </w:pPr>
            <w:r>
              <w:rPr>
                <w:b/>
              </w:rPr>
              <w:t xml:space="preserve">• </w:t>
            </w:r>
            <w:r>
              <w:t>Separate academic scheduling from event management needs.</w:t>
            </w:r>
          </w:p>
        </w:tc>
      </w:tr>
    </w:tbl>
    <w:tbl>
      <w:tblPr>
        <w:tblW w:type="auto" w:w="0"/>
        <w:tblLayout w:type="fixed"/>
        <w:tblLook w:firstColumn="1" w:firstRow="1" w:lastColumn="0" w:lastRow="0" w:noHBand="0" w:noVBand="1" w:val="04A0"/>
      </w:tblPr>
      <w:tblGrid>
        <w:gridCol w:w="6840"/>
        <w:gridCol w:w="6840"/>
      </w:tblGrid>
      <w:tr>
        <w:tc>
          <w:tcPr>
            <w:tcW w:type="dxa" w:w="7128"/>
            <w:shd w:fill="E6F3EA"/>
            <w:tcMar>
              <w:top w:w="70" w:type="dxa"/>
              <w:start w:w="110" w:type="dxa"/>
              <w:bottom w:w="70" w:type="dxa"/>
              <w:end w:w="110" w:type="dxa"/>
            </w:tcMar>
          </w:tcPr>
          <w:p>
            <w:r>
              <w:rPr>
                <w:b/>
                <w:color w:val="2D7A4B"/>
                <w:sz w:val="15"/>
              </w:rPr>
              <w:t xml:space="preserve">WIN SIGNALS  </w:t>
            </w:r>
            <w:r>
              <w:rPr>
                <w:color w:val="1B2733"/>
                <w:sz w:val="16"/>
              </w:rPr>
              <w:t>Consolidation across Registrar/Facilities/Student Success; actual-use analytics matter.</w:t>
            </w:r>
          </w:p>
        </w:tc>
        <w:tc>
          <w:tcPr>
            <w:tcW w:type="dxa" w:w="7128"/>
            <w:shd w:fill="F8E8C8"/>
            <w:tcMar>
              <w:top w:w="70" w:type="dxa"/>
              <w:start w:w="110" w:type="dxa"/>
              <w:bottom w:w="70" w:type="dxa"/>
              <w:end w:w="110" w:type="dxa"/>
            </w:tcMar>
          </w:tcPr>
          <w:p>
            <w:r>
              <w:rPr>
                <w:b/>
                <w:color w:val="A06B00"/>
                <w:sz w:val="15"/>
              </w:rPr>
              <w:t xml:space="preserve">LOSS / RISK SIGNALS  </w:t>
            </w:r>
            <w:r>
              <w:rPr>
                <w:color w:val="1B2733"/>
                <w:sz w:val="16"/>
              </w:rPr>
              <w:t>Pure scheduling optimization RFP with mature Series25 deployment and limited adjacent needs.</w:t>
            </w:r>
          </w:p>
        </w:tc>
      </w:tr>
    </w:tbl>
    <w:p>
      <w:pPr>
        <w:pStyle w:val="Tiny"/>
        <w:spacing w:before="40"/>
      </w:pPr>
      <w:r>
        <w:rPr>
          <w:b/>
        </w:rPr>
        <w:t xml:space="preserve">Verified sources: </w:t>
      </w:r>
      <w:hyperlink r:id="rId20">
        <w:r>
          <w:rPr>
            <w:color w:val="0563C1"/>
            <w:u w:val="single"/>
            <w:sz w:val="14"/>
          </w:rPr>
          <w:t>CollegeNET Schedule25</w:t>
        </w:r>
      </w:hyperlink>
      <w:r>
        <w:t xml:space="preserve">  •  </w:t>
      </w:r>
      <w:hyperlink r:id="rId21">
        <w:r>
          <w:rPr>
            <w:color w:val="0563C1"/>
            <w:u w:val="single"/>
            <w:sz w:val="14"/>
          </w:rPr>
          <w:t>CollegeNET X25</w:t>
        </w:r>
      </w:hyperlink>
    </w:p>
    <w:p>
      <w:r>
        <w:br w:type="page"/>
      </w:r>
    </w:p>
    <w:tbl>
      <w:tblPr>
        <w:tblW w:type="auto" w:w="0"/>
        <w:tblLayout w:type="fixed"/>
        <w:tblLook w:firstColumn="1" w:firstRow="1" w:lastColumn="0" w:lastRow="0" w:noHBand="0" w:noVBand="1" w:val="04A0"/>
      </w:tblPr>
      <w:tblGrid>
        <w:gridCol w:w="11520"/>
        <w:gridCol w:w="2448"/>
      </w:tblGrid>
      <w:tr>
        <w:tc>
          <w:tcPr>
            <w:tcW w:type="dxa" w:w="7128"/>
            <w:shd w:fill="17324D"/>
            <w:tcMar>
              <w:top w:w="100" w:type="dxa"/>
              <w:start w:w="120" w:type="dxa"/>
              <w:bottom w:w="100" w:type="dxa"/>
              <w:end w:w="120" w:type="dxa"/>
            </w:tcMar>
          </w:tcPr>
          <w:p>
            <w:pPr>
              <w:spacing w:after="0"/>
            </w:pPr>
            <w:r>
              <w:rPr>
                <w:rFonts w:ascii="Arial" w:hAnsi="Arial"/>
                <w:b/>
                <w:color w:val="FFFFFF"/>
                <w:sz w:val="36"/>
              </w:rPr>
              <w:t>Degree Analytics</w:t>
            </w:r>
            <w:r>
              <w:rPr>
                <w:rFonts w:ascii="Arial" w:hAnsi="Arial"/>
                <w:color w:val="DCE6EC"/>
                <w:sz w:val="17"/>
              </w:rPr>
              <w:br/>
              <w:t>ADJACENT • ATTENDANCE / SPACE</w:t>
            </w:r>
          </w:p>
        </w:tc>
        <w:tc>
          <w:tcPr>
            <w:tcW w:type="dxa" w:w="7128"/>
            <w:shd w:fill="A06B00"/>
            <w:tcMar>
              <w:top w:w="90" w:type="dxa"/>
              <w:start w:w="80" w:type="dxa"/>
              <w:bottom w:w="90" w:type="dxa"/>
              <w:end w:w="80" w:type="dxa"/>
            </w:tcMar>
            <w:vAlign w:val="center"/>
          </w:tcPr>
          <w:p>
            <w:pPr>
              <w:spacing w:after="0"/>
              <w:jc w:val="center"/>
            </w:pPr>
            <w:r>
              <w:rPr>
                <w:rFonts w:ascii="Arial" w:hAnsi="Arial"/>
                <w:b/>
                <w:color w:val="FFFFFF"/>
                <w:sz w:val="16"/>
              </w:rPr>
              <w:t>HIGH IN DATA-LED OPS</w:t>
            </w:r>
          </w:p>
        </w:tc>
      </w:tr>
    </w:tbl>
    <w:tbl>
      <w:tblPr>
        <w:tblW w:type="auto" w:w="0"/>
        <w:tblLayout w:type="fixed"/>
        <w:tblLook w:firstColumn="1" w:firstRow="1" w:lastColumn="0" w:lastRow="0" w:noHBand="0" w:noVBand="1" w:val="04A0"/>
      </w:tblPr>
      <w:tblGrid>
        <w:gridCol w:w="6840"/>
        <w:gridCol w:w="6840"/>
      </w:tblGrid>
      <w:tr>
        <w:tc>
          <w:tcPr>
            <w:tcW w:type="dxa" w:w="7128"/>
            <w:shd w:fill="F5F8FA"/>
            <w:tcMar>
              <w:top w:w="90" w:type="dxa"/>
              <w:start w:w="110" w:type="dxa"/>
              <w:bottom w:w="90" w:type="dxa"/>
              <w:end w:w="110" w:type="dxa"/>
            </w:tcMar>
          </w:tcPr>
          <w:p>
            <w:pPr>
              <w:spacing w:after="20"/>
            </w:pPr>
            <w:r>
              <w:rPr>
                <w:rFonts w:ascii="Arial" w:hAnsi="Arial"/>
                <w:b/>
                <w:color w:val="0E8A8A"/>
                <w:sz w:val="15"/>
              </w:rPr>
              <w:t>LIKELY BUYERS</w:t>
            </w:r>
            <w:r>
              <w:rPr>
                <w:rFonts w:ascii="Arial" w:hAnsi="Arial"/>
                <w:color w:val="1B2733"/>
                <w:sz w:val="16"/>
              </w:rPr>
              <w:br/>
              <w:t>CIO; Facilities; Space Planning; Institutional Research; Student Success</w:t>
            </w:r>
          </w:p>
        </w:tc>
        <w:tc>
          <w:tcPr>
            <w:tcW w:type="dxa" w:w="7128"/>
            <w:shd w:fill="F5F8FA"/>
            <w:tcMar>
              <w:top w:w="90" w:type="dxa"/>
              <w:start w:w="110" w:type="dxa"/>
              <w:bottom w:w="90" w:type="dxa"/>
              <w:end w:w="110" w:type="dxa"/>
            </w:tcMar>
          </w:tcPr>
          <w:p>
            <w:pPr>
              <w:spacing w:after="20"/>
            </w:pPr>
            <w:r>
              <w:rPr>
                <w:rFonts w:ascii="Arial" w:hAnsi="Arial"/>
                <w:b/>
                <w:color w:val="0E8A8A"/>
                <w:sz w:val="15"/>
              </w:rPr>
              <w:t>WHEN THEY APPEAR</w:t>
            </w:r>
            <w:r>
              <w:rPr>
                <w:rFonts w:ascii="Arial" w:hAnsi="Arial"/>
                <w:color w:val="1B2733"/>
                <w:sz w:val="16"/>
              </w:rPr>
              <w:br/>
              <w:t>Automated attendance, behavioral analytics and space-utilization intelligence using existing network data.</w:t>
            </w:r>
          </w:p>
        </w:tc>
      </w:tr>
    </w:tbl>
    <w:p>
      <w:pPr>
        <w:spacing w:after="0"/>
      </w:pPr>
    </w:p>
    <w:tbl>
      <w:tblPr>
        <w:tblW w:type="auto" w:w="0"/>
        <w:tblLayout w:type="fixed"/>
        <w:tblLook w:firstColumn="1" w:firstRow="1" w:lastColumn="0" w:lastRow="0" w:noHBand="0" w:noVBand="1" w:val="04A0"/>
      </w:tblPr>
      <w:tblGrid>
        <w:gridCol w:w="6840"/>
        <w:gridCol w:w="6840"/>
      </w:tblGrid>
      <w:tr>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WHY THEY ARE CREDIBLE</w:t>
                  </w:r>
                </w:p>
              </w:tc>
            </w:tr>
          </w:tbl>
          <w:p/>
          <w:p>
            <w:pPr>
              <w:pStyle w:val="CardBody"/>
              <w:spacing w:after="32"/>
              <w:ind w:left="173" w:hanging="144"/>
            </w:pPr>
            <w:r>
              <w:rPr>
                <w:b/>
              </w:rPr>
              <w:t xml:space="preserve">• </w:t>
            </w:r>
            <w:r>
              <w:t>Low-friction data-capture story leveraging existing enterprise wireless infrastructure.</w:t>
            </w:r>
          </w:p>
          <w:p>
            <w:pPr>
              <w:pStyle w:val="CardBody"/>
              <w:spacing w:after="32"/>
              <w:ind w:left="173" w:hanging="144"/>
            </w:pPr>
            <w:r>
              <w:rPr>
                <w:b/>
              </w:rPr>
              <w:t xml:space="preserve">• </w:t>
            </w:r>
            <w:r>
              <w:t>Strong space-utilization / occupancy analytics and campus-planning narrative.</w:t>
            </w:r>
          </w:p>
          <w:p>
            <w:pPr>
              <w:pStyle w:val="CardBody"/>
              <w:spacing w:after="32"/>
              <w:ind w:left="173" w:hanging="144"/>
            </w:pPr>
            <w:r>
              <w:rPr>
                <w:b/>
              </w:rPr>
              <w:t xml:space="preserve">• </w:t>
            </w:r>
            <w:r>
              <w:t>Behavioral signals can support attendance and student-success use cases.</w:t>
            </w:r>
          </w:p>
        </w:tc>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DDEFF0"/>
                  <w:vAlign w:val="center"/>
                  <w:tcMar>
                    <w:top w:w="80" w:type="dxa"/>
                    <w:start w:w="100" w:type="dxa"/>
                    <w:bottom w:w="80" w:type="dxa"/>
                    <w:end w:w="100" w:type="dxa"/>
                  </w:tcMar>
                </w:tcPr>
                <w:p>
                  <w:pPr>
                    <w:spacing w:after="0"/>
                    <w:jc w:val="left"/>
                  </w:pPr>
                  <w:r/>
                  <w:r>
                    <w:rPr>
                      <w:rFonts w:ascii="Arial" w:hAnsi="Arial"/>
                      <w:b/>
                      <w:color w:val="0E8A8A"/>
                      <w:sz w:val="16"/>
                    </w:rPr>
                    <w:t>SEATS COMPETITIVE WEDGE</w:t>
                  </w:r>
                </w:p>
              </w:tc>
            </w:tr>
          </w:tbl>
          <w:p/>
          <w:p>
            <w:pPr>
              <w:pStyle w:val="CardBody"/>
              <w:spacing w:after="32"/>
              <w:ind w:left="173" w:hanging="144"/>
            </w:pPr>
            <w:r>
              <w:rPr>
                <w:b/>
              </w:rPr>
              <w:t xml:space="preserve">• </w:t>
            </w:r>
            <w:r>
              <w:t>Shift from analytics visibility to full workflow execution: signal → case → outreach → compliance evidence → outcome.</w:t>
            </w:r>
          </w:p>
          <w:p>
            <w:pPr>
              <w:pStyle w:val="CardBody"/>
              <w:spacing w:after="32"/>
              <w:ind w:left="173" w:hanging="144"/>
            </w:pPr>
            <w:r>
              <w:rPr>
                <w:b/>
              </w:rPr>
              <w:t xml:space="preserve">• </w:t>
            </w:r>
            <w:r>
              <w:t>Emphasize connected scheduling, student success and compliance—not analytics alone.</w:t>
            </w:r>
          </w:p>
          <w:p>
            <w:pPr>
              <w:pStyle w:val="CardBody"/>
              <w:spacing w:after="32"/>
              <w:ind w:left="173" w:hanging="144"/>
            </w:pPr>
            <w:r>
              <w:rPr>
                <w:b/>
              </w:rPr>
              <w:t xml:space="preserve">• </w:t>
            </w:r>
            <w:r>
              <w:t>Show multi-source attendance options and operational workflows rather than a single telemetry method.</w:t>
            </w:r>
          </w:p>
        </w:tc>
      </w:tr>
    </w:tbl>
    <w:p>
      <w:pPr>
        <w:spacing w:after="0"/>
      </w:pPr>
    </w:p>
    <w:tbl>
      <w:tblPr>
        <w:tblW w:type="auto" w:w="0"/>
        <w:tblLook w:firstColumn="1" w:firstRow="1" w:lastColumn="0" w:lastRow="0" w:noHBand="0" w:noVBand="1" w:val="04A0"/>
      </w:tblPr>
      <w:tblGrid>
        <w:gridCol w:w="14256"/>
      </w:tblGrid>
      <w:tr>
        <w:tc>
          <w:tcPr>
            <w:tcW w:type="dxa" w:w="14256"/>
            <w:shd w:fill="EAF1F5"/>
            <w:tcMar>
              <w:top w:w="90" w:type="dxa"/>
              <w:start w:w="130" w:type="dxa"/>
              <w:bottom w:w="90" w:type="dxa"/>
              <w:end w:w="130" w:type="dxa"/>
            </w:tcMar>
          </w:tcPr>
          <w:p>
            <w:r>
              <w:rPr>
                <w:b/>
                <w:color w:val="17324D"/>
                <w:sz w:val="16"/>
              </w:rPr>
              <w:t xml:space="preserve">CORE TALK TRACK  </w:t>
            </w:r>
            <w:r>
              <w:rPr>
                <w:i/>
                <w:color w:val="1B2733"/>
                <w:sz w:val="18"/>
              </w:rPr>
              <w:t>“Degree Analytics is compelling for frictionless visibility into presence and space. SEAtS should win when the buyer needs that insight to drive institutional workflows—student support, compliance, scheduling and operational action—not just dashboards.”</w:t>
            </w:r>
          </w:p>
        </w:tc>
      </w:tr>
    </w:tbl>
    <w:p>
      <w:pPr>
        <w:spacing w:after="0"/>
      </w:pPr>
    </w:p>
    <w:tbl>
      <w:tblPr>
        <w:tblW w:type="auto" w:w="0"/>
        <w:tblLayout w:type="fixed"/>
        <w:tblLook w:firstColumn="1" w:firstRow="1" w:lastColumn="0" w:lastRow="0" w:noHBand="0" w:noVBand="1" w:val="04A0"/>
      </w:tblPr>
      <w:tblGrid>
        <w:gridCol w:w="6840"/>
        <w:gridCol w:w="6840"/>
      </w:tblGrid>
      <w:tr>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DISCOVERY QUESTIONS</w:t>
                  </w:r>
                </w:p>
              </w:tc>
            </w:tr>
          </w:tbl>
          <w:p/>
          <w:p>
            <w:pPr>
              <w:pStyle w:val="CardBody"/>
              <w:spacing w:after="32"/>
              <w:ind w:left="173" w:hanging="144"/>
            </w:pPr>
            <w:r>
              <w:rPr>
                <w:b/>
              </w:rPr>
              <w:t xml:space="preserve">• </w:t>
            </w:r>
            <w:r>
              <w:t>Is the requirement to measure presence, or to manage the intervention that follows?</w:t>
            </w:r>
          </w:p>
          <w:p>
            <w:pPr>
              <w:pStyle w:val="CardBody"/>
              <w:spacing w:after="32"/>
              <w:ind w:left="173" w:hanging="144"/>
            </w:pPr>
            <w:r>
              <w:rPr>
                <w:b/>
              </w:rPr>
              <w:t xml:space="preserve">• </w:t>
            </w:r>
            <w:r>
              <w:t>What accuracy/exception-management process is required for attendance?</w:t>
            </w:r>
          </w:p>
          <w:p>
            <w:pPr>
              <w:pStyle w:val="CardBody"/>
              <w:spacing w:after="32"/>
              <w:ind w:left="173" w:hanging="144"/>
            </w:pPr>
            <w:r>
              <w:rPr>
                <w:b/>
              </w:rPr>
              <w:t xml:space="preserve">• </w:t>
            </w:r>
            <w:r>
              <w:t>Is wireless-derived presence acceptable for regulatory or compliance use cases?</w:t>
            </w:r>
          </w:p>
          <w:p>
            <w:pPr>
              <w:pStyle w:val="CardBody"/>
              <w:spacing w:after="32"/>
              <w:ind w:left="173" w:hanging="144"/>
            </w:pPr>
            <w:r>
              <w:rPr>
                <w:b/>
              </w:rPr>
              <w:t xml:space="preserve">• </w:t>
            </w:r>
            <w:r>
              <w:t>How will occupancy insight connect to timetabling and room decisions?</w:t>
            </w:r>
          </w:p>
        </w:tc>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FCEEEE"/>
                  <w:vAlign w:val="center"/>
                  <w:tcMar>
                    <w:top w:w="80" w:type="dxa"/>
                    <w:start w:w="100" w:type="dxa"/>
                    <w:bottom w:w="80" w:type="dxa"/>
                    <w:end w:w="100" w:type="dxa"/>
                  </w:tcMar>
                </w:tcPr>
                <w:p>
                  <w:pPr>
                    <w:spacing w:after="0"/>
                    <w:jc w:val="left"/>
                  </w:pPr>
                  <w:r/>
                  <w:r>
                    <w:rPr>
                      <w:rFonts w:ascii="Arial" w:hAnsi="Arial"/>
                      <w:b/>
                      <w:color w:val="B44343"/>
                      <w:sz w:val="16"/>
                    </w:rPr>
                    <w:t>SALES LANDMINES / PROOF DISCIPLINE</w:t>
                  </w:r>
                </w:p>
              </w:tc>
            </w:tr>
          </w:tbl>
          <w:p/>
          <w:p>
            <w:pPr>
              <w:pStyle w:val="CardBody"/>
              <w:spacing w:after="32"/>
              <w:ind w:left="173" w:hanging="144"/>
            </w:pPr>
            <w:r>
              <w:rPr>
                <w:b/>
              </w:rPr>
              <w:t xml:space="preserve">• </w:t>
            </w:r>
            <w:r>
              <w:t>Do not dismiss wireless analytics; its low-friction deployment is attractive.</w:t>
            </w:r>
          </w:p>
          <w:p>
            <w:pPr>
              <w:pStyle w:val="CardBody"/>
              <w:spacing w:after="32"/>
              <w:ind w:left="173" w:hanging="144"/>
            </w:pPr>
            <w:r>
              <w:rPr>
                <w:b/>
              </w:rPr>
              <w:t xml:space="preserve">• </w:t>
            </w:r>
            <w:r>
              <w:t>Ask how presence is translated into auditable attendance for each use case.</w:t>
            </w:r>
          </w:p>
          <w:p>
            <w:pPr>
              <w:pStyle w:val="CardBody"/>
              <w:spacing w:after="32"/>
              <w:ind w:left="173" w:hanging="144"/>
            </w:pPr>
            <w:r>
              <w:rPr>
                <w:b/>
              </w:rPr>
              <w:t xml:space="preserve">• </w:t>
            </w:r>
            <w:r>
              <w:t>Privacy/governance questions are likely; keep SEAtS data governance ready.</w:t>
            </w:r>
          </w:p>
        </w:tc>
      </w:tr>
    </w:tbl>
    <w:tbl>
      <w:tblPr>
        <w:tblW w:type="auto" w:w="0"/>
        <w:tblLayout w:type="fixed"/>
        <w:tblLook w:firstColumn="1" w:firstRow="1" w:lastColumn="0" w:lastRow="0" w:noHBand="0" w:noVBand="1" w:val="04A0"/>
      </w:tblPr>
      <w:tblGrid>
        <w:gridCol w:w="6840"/>
        <w:gridCol w:w="6840"/>
      </w:tblGrid>
      <w:tr>
        <w:tc>
          <w:tcPr>
            <w:tcW w:type="dxa" w:w="7128"/>
            <w:shd w:fill="E6F3EA"/>
            <w:tcMar>
              <w:top w:w="70" w:type="dxa"/>
              <w:start w:w="110" w:type="dxa"/>
              <w:bottom w:w="70" w:type="dxa"/>
              <w:end w:w="110" w:type="dxa"/>
            </w:tcMar>
          </w:tcPr>
          <w:p>
            <w:r>
              <w:rPr>
                <w:b/>
                <w:color w:val="2D7A4B"/>
                <w:sz w:val="15"/>
              </w:rPr>
              <w:t xml:space="preserve">WIN SIGNALS  </w:t>
            </w:r>
            <w:r>
              <w:rPr>
                <w:color w:val="1B2733"/>
                <w:sz w:val="16"/>
              </w:rPr>
              <w:t>Need workflow/action layer, compliance evidence, scheduling integration, broader platform.</w:t>
            </w:r>
          </w:p>
        </w:tc>
        <w:tc>
          <w:tcPr>
            <w:tcW w:type="dxa" w:w="7128"/>
            <w:shd w:fill="F8E8C8"/>
            <w:tcMar>
              <w:top w:w="70" w:type="dxa"/>
              <w:start w:w="110" w:type="dxa"/>
              <w:bottom w:w="70" w:type="dxa"/>
              <w:end w:w="110" w:type="dxa"/>
            </w:tcMar>
          </w:tcPr>
          <w:p>
            <w:r>
              <w:rPr>
                <w:b/>
                <w:color w:val="A06B00"/>
                <w:sz w:val="15"/>
              </w:rPr>
              <w:t xml:space="preserve">LOSS / RISK SIGNALS  </w:t>
            </w:r>
            <w:r>
              <w:rPr>
                <w:color w:val="1B2733"/>
                <w:sz w:val="16"/>
              </w:rPr>
              <w:t>Buyer wants low-touch occupancy analytics using existing Wi-Fi and minimal change management.</w:t>
            </w:r>
          </w:p>
        </w:tc>
      </w:tr>
    </w:tbl>
    <w:p>
      <w:pPr>
        <w:pStyle w:val="Tiny"/>
        <w:spacing w:before="40"/>
      </w:pPr>
      <w:r>
        <w:rPr>
          <w:b/>
        </w:rPr>
        <w:t xml:space="preserve">Verified sources: </w:t>
      </w:r>
      <w:hyperlink r:id="rId22">
        <w:r>
          <w:rPr>
            <w:color w:val="0563C1"/>
            <w:u w:val="single"/>
            <w:sz w:val="14"/>
          </w:rPr>
          <w:t>Degree Analytics features</w:t>
        </w:r>
      </w:hyperlink>
      <w:r>
        <w:t xml:space="preserve">  •  </w:t>
      </w:r>
      <w:hyperlink r:id="rId23">
        <w:r>
          <w:rPr>
            <w:color w:val="0563C1"/>
            <w:u w:val="single"/>
            <w:sz w:val="14"/>
          </w:rPr>
          <w:t>Degree Analytics facilities</w:t>
        </w:r>
      </w:hyperlink>
    </w:p>
    <w:p>
      <w:r>
        <w:br w:type="page"/>
      </w:r>
    </w:p>
    <w:tbl>
      <w:tblPr>
        <w:tblW w:type="auto" w:w="0"/>
        <w:tblLayout w:type="fixed"/>
        <w:tblLook w:firstColumn="1" w:firstRow="1" w:lastColumn="0" w:lastRow="0" w:noHBand="0" w:noVBand="1" w:val="04A0"/>
      </w:tblPr>
      <w:tblGrid>
        <w:gridCol w:w="11520"/>
        <w:gridCol w:w="2448"/>
      </w:tblGrid>
      <w:tr>
        <w:tc>
          <w:tcPr>
            <w:tcW w:type="dxa" w:w="7128"/>
            <w:shd w:fill="17324D"/>
            <w:tcMar>
              <w:top w:w="100" w:type="dxa"/>
              <w:start w:w="120" w:type="dxa"/>
              <w:bottom w:w="100" w:type="dxa"/>
              <w:end w:w="120" w:type="dxa"/>
            </w:tcMar>
          </w:tcPr>
          <w:p>
            <w:pPr>
              <w:spacing w:after="0"/>
            </w:pPr>
            <w:r>
              <w:rPr>
                <w:rFonts w:ascii="Arial" w:hAnsi="Arial"/>
                <w:b/>
                <w:color w:val="FFFFFF"/>
                <w:sz w:val="36"/>
              </w:rPr>
              <w:t>Terra Dotta ISSS</w:t>
            </w:r>
            <w:r>
              <w:rPr>
                <w:rFonts w:ascii="Arial" w:hAnsi="Arial"/>
                <w:color w:val="DCE6EC"/>
                <w:sz w:val="17"/>
              </w:rPr>
              <w:br/>
              <w:t>SPECIALIST • INTERNATIONAL / SEVIS</w:t>
            </w:r>
          </w:p>
        </w:tc>
        <w:tc>
          <w:tcPr>
            <w:tcW w:type="dxa" w:w="7128"/>
            <w:shd w:fill="A06B00"/>
            <w:tcMar>
              <w:top w:w="90" w:type="dxa"/>
              <w:start w:w="80" w:type="dxa"/>
              <w:bottom w:w="90" w:type="dxa"/>
              <w:end w:w="80" w:type="dxa"/>
            </w:tcMar>
            <w:vAlign w:val="center"/>
          </w:tcPr>
          <w:p>
            <w:pPr>
              <w:spacing w:after="0"/>
              <w:jc w:val="center"/>
            </w:pPr>
            <w:r>
              <w:rPr>
                <w:rFonts w:ascii="Arial" w:hAnsi="Arial"/>
                <w:b/>
                <w:color w:val="FFFFFF"/>
                <w:sz w:val="16"/>
              </w:rPr>
              <w:t>HIGH IN ISSS</w:t>
            </w:r>
          </w:p>
        </w:tc>
      </w:tr>
    </w:tbl>
    <w:tbl>
      <w:tblPr>
        <w:tblW w:type="auto" w:w="0"/>
        <w:tblLayout w:type="fixed"/>
        <w:tblLook w:firstColumn="1" w:firstRow="1" w:lastColumn="0" w:lastRow="0" w:noHBand="0" w:noVBand="1" w:val="04A0"/>
      </w:tblPr>
      <w:tblGrid>
        <w:gridCol w:w="6840"/>
        <w:gridCol w:w="6840"/>
      </w:tblGrid>
      <w:tr>
        <w:tc>
          <w:tcPr>
            <w:tcW w:type="dxa" w:w="7128"/>
            <w:shd w:fill="F5F8FA"/>
            <w:tcMar>
              <w:top w:w="90" w:type="dxa"/>
              <w:start w:w="110" w:type="dxa"/>
              <w:bottom w:w="90" w:type="dxa"/>
              <w:end w:w="110" w:type="dxa"/>
            </w:tcMar>
          </w:tcPr>
          <w:p>
            <w:pPr>
              <w:spacing w:after="20"/>
            </w:pPr>
            <w:r>
              <w:rPr>
                <w:rFonts w:ascii="Arial" w:hAnsi="Arial"/>
                <w:b/>
                <w:color w:val="0E8A8A"/>
                <w:sz w:val="15"/>
              </w:rPr>
              <w:t>LIKELY BUYERS</w:t>
            </w:r>
            <w:r>
              <w:rPr>
                <w:rFonts w:ascii="Arial" w:hAnsi="Arial"/>
                <w:color w:val="1B2733"/>
                <w:sz w:val="16"/>
              </w:rPr>
              <w:br/>
              <w:t>International Student &amp; Scholar Services; DSO/PDSO; Global Engagement; CIO</w:t>
            </w:r>
          </w:p>
        </w:tc>
        <w:tc>
          <w:tcPr>
            <w:tcW w:type="dxa" w:w="7128"/>
            <w:shd w:fill="F5F8FA"/>
            <w:tcMar>
              <w:top w:w="90" w:type="dxa"/>
              <w:start w:w="110" w:type="dxa"/>
              <w:bottom w:w="90" w:type="dxa"/>
              <w:end w:w="110" w:type="dxa"/>
            </w:tcMar>
          </w:tcPr>
          <w:p>
            <w:pPr>
              <w:spacing w:after="20"/>
            </w:pPr>
            <w:r>
              <w:rPr>
                <w:rFonts w:ascii="Arial" w:hAnsi="Arial"/>
                <w:b/>
                <w:color w:val="0E8A8A"/>
                <w:sz w:val="15"/>
              </w:rPr>
              <w:t>WHEN THEY APPEAR</w:t>
            </w:r>
            <w:r>
              <w:rPr>
                <w:rFonts w:ascii="Arial" w:hAnsi="Arial"/>
                <w:color w:val="1B2733"/>
                <w:sz w:val="16"/>
              </w:rPr>
              <w:br/>
              <w:t>SEVIS compliance, international student/scholar case management, document workflows and visa lifecycle.</w:t>
            </w:r>
          </w:p>
        </w:tc>
      </w:tr>
    </w:tbl>
    <w:p>
      <w:pPr>
        <w:spacing w:after="0"/>
      </w:pPr>
    </w:p>
    <w:tbl>
      <w:tblPr>
        <w:tblW w:type="auto" w:w="0"/>
        <w:tblLayout w:type="fixed"/>
        <w:tblLook w:firstColumn="1" w:firstRow="1" w:lastColumn="0" w:lastRow="0" w:noHBand="0" w:noVBand="1" w:val="04A0"/>
      </w:tblPr>
      <w:tblGrid>
        <w:gridCol w:w="6840"/>
        <w:gridCol w:w="6840"/>
      </w:tblGrid>
      <w:tr>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WHY THEY ARE CREDIBLE</w:t>
                  </w:r>
                </w:p>
              </w:tc>
            </w:tr>
          </w:tbl>
          <w:p/>
          <w:p>
            <w:pPr>
              <w:pStyle w:val="CardBody"/>
              <w:spacing w:after="32"/>
              <w:ind w:left="173" w:hanging="144"/>
            </w:pPr>
            <w:r>
              <w:rPr>
                <w:b/>
              </w:rPr>
              <w:t xml:space="preserve">• </w:t>
            </w:r>
            <w:r>
              <w:t>Deep specialist positioning around international student and scholar services.</w:t>
            </w:r>
          </w:p>
          <w:p>
            <w:pPr>
              <w:pStyle w:val="CardBody"/>
              <w:spacing w:after="32"/>
              <w:ind w:left="173" w:hanging="144"/>
            </w:pPr>
            <w:r>
              <w:rPr>
                <w:b/>
              </w:rPr>
              <w:t xml:space="preserve">• </w:t>
            </w:r>
            <w:r>
              <w:t>SEVIS batch/RTI workflows, records, document handling, reporting and scholar case management.</w:t>
            </w:r>
          </w:p>
          <w:p>
            <w:pPr>
              <w:pStyle w:val="CardBody"/>
              <w:spacing w:after="32"/>
              <w:ind w:left="173" w:hanging="144"/>
            </w:pPr>
            <w:r>
              <w:rPr>
                <w:b/>
              </w:rPr>
              <w:t xml:space="preserve">• </w:t>
            </w:r>
            <w:r>
              <w:t>Established international-education brand and focused user experience.</w:t>
            </w:r>
          </w:p>
        </w:tc>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DDEFF0"/>
                  <w:vAlign w:val="center"/>
                  <w:tcMar>
                    <w:top w:w="80" w:type="dxa"/>
                    <w:start w:w="100" w:type="dxa"/>
                    <w:bottom w:w="80" w:type="dxa"/>
                    <w:end w:w="100" w:type="dxa"/>
                  </w:tcMar>
                </w:tcPr>
                <w:p>
                  <w:pPr>
                    <w:spacing w:after="0"/>
                    <w:jc w:val="left"/>
                  </w:pPr>
                  <w:r/>
                  <w:r>
                    <w:rPr>
                      <w:rFonts w:ascii="Arial" w:hAnsi="Arial"/>
                      <w:b/>
                      <w:color w:val="0E8A8A"/>
                      <w:sz w:val="16"/>
                    </w:rPr>
                    <w:t>SEATS COMPETITIVE WEDGE</w:t>
                  </w:r>
                </w:p>
              </w:tc>
            </w:tr>
          </w:tbl>
          <w:p/>
          <w:p>
            <w:pPr>
              <w:pStyle w:val="CardBody"/>
              <w:spacing w:after="32"/>
              <w:ind w:left="173" w:hanging="144"/>
            </w:pPr>
            <w:r>
              <w:rPr>
                <w:b/>
              </w:rPr>
              <w:t xml:space="preserve">• </w:t>
            </w:r>
            <w:r>
              <w:t>Position SEVIS/compliance as one connected part of a wider student operational record.</w:t>
            </w:r>
          </w:p>
          <w:p>
            <w:pPr>
              <w:pStyle w:val="CardBody"/>
              <w:spacing w:after="32"/>
              <w:ind w:left="173" w:hanging="144"/>
            </w:pPr>
            <w:r>
              <w:rPr>
                <w:b/>
              </w:rPr>
              <w:t xml:space="preserve">• </w:t>
            </w:r>
            <w:r>
              <w:t>Connect compliance evidence to actual attendance/engagement and case management.</w:t>
            </w:r>
          </w:p>
          <w:p>
            <w:pPr>
              <w:pStyle w:val="CardBody"/>
              <w:spacing w:after="32"/>
              <w:ind w:left="173" w:hanging="144"/>
            </w:pPr>
            <w:r>
              <w:rPr>
                <w:b/>
              </w:rPr>
              <w:t xml:space="preserve">• </w:t>
            </w:r>
            <w:r>
              <w:t>Create consolidation value if Student Success, Registrar or Attendance teams also have active needs.</w:t>
            </w:r>
          </w:p>
        </w:tc>
      </w:tr>
    </w:tbl>
    <w:p>
      <w:pPr>
        <w:spacing w:after="0"/>
      </w:pPr>
    </w:p>
    <w:tbl>
      <w:tblPr>
        <w:tblW w:type="auto" w:w="0"/>
        <w:tblLook w:firstColumn="1" w:firstRow="1" w:lastColumn="0" w:lastRow="0" w:noHBand="0" w:noVBand="1" w:val="04A0"/>
      </w:tblPr>
      <w:tblGrid>
        <w:gridCol w:w="14256"/>
      </w:tblGrid>
      <w:tr>
        <w:tc>
          <w:tcPr>
            <w:tcW w:type="dxa" w:w="14256"/>
            <w:shd w:fill="EAF1F5"/>
            <w:tcMar>
              <w:top w:w="90" w:type="dxa"/>
              <w:start w:w="130" w:type="dxa"/>
              <w:bottom w:w="90" w:type="dxa"/>
              <w:end w:w="130" w:type="dxa"/>
            </w:tcMar>
          </w:tcPr>
          <w:p>
            <w:r>
              <w:rPr>
                <w:b/>
                <w:color w:val="17324D"/>
                <w:sz w:val="16"/>
              </w:rPr>
              <w:t xml:space="preserve">CORE TALK TRACK  </w:t>
            </w:r>
            <w:r>
              <w:rPr>
                <w:i/>
                <w:color w:val="1B2733"/>
                <w:sz w:val="18"/>
              </w:rPr>
              <w:t>“Terra Dotta is a specialist ISSS platform. SEAtS becomes strategically different when the institution wants compliance tied directly to attendance, engagement and the broader student operating model instead of remaining a standalone international-office system.”</w:t>
            </w:r>
          </w:p>
        </w:tc>
      </w:tr>
    </w:tbl>
    <w:p>
      <w:pPr>
        <w:spacing w:after="0"/>
      </w:pPr>
    </w:p>
    <w:tbl>
      <w:tblPr>
        <w:tblW w:type="auto" w:w="0"/>
        <w:tblLayout w:type="fixed"/>
        <w:tblLook w:firstColumn="1" w:firstRow="1" w:lastColumn="0" w:lastRow="0" w:noHBand="0" w:noVBand="1" w:val="04A0"/>
      </w:tblPr>
      <w:tblGrid>
        <w:gridCol w:w="6840"/>
        <w:gridCol w:w="6840"/>
      </w:tblGrid>
      <w:tr>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DISCOVERY QUESTIONS</w:t>
                  </w:r>
                </w:p>
              </w:tc>
            </w:tr>
          </w:tbl>
          <w:p/>
          <w:p>
            <w:pPr>
              <w:pStyle w:val="CardBody"/>
              <w:spacing w:after="32"/>
              <w:ind w:left="173" w:hanging="144"/>
            </w:pPr>
            <w:r>
              <w:rPr>
                <w:b/>
              </w:rPr>
              <w:t xml:space="preserve">• </w:t>
            </w:r>
            <w:r>
              <w:t>Is ISSS modernization a standalone project or part of a broader student-operations program?</w:t>
            </w:r>
          </w:p>
          <w:p>
            <w:pPr>
              <w:pStyle w:val="CardBody"/>
              <w:spacing w:after="32"/>
              <w:ind w:left="173" w:hanging="144"/>
            </w:pPr>
            <w:r>
              <w:rPr>
                <w:b/>
              </w:rPr>
              <w:t xml:space="preserve">• </w:t>
            </w:r>
            <w:r>
              <w:t>How is attendance evidence gathered today for international students?</w:t>
            </w:r>
          </w:p>
          <w:p>
            <w:pPr>
              <w:pStyle w:val="CardBody"/>
              <w:spacing w:after="32"/>
              <w:ind w:left="173" w:hanging="144"/>
            </w:pPr>
            <w:r>
              <w:rPr>
                <w:b/>
              </w:rPr>
              <w:t xml:space="preserve">• </w:t>
            </w:r>
            <w:r>
              <w:t>How many handoffs exist between DSO staff, faculty, Student Success and the SIS?</w:t>
            </w:r>
          </w:p>
          <w:p>
            <w:pPr>
              <w:pStyle w:val="CardBody"/>
              <w:spacing w:after="32"/>
              <w:ind w:left="173" w:hanging="144"/>
            </w:pPr>
            <w:r>
              <w:rPr>
                <w:b/>
              </w:rPr>
              <w:t xml:space="preserve">• </w:t>
            </w:r>
            <w:r>
              <w:t>Would one record for compliance + attendance + case management reduce manual evidence gathering?</w:t>
            </w:r>
          </w:p>
        </w:tc>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FCEEEE"/>
                  <w:vAlign w:val="center"/>
                  <w:tcMar>
                    <w:top w:w="80" w:type="dxa"/>
                    <w:start w:w="100" w:type="dxa"/>
                    <w:bottom w:w="80" w:type="dxa"/>
                    <w:end w:w="100" w:type="dxa"/>
                  </w:tcMar>
                </w:tcPr>
                <w:p>
                  <w:pPr>
                    <w:spacing w:after="0"/>
                    <w:jc w:val="left"/>
                  </w:pPr>
                  <w:r/>
                  <w:r>
                    <w:rPr>
                      <w:rFonts w:ascii="Arial" w:hAnsi="Arial"/>
                      <w:b/>
                      <w:color w:val="B44343"/>
                      <w:sz w:val="16"/>
                    </w:rPr>
                    <w:t>SALES LANDMINES / PROOF DISCIPLINE</w:t>
                  </w:r>
                </w:p>
              </w:tc>
            </w:tr>
          </w:tbl>
          <w:p/>
          <w:p>
            <w:pPr>
              <w:pStyle w:val="CardBody"/>
              <w:spacing w:after="32"/>
              <w:ind w:left="173" w:hanging="144"/>
            </w:pPr>
            <w:r>
              <w:rPr>
                <w:b/>
              </w:rPr>
              <w:t xml:space="preserve">• </w:t>
            </w:r>
            <w:r>
              <w:t>Respect specialist depth; do not oversimplify immigration workflows.</w:t>
            </w:r>
          </w:p>
          <w:p>
            <w:pPr>
              <w:pStyle w:val="CardBody"/>
              <w:spacing w:after="32"/>
              <w:ind w:left="173" w:hanging="144"/>
            </w:pPr>
            <w:r>
              <w:rPr>
                <w:b/>
              </w:rPr>
              <w:t xml:space="preserve">• </w:t>
            </w:r>
            <w:r>
              <w:t>Require precise workflow-by-workflow fit validation for F/J scholar/student needs.</w:t>
            </w:r>
          </w:p>
          <w:p>
            <w:pPr>
              <w:pStyle w:val="CardBody"/>
              <w:spacing w:after="32"/>
              <w:ind w:left="173" w:hanging="144"/>
            </w:pPr>
            <w:r>
              <w:rPr>
                <w:b/>
              </w:rPr>
              <w:t xml:space="preserve">• </w:t>
            </w:r>
            <w:r>
              <w:t>Never make legal/compliance claims beyond demonstrated product capability.</w:t>
            </w:r>
          </w:p>
        </w:tc>
      </w:tr>
    </w:tbl>
    <w:tbl>
      <w:tblPr>
        <w:tblW w:type="auto" w:w="0"/>
        <w:tblLayout w:type="fixed"/>
        <w:tblLook w:firstColumn="1" w:firstRow="1" w:lastColumn="0" w:lastRow="0" w:noHBand="0" w:noVBand="1" w:val="04A0"/>
      </w:tblPr>
      <w:tblGrid>
        <w:gridCol w:w="6840"/>
        <w:gridCol w:w="6840"/>
      </w:tblGrid>
      <w:tr>
        <w:tc>
          <w:tcPr>
            <w:tcW w:type="dxa" w:w="7128"/>
            <w:shd w:fill="E6F3EA"/>
            <w:tcMar>
              <w:top w:w="70" w:type="dxa"/>
              <w:start w:w="110" w:type="dxa"/>
              <w:bottom w:w="70" w:type="dxa"/>
              <w:end w:w="110" w:type="dxa"/>
            </w:tcMar>
          </w:tcPr>
          <w:p>
            <w:r>
              <w:rPr>
                <w:b/>
                <w:color w:val="2D7A4B"/>
                <w:sz w:val="15"/>
              </w:rPr>
              <w:t xml:space="preserve">WIN SIGNALS  </w:t>
            </w:r>
            <w:r>
              <w:rPr>
                <w:color w:val="1B2733"/>
                <w:sz w:val="16"/>
              </w:rPr>
              <w:t>Cross-campus compliance + attendance program; desire to reduce handoffs and duplicate systems.</w:t>
            </w:r>
          </w:p>
        </w:tc>
        <w:tc>
          <w:tcPr>
            <w:tcW w:type="dxa" w:w="7128"/>
            <w:shd w:fill="F8E8C8"/>
            <w:tcMar>
              <w:top w:w="70" w:type="dxa"/>
              <w:start w:w="110" w:type="dxa"/>
              <w:bottom w:w="70" w:type="dxa"/>
              <w:end w:w="110" w:type="dxa"/>
            </w:tcMar>
          </w:tcPr>
          <w:p>
            <w:r>
              <w:rPr>
                <w:b/>
                <w:color w:val="A06B00"/>
                <w:sz w:val="15"/>
              </w:rPr>
              <w:t xml:space="preserve">LOSS / RISK SIGNALS  </w:t>
            </w:r>
            <w:r>
              <w:rPr>
                <w:color w:val="1B2733"/>
                <w:sz w:val="16"/>
              </w:rPr>
              <w:t>ISSS-only procurement prioritizing specialist depth and existing Terra Dotta processes.</w:t>
            </w:r>
          </w:p>
        </w:tc>
      </w:tr>
    </w:tbl>
    <w:p>
      <w:pPr>
        <w:pStyle w:val="Tiny"/>
        <w:spacing w:before="40"/>
      </w:pPr>
      <w:r>
        <w:rPr>
          <w:b/>
        </w:rPr>
        <w:t xml:space="preserve">Verified sources: </w:t>
      </w:r>
      <w:hyperlink r:id="rId24">
        <w:r>
          <w:rPr>
            <w:color w:val="0563C1"/>
            <w:u w:val="single"/>
            <w:sz w:val="14"/>
          </w:rPr>
          <w:t>Terra Dotta ISSS</w:t>
        </w:r>
      </w:hyperlink>
      <w:r>
        <w:t xml:space="preserve">  •  </w:t>
      </w:r>
      <w:hyperlink r:id="rId25">
        <w:r>
          <w:rPr>
            <w:color w:val="0563C1"/>
            <w:u w:val="single"/>
            <w:sz w:val="14"/>
          </w:rPr>
          <w:t>Terra Dotta ISSS support</w:t>
        </w:r>
      </w:hyperlink>
    </w:p>
    <w:p>
      <w:r>
        <w:br w:type="page"/>
      </w:r>
    </w:p>
    <w:tbl>
      <w:tblPr>
        <w:tblW w:type="auto" w:w="0"/>
        <w:tblLayout w:type="fixed"/>
        <w:tblLook w:firstColumn="1" w:firstRow="1" w:lastColumn="0" w:lastRow="0" w:noHBand="0" w:noVBand="1" w:val="04A0"/>
      </w:tblPr>
      <w:tblGrid>
        <w:gridCol w:w="11520"/>
        <w:gridCol w:w="2448"/>
      </w:tblGrid>
      <w:tr>
        <w:tc>
          <w:tcPr>
            <w:tcW w:type="dxa" w:w="7128"/>
            <w:shd w:fill="17324D"/>
            <w:tcMar>
              <w:top w:w="100" w:type="dxa"/>
              <w:start w:w="120" w:type="dxa"/>
              <w:bottom w:w="100" w:type="dxa"/>
              <w:end w:w="120" w:type="dxa"/>
            </w:tcMar>
          </w:tcPr>
          <w:p>
            <w:pPr>
              <w:spacing w:after="0"/>
            </w:pPr>
            <w:r>
              <w:rPr>
                <w:rFonts w:ascii="Arial" w:hAnsi="Arial"/>
                <w:b/>
                <w:color w:val="FFFFFF"/>
                <w:sz w:val="36"/>
              </w:rPr>
              <w:t>sunapsis</w:t>
            </w:r>
            <w:r>
              <w:rPr>
                <w:rFonts w:ascii="Arial" w:hAnsi="Arial"/>
                <w:color w:val="DCE6EC"/>
                <w:sz w:val="17"/>
              </w:rPr>
              <w:br/>
              <w:t>SPECIALIST • INTERNATIONAL / SEVIS</w:t>
            </w:r>
          </w:p>
        </w:tc>
        <w:tc>
          <w:tcPr>
            <w:tcW w:type="dxa" w:w="7128"/>
            <w:shd w:fill="A06B00"/>
            <w:tcMar>
              <w:top w:w="90" w:type="dxa"/>
              <w:start w:w="80" w:type="dxa"/>
              <w:bottom w:w="90" w:type="dxa"/>
              <w:end w:w="80" w:type="dxa"/>
            </w:tcMar>
            <w:vAlign w:val="center"/>
          </w:tcPr>
          <w:p>
            <w:pPr>
              <w:spacing w:after="0"/>
              <w:jc w:val="center"/>
            </w:pPr>
            <w:r>
              <w:rPr>
                <w:rFonts w:ascii="Arial" w:hAnsi="Arial"/>
                <w:b/>
                <w:color w:val="FFFFFF"/>
                <w:sz w:val="16"/>
              </w:rPr>
              <w:t>HIGH IN ISSS</w:t>
            </w:r>
          </w:p>
        </w:tc>
      </w:tr>
    </w:tbl>
    <w:tbl>
      <w:tblPr>
        <w:tblW w:type="auto" w:w="0"/>
        <w:tblLayout w:type="fixed"/>
        <w:tblLook w:firstColumn="1" w:firstRow="1" w:lastColumn="0" w:lastRow="0" w:noHBand="0" w:noVBand="1" w:val="04A0"/>
      </w:tblPr>
      <w:tblGrid>
        <w:gridCol w:w="6840"/>
        <w:gridCol w:w="6840"/>
      </w:tblGrid>
      <w:tr>
        <w:tc>
          <w:tcPr>
            <w:tcW w:type="dxa" w:w="7128"/>
            <w:shd w:fill="F5F8FA"/>
            <w:tcMar>
              <w:top w:w="90" w:type="dxa"/>
              <w:start w:w="110" w:type="dxa"/>
              <w:bottom w:w="90" w:type="dxa"/>
              <w:end w:w="110" w:type="dxa"/>
            </w:tcMar>
          </w:tcPr>
          <w:p>
            <w:pPr>
              <w:spacing w:after="20"/>
            </w:pPr>
            <w:r>
              <w:rPr>
                <w:rFonts w:ascii="Arial" w:hAnsi="Arial"/>
                <w:b/>
                <w:color w:val="0E8A8A"/>
                <w:sz w:val="15"/>
              </w:rPr>
              <w:t>LIKELY BUYERS</w:t>
            </w:r>
            <w:r>
              <w:rPr>
                <w:rFonts w:ascii="Arial" w:hAnsi="Arial"/>
                <w:color w:val="1B2733"/>
                <w:sz w:val="16"/>
              </w:rPr>
              <w:br/>
              <w:t>International Services; DSO/PDSO; Global Engagement; CIO</w:t>
            </w:r>
          </w:p>
        </w:tc>
        <w:tc>
          <w:tcPr>
            <w:tcW w:type="dxa" w:w="7128"/>
            <w:shd w:fill="F5F8FA"/>
            <w:tcMar>
              <w:top w:w="90" w:type="dxa"/>
              <w:start w:w="110" w:type="dxa"/>
              <w:bottom w:w="90" w:type="dxa"/>
              <w:end w:w="110" w:type="dxa"/>
            </w:tcMar>
          </w:tcPr>
          <w:p>
            <w:pPr>
              <w:spacing w:after="20"/>
            </w:pPr>
            <w:r>
              <w:rPr>
                <w:rFonts w:ascii="Arial" w:hAnsi="Arial"/>
                <w:b/>
                <w:color w:val="0E8A8A"/>
                <w:sz w:val="15"/>
              </w:rPr>
              <w:t>WHEN THEY APPEAR</w:t>
            </w:r>
            <w:r>
              <w:rPr>
                <w:rFonts w:ascii="Arial" w:hAnsi="Arial"/>
                <w:color w:val="1B2733"/>
                <w:sz w:val="16"/>
              </w:rPr>
              <w:br/>
              <w:t>International student/scholar case management, SEVIS integration and compliance operations.</w:t>
            </w:r>
          </w:p>
        </w:tc>
      </w:tr>
    </w:tbl>
    <w:p>
      <w:pPr>
        <w:spacing w:after="0"/>
      </w:pPr>
    </w:p>
    <w:tbl>
      <w:tblPr>
        <w:tblW w:type="auto" w:w="0"/>
        <w:tblLayout w:type="fixed"/>
        <w:tblLook w:firstColumn="1" w:firstRow="1" w:lastColumn="0" w:lastRow="0" w:noHBand="0" w:noVBand="1" w:val="04A0"/>
      </w:tblPr>
      <w:tblGrid>
        <w:gridCol w:w="6840"/>
        <w:gridCol w:w="6840"/>
      </w:tblGrid>
      <w:tr>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WHY THEY ARE CREDIBLE</w:t>
                  </w:r>
                </w:p>
              </w:tc>
            </w:tr>
          </w:tbl>
          <w:p/>
          <w:p>
            <w:pPr>
              <w:pStyle w:val="CardBody"/>
              <w:spacing w:after="32"/>
              <w:ind w:left="173" w:hanging="144"/>
            </w:pPr>
            <w:r>
              <w:rPr>
                <w:b/>
              </w:rPr>
              <w:t xml:space="preserve">• </w:t>
            </w:r>
            <w:r>
              <w:t>Very strong U.S. specialist footprint: sunapsis states 130+ clients serving over 50% of the U.S. international student population.</w:t>
            </w:r>
          </w:p>
          <w:p>
            <w:pPr>
              <w:pStyle w:val="CardBody"/>
              <w:spacing w:after="32"/>
              <w:ind w:left="173" w:hanging="144"/>
            </w:pPr>
            <w:r>
              <w:rPr>
                <w:b/>
              </w:rPr>
              <w:t xml:space="preserve">• </w:t>
            </w:r>
            <w:r>
              <w:t>Full SEVIS integration, e-forms, paperless processing, case tracking and compliance alerts.</w:t>
            </w:r>
          </w:p>
          <w:p>
            <w:pPr>
              <w:pStyle w:val="CardBody"/>
              <w:spacing w:after="32"/>
              <w:ind w:left="173" w:hanging="144"/>
            </w:pPr>
            <w:r>
              <w:rPr>
                <w:b/>
              </w:rPr>
              <w:t xml:space="preserve">• </w:t>
            </w:r>
            <w:r>
              <w:t>University-developed product with a focused international-services community.</w:t>
            </w:r>
          </w:p>
        </w:tc>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DDEFF0"/>
                  <w:vAlign w:val="center"/>
                  <w:tcMar>
                    <w:top w:w="80" w:type="dxa"/>
                    <w:start w:w="100" w:type="dxa"/>
                    <w:bottom w:w="80" w:type="dxa"/>
                    <w:end w:w="100" w:type="dxa"/>
                  </w:tcMar>
                </w:tcPr>
                <w:p>
                  <w:pPr>
                    <w:spacing w:after="0"/>
                    <w:jc w:val="left"/>
                  </w:pPr>
                  <w:r/>
                  <w:r>
                    <w:rPr>
                      <w:rFonts w:ascii="Arial" w:hAnsi="Arial"/>
                      <w:b/>
                      <w:color w:val="0E8A8A"/>
                      <w:sz w:val="16"/>
                    </w:rPr>
                    <w:t>SEATS COMPETITIVE WEDGE</w:t>
                  </w:r>
                </w:p>
              </w:tc>
            </w:tr>
          </w:tbl>
          <w:p/>
          <w:p>
            <w:pPr>
              <w:pStyle w:val="CardBody"/>
              <w:spacing w:after="32"/>
              <w:ind w:left="173" w:hanging="144"/>
            </w:pPr>
            <w:r>
              <w:rPr>
                <w:b/>
              </w:rPr>
              <w:t xml:space="preserve">• </w:t>
            </w:r>
            <w:r>
              <w:t>Do not try to out-specialize sunapsis on its home turf; expand the value equation.</w:t>
            </w:r>
          </w:p>
          <w:p>
            <w:pPr>
              <w:pStyle w:val="CardBody"/>
              <w:spacing w:after="32"/>
              <w:ind w:left="173" w:hanging="144"/>
            </w:pPr>
            <w:r>
              <w:rPr>
                <w:b/>
              </w:rPr>
              <w:t xml:space="preserve">• </w:t>
            </w:r>
            <w:r>
              <w:t>Connect SEVIS/compliance to attendance, engagement, student success and broader academic operations.</w:t>
            </w:r>
          </w:p>
          <w:p>
            <w:pPr>
              <w:pStyle w:val="CardBody"/>
              <w:spacing w:after="32"/>
              <w:ind w:left="173" w:hanging="144"/>
            </w:pPr>
            <w:r>
              <w:rPr>
                <w:b/>
              </w:rPr>
              <w:t xml:space="preserve">• </w:t>
            </w:r>
            <w:r>
              <w:t>Lead with institutional consolidation and shared workflows across International Services and other teams.</w:t>
            </w:r>
          </w:p>
        </w:tc>
      </w:tr>
    </w:tbl>
    <w:p>
      <w:pPr>
        <w:spacing w:after="0"/>
      </w:pPr>
    </w:p>
    <w:tbl>
      <w:tblPr>
        <w:tblW w:type="auto" w:w="0"/>
        <w:tblLook w:firstColumn="1" w:firstRow="1" w:lastColumn="0" w:lastRow="0" w:noHBand="0" w:noVBand="1" w:val="04A0"/>
      </w:tblPr>
      <w:tblGrid>
        <w:gridCol w:w="14256"/>
      </w:tblGrid>
      <w:tr>
        <w:tc>
          <w:tcPr>
            <w:tcW w:type="dxa" w:w="14256"/>
            <w:shd w:fill="EAF1F5"/>
            <w:tcMar>
              <w:top w:w="90" w:type="dxa"/>
              <w:start w:w="130" w:type="dxa"/>
              <w:bottom w:w="90" w:type="dxa"/>
              <w:end w:w="130" w:type="dxa"/>
            </w:tcMar>
          </w:tcPr>
          <w:p>
            <w:r>
              <w:rPr>
                <w:b/>
                <w:color w:val="17324D"/>
                <w:sz w:val="16"/>
              </w:rPr>
              <w:t xml:space="preserve">CORE TALK TRACK  </w:t>
            </w:r>
            <w:r>
              <w:rPr>
                <w:i/>
                <w:color w:val="1B2733"/>
                <w:sz w:val="18"/>
              </w:rPr>
              <w:t>“sunapsis is a formidable specialist in U.S. international services. The SEAtS opportunity is broader: connect compliance to the attendance and engagement evidence that creates risk, then route the same record through student-support and operational workflows.”</w:t>
            </w:r>
          </w:p>
        </w:tc>
      </w:tr>
    </w:tbl>
    <w:p>
      <w:pPr>
        <w:spacing w:after="0"/>
      </w:pPr>
    </w:p>
    <w:tbl>
      <w:tblPr>
        <w:tblW w:type="auto" w:w="0"/>
        <w:tblLayout w:type="fixed"/>
        <w:tblLook w:firstColumn="1" w:firstRow="1" w:lastColumn="0" w:lastRow="0" w:noHBand="0" w:noVBand="1" w:val="04A0"/>
      </w:tblPr>
      <w:tblGrid>
        <w:gridCol w:w="6840"/>
        <w:gridCol w:w="6840"/>
      </w:tblGrid>
      <w:tr>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DISCOVERY QUESTIONS</w:t>
                  </w:r>
                </w:p>
              </w:tc>
            </w:tr>
          </w:tbl>
          <w:p/>
          <w:p>
            <w:pPr>
              <w:pStyle w:val="CardBody"/>
              <w:spacing w:after="32"/>
              <w:ind w:left="173" w:hanging="144"/>
            </w:pPr>
            <w:r>
              <w:rPr>
                <w:b/>
              </w:rPr>
              <w:t xml:space="preserve">• </w:t>
            </w:r>
            <w:r>
              <w:t>Where does the international office obtain attendance and engagement evidence today?</w:t>
            </w:r>
          </w:p>
          <w:p>
            <w:pPr>
              <w:pStyle w:val="CardBody"/>
              <w:spacing w:after="32"/>
              <w:ind w:left="173" w:hanging="144"/>
            </w:pPr>
            <w:r>
              <w:rPr>
                <w:b/>
              </w:rPr>
              <w:t xml:space="preserve">• </w:t>
            </w:r>
            <w:r>
              <w:t>How much manual reconciliation occurs across SEVIS, SIS, LMS and attendance tools?</w:t>
            </w:r>
          </w:p>
          <w:p>
            <w:pPr>
              <w:pStyle w:val="CardBody"/>
              <w:spacing w:after="32"/>
              <w:ind w:left="173" w:hanging="144"/>
            </w:pPr>
            <w:r>
              <w:rPr>
                <w:b/>
              </w:rPr>
              <w:t xml:space="preserve">• </w:t>
            </w:r>
            <w:r>
              <w:t>Are Student Success and Registrar workflows part of the same transformation?</w:t>
            </w:r>
          </w:p>
          <w:p>
            <w:pPr>
              <w:pStyle w:val="CardBody"/>
              <w:spacing w:after="32"/>
              <w:ind w:left="173" w:hanging="144"/>
            </w:pPr>
            <w:r>
              <w:rPr>
                <w:b/>
              </w:rPr>
              <w:t xml:space="preserve">• </w:t>
            </w:r>
            <w:r>
              <w:t>Would the institution value one vendor across compliance plus broader student operations?</w:t>
            </w:r>
          </w:p>
        </w:tc>
        <w:tc>
          <w:tcPr>
            <w:tcW w:type="dxa" w:w="7128"/>
            <w:vAlign w:val="top"/>
            <w:tcMar>
              <w:top w:w="80" w:type="dxa"/>
              <w:start w:w="110" w:type="dxa"/>
              <w:bottom w:w="80" w:type="dxa"/>
              <w:end w:w="110" w:type="dxa"/>
            </w:tcMar>
          </w:tcPr>
          <w:p/>
          <w:tbl>
            <w:tblPr>
              <w:tblW w:type="auto" w:w="0"/>
              <w:jc w:val="center"/>
              <w:tblLook w:firstColumn="1" w:firstRow="1" w:lastColumn="0" w:lastRow="0" w:noHBand="0" w:noVBand="1" w:val="04A0"/>
            </w:tblPr>
            <w:tblGrid>
              <w:gridCol w:w="7128"/>
            </w:tblGrid>
            <w:tr>
              <w:tc>
                <w:tcPr>
                  <w:tcW w:type="dxa" w:w="7128"/>
                  <w:shd w:fill="FCEEEE"/>
                  <w:vAlign w:val="center"/>
                  <w:tcMar>
                    <w:top w:w="80" w:type="dxa"/>
                    <w:start w:w="100" w:type="dxa"/>
                    <w:bottom w:w="80" w:type="dxa"/>
                    <w:end w:w="100" w:type="dxa"/>
                  </w:tcMar>
                </w:tcPr>
                <w:p>
                  <w:pPr>
                    <w:spacing w:after="0"/>
                    <w:jc w:val="left"/>
                  </w:pPr>
                  <w:r/>
                  <w:r>
                    <w:rPr>
                      <w:rFonts w:ascii="Arial" w:hAnsi="Arial"/>
                      <w:b/>
                      <w:color w:val="B44343"/>
                      <w:sz w:val="16"/>
                    </w:rPr>
                    <w:t>SALES LANDMINES / PROOF DISCIPLINE</w:t>
                  </w:r>
                </w:p>
              </w:tc>
            </w:tr>
          </w:tbl>
          <w:p/>
          <w:p>
            <w:pPr>
              <w:pStyle w:val="CardBody"/>
              <w:spacing w:after="32"/>
              <w:ind w:left="173" w:hanging="144"/>
            </w:pPr>
            <w:r>
              <w:rPr>
                <w:b/>
              </w:rPr>
              <w:t xml:space="preserve">• </w:t>
            </w:r>
            <w:r>
              <w:t>Treat 130+ clients / 50% population as vendor-stated figures and cite the source.</w:t>
            </w:r>
          </w:p>
          <w:p>
            <w:pPr>
              <w:pStyle w:val="CardBody"/>
              <w:spacing w:after="32"/>
              <w:ind w:left="173" w:hanging="144"/>
            </w:pPr>
            <w:r>
              <w:rPr>
                <w:b/>
              </w:rPr>
              <w:t xml:space="preserve">• </w:t>
            </w:r>
            <w:r>
              <w:t>Do not challenge specialist credibility without reference evidence.</w:t>
            </w:r>
          </w:p>
          <w:p>
            <w:pPr>
              <w:pStyle w:val="CardBody"/>
              <w:spacing w:after="32"/>
              <w:ind w:left="173" w:hanging="144"/>
            </w:pPr>
            <w:r>
              <w:rPr>
                <w:b/>
              </w:rPr>
              <w:t xml:space="preserve">• </w:t>
            </w:r>
            <w:r>
              <w:t>Focus on cross-campus platform value and evidence flow.</w:t>
            </w:r>
          </w:p>
        </w:tc>
      </w:tr>
    </w:tbl>
    <w:tbl>
      <w:tblPr>
        <w:tblW w:type="auto" w:w="0"/>
        <w:tblLayout w:type="fixed"/>
        <w:tblLook w:firstColumn="1" w:firstRow="1" w:lastColumn="0" w:lastRow="0" w:noHBand="0" w:noVBand="1" w:val="04A0"/>
      </w:tblPr>
      <w:tblGrid>
        <w:gridCol w:w="6840"/>
        <w:gridCol w:w="6840"/>
      </w:tblGrid>
      <w:tr>
        <w:tc>
          <w:tcPr>
            <w:tcW w:type="dxa" w:w="7128"/>
            <w:shd w:fill="E6F3EA"/>
            <w:tcMar>
              <w:top w:w="70" w:type="dxa"/>
              <w:start w:w="110" w:type="dxa"/>
              <w:bottom w:w="70" w:type="dxa"/>
              <w:end w:w="110" w:type="dxa"/>
            </w:tcMar>
          </w:tcPr>
          <w:p>
            <w:r>
              <w:rPr>
                <w:b/>
                <w:color w:val="2D7A4B"/>
                <w:sz w:val="15"/>
              </w:rPr>
              <w:t xml:space="preserve">WIN SIGNALS  </w:t>
            </w:r>
            <w:r>
              <w:rPr>
                <w:color w:val="1B2733"/>
                <w:sz w:val="16"/>
              </w:rPr>
              <w:t>Attendance/compliance linkage is critical; institution wants multi-department platform consolidation.</w:t>
            </w:r>
          </w:p>
        </w:tc>
        <w:tc>
          <w:tcPr>
            <w:tcW w:type="dxa" w:w="7128"/>
            <w:shd w:fill="F8E8C8"/>
            <w:tcMar>
              <w:top w:w="70" w:type="dxa"/>
              <w:start w:w="110" w:type="dxa"/>
              <w:bottom w:w="70" w:type="dxa"/>
              <w:end w:w="110" w:type="dxa"/>
            </w:tcMar>
          </w:tcPr>
          <w:p>
            <w:r>
              <w:rPr>
                <w:b/>
                <w:color w:val="A06B00"/>
                <w:sz w:val="15"/>
              </w:rPr>
              <w:t xml:space="preserve">LOSS / RISK SIGNALS  </w:t>
            </w:r>
            <w:r>
              <w:rPr>
                <w:color w:val="1B2733"/>
                <w:sz w:val="16"/>
              </w:rPr>
              <w:t>Standalone ISSS replacement where deep specialist workflow and installed-base references dominate.</w:t>
            </w:r>
          </w:p>
        </w:tc>
      </w:tr>
    </w:tbl>
    <w:p>
      <w:pPr>
        <w:pStyle w:val="Tiny"/>
        <w:spacing w:before="40"/>
      </w:pPr>
      <w:r>
        <w:rPr>
          <w:b/>
        </w:rPr>
        <w:t xml:space="preserve">Verified sources: </w:t>
      </w:r>
      <w:hyperlink r:id="rId26">
        <w:r>
          <w:rPr>
            <w:color w:val="0563C1"/>
            <w:u w:val="single"/>
            <w:sz w:val="14"/>
          </w:rPr>
          <w:t>sunapsis overview</w:t>
        </w:r>
      </w:hyperlink>
      <w:r>
        <w:t xml:space="preserve">  •  </w:t>
      </w:r>
      <w:hyperlink r:id="rId27">
        <w:r>
          <w:rPr>
            <w:color w:val="0563C1"/>
            <w:u w:val="single"/>
            <w:sz w:val="14"/>
          </w:rPr>
          <w:t>sunapsis features</w:t>
        </w:r>
      </w:hyperlink>
      <w:r>
        <w:t xml:space="preserve">  •  </w:t>
      </w:r>
      <w:hyperlink r:id="rId28">
        <w:r>
          <w:rPr>
            <w:color w:val="0563C1"/>
            <w:u w:val="single"/>
            <w:sz w:val="14"/>
          </w:rPr>
          <w:t>sunapsis clients</w:t>
        </w:r>
      </w:hyperlink>
    </w:p>
    <w:p>
      <w:r>
        <w:br w:type="page"/>
      </w:r>
    </w:p>
    <w:tbl>
      <w:tblPr>
        <w:tblW w:type="auto" w:w="0"/>
        <w:tblLayout w:type="fixed"/>
        <w:tblLook w:firstColumn="1" w:firstRow="1" w:lastColumn="0" w:lastRow="0" w:noHBand="0" w:noVBand="1" w:val="04A0"/>
      </w:tblPr>
      <w:tblGrid>
        <w:gridCol w:w="11520"/>
        <w:gridCol w:w="2448"/>
      </w:tblGrid>
      <w:tr>
        <w:tc>
          <w:tcPr>
            <w:tcW w:type="dxa" w:w="7128"/>
            <w:shd w:fill="17324D"/>
            <w:tcMar>
              <w:top w:w="100" w:type="dxa"/>
              <w:start w:w="120" w:type="dxa"/>
              <w:bottom w:w="100" w:type="dxa"/>
              <w:end w:w="120" w:type="dxa"/>
            </w:tcMar>
          </w:tcPr>
          <w:p>
            <w:pPr>
              <w:spacing w:after="0"/>
            </w:pPr>
            <w:r>
              <w:rPr>
                <w:rFonts w:ascii="Arial" w:hAnsi="Arial"/>
                <w:b/>
                <w:color w:val="FFFFFF"/>
                <w:sz w:val="36"/>
              </w:rPr>
              <w:t>SEAtS U.S. Competitive Positioning</w:t>
            </w:r>
            <w:r>
              <w:rPr>
                <w:rFonts w:ascii="Arial" w:hAnsi="Arial"/>
                <w:color w:val="DCE6EC"/>
                <w:sz w:val="17"/>
              </w:rPr>
              <w:br/>
              <w:t>Use this when multiple competitors appear in the same account.</w:t>
            </w:r>
          </w:p>
        </w:tc>
        <w:tc>
          <w:tcPr>
            <w:tcW w:type="dxa" w:w="7128"/>
            <w:shd w:fill="0E8A8A"/>
            <w:tcMar>
              <w:top w:w="90" w:type="dxa"/>
              <w:start w:w="80" w:type="dxa"/>
              <w:bottom w:w="90" w:type="dxa"/>
              <w:end w:w="80" w:type="dxa"/>
            </w:tcMar>
            <w:vAlign w:val="center"/>
          </w:tcPr>
          <w:p>
            <w:pPr>
              <w:spacing w:after="0"/>
              <w:jc w:val="center"/>
            </w:pPr>
            <w:r>
              <w:rPr>
                <w:rFonts w:ascii="Arial" w:hAnsi="Arial"/>
                <w:b/>
                <w:color w:val="FFFFFF"/>
                <w:sz w:val="16"/>
              </w:rPr>
              <w:t>CHEAT SHEET</w:t>
            </w:r>
          </w:p>
        </w:tc>
      </w:tr>
    </w:tbl>
    <w:tbl>
      <w:tblPr>
        <w:tblW w:type="auto" w:w="0"/>
        <w:tblLayout w:type="fixed"/>
        <w:tblLook w:firstColumn="1" w:firstRow="1" w:lastColumn="0" w:lastRow="0" w:noHBand="0" w:noVBand="1" w:val="04A0"/>
      </w:tblPr>
      <w:tblGrid>
        <w:gridCol w:w="4464"/>
        <w:gridCol w:w="4464"/>
        <w:gridCol w:w="4464"/>
      </w:tblGrid>
      <w:tr>
        <w:tc>
          <w:tcPr>
            <w:tcW w:type="dxa" w:w="4752"/>
            <w:shd w:fill="EAF1F5"/>
            <w:tcMar>
              <w:top w:w="140" w:type="dxa"/>
              <w:start w:w="140" w:type="dxa"/>
              <w:bottom w:w="140" w:type="dxa"/>
              <w:end w:w="140" w:type="dxa"/>
            </w:tcMar>
          </w:tcPr>
          <w:p>
            <w:r>
              <w:rPr>
                <w:b/>
                <w:color w:val="0E8A8A"/>
                <w:sz w:val="16"/>
              </w:rPr>
              <w:t>IF THE DEAL IS ABOUT…</w:t>
            </w:r>
          </w:p>
          <w:p>
            <w:pPr>
              <w:pStyle w:val="CardBody"/>
            </w:pPr>
            <w:r>
              <w:t>Student success / advising</w:t>
              <w:br/>
              <w:br/>
              <w:t>Lead competitor: Navigate360</w:t>
              <w:br/>
              <w:t>Also expect: Watermark, Civitas, Ellucian, Achieve, Salesforce</w:t>
            </w:r>
          </w:p>
        </w:tc>
        <w:tc>
          <w:tcPr>
            <w:tcW w:type="dxa" w:w="4752"/>
            <w:shd w:fill="EAF1F5"/>
            <w:tcMar>
              <w:top w:w="140" w:type="dxa"/>
              <w:start w:w="140" w:type="dxa"/>
              <w:bottom w:w="140" w:type="dxa"/>
              <w:end w:w="140" w:type="dxa"/>
            </w:tcMar>
          </w:tcPr>
          <w:p>
            <w:r>
              <w:rPr>
                <w:b/>
                <w:color w:val="0E8A8A"/>
                <w:sz w:val="16"/>
              </w:rPr>
              <w:t>IF THE DEAL IS ABOUT…</w:t>
            </w:r>
          </w:p>
          <w:p>
            <w:pPr>
              <w:pStyle w:val="CardBody"/>
            </w:pPr>
            <w:r>
              <w:t>Scheduling / space / operations</w:t>
              <w:br/>
              <w:br/>
              <w:t>Lead competitor: Series25</w:t>
              <w:br/>
              <w:t>Also expect: Degree Analytics and incumbent point tools</w:t>
            </w:r>
          </w:p>
        </w:tc>
        <w:tc>
          <w:tcPr>
            <w:tcW w:type="dxa" w:w="4752"/>
            <w:shd w:fill="DDEFF0"/>
            <w:tcMar>
              <w:top w:w="140" w:type="dxa"/>
              <w:start w:w="140" w:type="dxa"/>
              <w:bottom w:w="140" w:type="dxa"/>
              <w:end w:w="140" w:type="dxa"/>
            </w:tcMar>
          </w:tcPr>
          <w:p>
            <w:r>
              <w:rPr>
                <w:b/>
                <w:color w:val="0E8A8A"/>
                <w:sz w:val="16"/>
              </w:rPr>
              <w:t>IF THE DEAL IS ABOUT…</w:t>
            </w:r>
          </w:p>
          <w:p>
            <w:pPr>
              <w:pStyle w:val="CardBody"/>
            </w:pPr>
            <w:r>
              <w:t>International compliance</w:t>
              <w:br/>
              <w:br/>
              <w:t>Lead competitors: sunapsis, Terra Dotta</w:t>
              <w:br/>
              <w:t>SEAtS wedge: connect compliance to attendance + broader student operations</w:t>
            </w:r>
          </w:p>
        </w:tc>
      </w:tr>
    </w:tbl>
    <w:p/>
    <w:tbl>
      <w:tblPr>
        <w:tblW w:type="auto" w:w="0"/>
        <w:tblLayout w:type="fixed"/>
        <w:tblLook w:firstColumn="1" w:firstRow="1" w:lastColumn="0" w:lastRow="0" w:noHBand="0" w:noVBand="1" w:val="04A0"/>
      </w:tblPr>
      <w:tblGrid>
        <w:gridCol w:w="6768"/>
        <w:gridCol w:w="6768"/>
      </w:tblGrid>
      <w:tr>
        <w:tc>
          <w:tcPr>
            <w:tcW w:type="dxa" w:w="7128"/>
            <w:tcMar>
              <w:top w:w="100" w:type="dxa"/>
              <w:start w:w="120" w:type="dxa"/>
              <w:bottom w:w="100" w:type="dxa"/>
              <w:end w:w="120" w:type="dxa"/>
            </w:tcMar>
          </w:tcPr>
          <w:p/>
          <w:tbl>
            <w:tblPr>
              <w:tblW w:type="auto" w:w="0"/>
              <w:jc w:val="center"/>
              <w:tblLook w:firstColumn="1" w:firstRow="1" w:lastColumn="0" w:lastRow="0" w:noHBand="0" w:noVBand="1" w:val="04A0"/>
            </w:tblPr>
            <w:tblGrid>
              <w:gridCol w:w="7128"/>
            </w:tblGrid>
            <w:tr>
              <w:tc>
                <w:tcPr>
                  <w:tcW w:type="dxa" w:w="7128"/>
                  <w:shd w:fill="EAF1F5"/>
                  <w:vAlign w:val="center"/>
                  <w:tcMar>
                    <w:top w:w="80" w:type="dxa"/>
                    <w:start w:w="100" w:type="dxa"/>
                    <w:bottom w:w="80" w:type="dxa"/>
                    <w:end w:w="100" w:type="dxa"/>
                  </w:tcMar>
                </w:tcPr>
                <w:p>
                  <w:pPr>
                    <w:spacing w:after="0"/>
                    <w:jc w:val="left"/>
                  </w:pPr>
                  <w:r/>
                  <w:r>
                    <w:rPr>
                      <w:rFonts w:ascii="Arial" w:hAnsi="Arial"/>
                      <w:b/>
                      <w:color w:val="17324D"/>
                      <w:sz w:val="16"/>
                    </w:rPr>
                    <w:t>THE 5 QUESTIONS TO ASK EARLY</w:t>
                  </w:r>
                </w:p>
              </w:tc>
            </w:tr>
          </w:tbl>
          <w:p/>
          <w:p>
            <w:pPr>
              <w:pStyle w:val="CardBody"/>
              <w:spacing w:after="32"/>
              <w:ind w:left="173" w:hanging="144"/>
            </w:pPr>
            <w:r>
              <w:rPr>
                <w:b/>
              </w:rPr>
              <w:t xml:space="preserve">• </w:t>
            </w:r>
            <w:r>
              <w:t>What business outcome triggered the project?</w:t>
            </w:r>
          </w:p>
          <w:p>
            <w:pPr>
              <w:pStyle w:val="CardBody"/>
              <w:spacing w:after="32"/>
              <w:ind w:left="173" w:hanging="144"/>
            </w:pPr>
            <w:r>
              <w:rPr>
                <w:b/>
              </w:rPr>
              <w:t xml:space="preserve">• </w:t>
            </w:r>
            <w:r>
              <w:t>Which departments and systems are genuinely in scope?</w:t>
            </w:r>
          </w:p>
          <w:p>
            <w:pPr>
              <w:pStyle w:val="CardBody"/>
              <w:spacing w:after="32"/>
              <w:ind w:left="173" w:hanging="144"/>
            </w:pPr>
            <w:r>
              <w:rPr>
                <w:b/>
              </w:rPr>
              <w:t xml:space="preserve">• </w:t>
            </w:r>
            <w:r>
              <w:t>How is attendance captured and acted on today?</w:t>
            </w:r>
          </w:p>
          <w:p>
            <w:pPr>
              <w:pStyle w:val="CardBody"/>
              <w:spacing w:after="32"/>
              <w:ind w:left="173" w:hanging="144"/>
            </w:pPr>
            <w:r>
              <w:rPr>
                <w:b/>
              </w:rPr>
              <w:t xml:space="preserve">• </w:t>
            </w:r>
            <w:r>
              <w:t>Is SEVIS/compliance or scheduling/space part of the roadmap?</w:t>
            </w:r>
          </w:p>
          <w:p>
            <w:pPr>
              <w:pStyle w:val="CardBody"/>
              <w:spacing w:after="32"/>
              <w:ind w:left="173" w:hanging="144"/>
            </w:pPr>
            <w:r>
              <w:rPr>
                <w:b/>
              </w:rPr>
              <w:t xml:space="preserve">• </w:t>
            </w:r>
            <w:r>
              <w:t>What systems could be retired if the platform succeeds?</w:t>
            </w:r>
          </w:p>
        </w:tc>
        <w:tc>
          <w:tcPr>
            <w:tcW w:type="dxa" w:w="7128"/>
            <w:tcMar>
              <w:top w:w="100" w:type="dxa"/>
              <w:start w:w="120" w:type="dxa"/>
              <w:bottom w:w="100" w:type="dxa"/>
              <w:end w:w="120" w:type="dxa"/>
            </w:tcMar>
          </w:tcPr>
          <w:p/>
          <w:tbl>
            <w:tblPr>
              <w:tblW w:type="auto" w:w="0"/>
              <w:jc w:val="center"/>
              <w:tblLook w:firstColumn="1" w:firstRow="1" w:lastColumn="0" w:lastRow="0" w:noHBand="0" w:noVBand="1" w:val="04A0"/>
            </w:tblPr>
            <w:tblGrid>
              <w:gridCol w:w="7128"/>
            </w:tblGrid>
            <w:tr>
              <w:tc>
                <w:tcPr>
                  <w:tcW w:type="dxa" w:w="7128"/>
                  <w:shd w:fill="DDEFF0"/>
                  <w:vAlign w:val="center"/>
                  <w:tcMar>
                    <w:top w:w="80" w:type="dxa"/>
                    <w:start w:w="100" w:type="dxa"/>
                    <w:bottom w:w="80" w:type="dxa"/>
                    <w:end w:w="100" w:type="dxa"/>
                  </w:tcMar>
                </w:tcPr>
                <w:p>
                  <w:pPr>
                    <w:spacing w:after="0"/>
                    <w:jc w:val="left"/>
                  </w:pPr>
                  <w:r/>
                  <w:r>
                    <w:rPr>
                      <w:rFonts w:ascii="Arial" w:hAnsi="Arial"/>
                      <w:b/>
                      <w:color w:val="0E8A8A"/>
                      <w:sz w:val="16"/>
                    </w:rPr>
                    <w:t>THE 5 PROOF POINTS TO BUILD INTO EVERY DEMO</w:t>
                  </w:r>
                </w:p>
              </w:tc>
            </w:tr>
          </w:tbl>
          <w:p/>
          <w:p>
            <w:pPr>
              <w:pStyle w:val="CardBody"/>
              <w:spacing w:after="32"/>
              <w:ind w:left="173" w:hanging="144"/>
            </w:pPr>
            <w:r>
              <w:rPr>
                <w:b/>
              </w:rPr>
              <w:t xml:space="preserve">• </w:t>
            </w:r>
            <w:r>
              <w:t>One student record across operational domains.</w:t>
            </w:r>
          </w:p>
          <w:p>
            <w:pPr>
              <w:pStyle w:val="CardBody"/>
              <w:spacing w:after="32"/>
              <w:ind w:left="173" w:hanging="144"/>
            </w:pPr>
            <w:r>
              <w:rPr>
                <w:b/>
              </w:rPr>
              <w:t xml:space="preserve">• </w:t>
            </w:r>
            <w:r>
              <w:t>Real signal → automated action → human intervention.</w:t>
            </w:r>
          </w:p>
          <w:p>
            <w:pPr>
              <w:pStyle w:val="CardBody"/>
              <w:spacing w:after="32"/>
              <w:ind w:left="173" w:hanging="144"/>
            </w:pPr>
            <w:r>
              <w:rPr>
                <w:b/>
              </w:rPr>
              <w:t xml:space="preserve">• </w:t>
            </w:r>
            <w:r>
              <w:t>Attendance/engagement evidence with exception handling.</w:t>
            </w:r>
          </w:p>
          <w:p>
            <w:pPr>
              <w:pStyle w:val="CardBody"/>
              <w:spacing w:after="32"/>
              <w:ind w:left="173" w:hanging="144"/>
            </w:pPr>
            <w:r>
              <w:rPr>
                <w:b/>
              </w:rPr>
              <w:t xml:space="preserve">• </w:t>
            </w:r>
            <w:r>
              <w:t>Integration architecture and data-latency transparency.</w:t>
            </w:r>
          </w:p>
          <w:p>
            <w:pPr>
              <w:pStyle w:val="CardBody"/>
              <w:spacing w:after="32"/>
              <w:ind w:left="173" w:hanging="144"/>
            </w:pPr>
            <w:r>
              <w:rPr>
                <w:b/>
              </w:rPr>
              <w:t xml:space="preserve">• </w:t>
            </w:r>
            <w:r>
              <w:t>Five-year consolidation/TCO model—not subscription price alone.</w:t>
            </w:r>
          </w:p>
        </w:tc>
      </w:tr>
    </w:tbl>
    <w:p/>
    <w:tbl>
      <w:tblPr>
        <w:tblW w:type="auto" w:w="0"/>
        <w:tblLook w:firstColumn="1" w:firstRow="1" w:lastColumn="0" w:lastRow="0" w:noHBand="0" w:noVBand="1" w:val="04A0"/>
      </w:tblPr>
      <w:tblGrid>
        <w:gridCol w:w="14256"/>
      </w:tblGrid>
      <w:tr>
        <w:tc>
          <w:tcPr>
            <w:tcW w:type="dxa" w:w="14256"/>
            <w:shd w:fill="FCEEEE"/>
            <w:tcMar>
              <w:top w:w="100" w:type="dxa"/>
              <w:start w:w="130" w:type="dxa"/>
              <w:bottom w:w="100" w:type="dxa"/>
              <w:end w:w="130" w:type="dxa"/>
            </w:tcMar>
          </w:tcPr>
          <w:p>
            <w:r>
              <w:rPr>
                <w:b/>
                <w:color w:val="B44343"/>
                <w:sz w:val="16"/>
              </w:rPr>
              <w:t xml:space="preserve">COMPETITIVE DISCIPLINE  </w:t>
            </w:r>
            <w:r>
              <w:rPr>
                <w:color w:val="1B2733"/>
                <w:sz w:val="17"/>
              </w:rPr>
              <w:t>Never score roadmap as delivered capability. Never quote competitor pricing without a current source. Mark vendor outcome/customer-count claims as vendor-stated. When evidence is unavailable, use “NO RELIABLE DATA.”</w:t>
            </w:r>
          </w:p>
        </w:tc>
      </w:tr>
    </w:tbl>
    <w:p>
      <w:pPr>
        <w:pStyle w:val="Tiny"/>
        <w:spacing w:before="40"/>
        <w:jc w:val="right"/>
      </w:pPr>
      <w:r>
        <w:t>Internal sales enablement • Updated 31 August 2026</w:t>
      </w:r>
    </w:p>
    <w:p>
      <w:r>
        <w:br w:type="page"/>
      </w:r>
    </w:p>
    <w:tbl>
      <w:tblPr>
        <w:tblW w:type="auto" w:w="0"/>
        <w:tblLayout w:type="fixed"/>
        <w:tblLook w:firstColumn="1" w:firstRow="1" w:lastColumn="0" w:lastRow="0" w:noHBand="0" w:noVBand="1" w:val="04A0"/>
      </w:tblPr>
      <w:tblGrid>
        <w:gridCol w:w="11520"/>
        <w:gridCol w:w="2448"/>
      </w:tblGrid>
      <w:tr>
        <w:tc>
          <w:tcPr>
            <w:tcW w:type="dxa" w:w="7128"/>
            <w:shd w:fill="17324D"/>
            <w:tcMar>
              <w:top w:w="100" w:type="dxa"/>
              <w:start w:w="120" w:type="dxa"/>
              <w:bottom w:w="100" w:type="dxa"/>
              <w:end w:w="120" w:type="dxa"/>
            </w:tcMar>
          </w:tcPr>
          <w:p>
            <w:pPr>
              <w:spacing w:after="0"/>
            </w:pPr>
            <w:r>
              <w:rPr>
                <w:rFonts w:ascii="Arial" w:hAnsi="Arial"/>
                <w:b/>
                <w:color w:val="FFFFFF"/>
                <w:sz w:val="36"/>
              </w:rPr>
              <w:t>Source Appendix</w:t>
            </w:r>
            <w:r>
              <w:rPr>
                <w:rFonts w:ascii="Arial" w:hAnsi="Arial"/>
                <w:color w:val="DCE6EC"/>
                <w:sz w:val="17"/>
              </w:rPr>
              <w:br/>
              <w:t>Public sources used to refresh the battlecards. Re-verify before high-stakes customer use.</w:t>
            </w:r>
          </w:p>
        </w:tc>
        <w:tc>
          <w:tcPr>
            <w:tcW w:type="dxa" w:w="7128"/>
            <w:shd w:fill="1F6E8C"/>
            <w:tcMar>
              <w:top w:w="90" w:type="dxa"/>
              <w:start w:w="80" w:type="dxa"/>
              <w:bottom w:w="90" w:type="dxa"/>
              <w:end w:w="80" w:type="dxa"/>
            </w:tcMar>
            <w:vAlign w:val="center"/>
          </w:tcPr>
          <w:p>
            <w:pPr>
              <w:spacing w:after="0"/>
              <w:jc w:val="center"/>
            </w:pPr>
            <w:r>
              <w:rPr>
                <w:rFonts w:ascii="Arial" w:hAnsi="Arial"/>
                <w:b/>
                <w:color w:val="FFFFFF"/>
                <w:sz w:val="16"/>
              </w:rPr>
              <w:t>SOURCES</w:t>
            </w:r>
          </w:p>
        </w:tc>
      </w:tr>
    </w:tbl>
    <w:tbl>
      <w:tblPr>
        <w:tblW w:type="auto" w:w="0"/>
        <w:jc w:val="center"/>
        <w:tblLayout w:type="fixed"/>
        <w:tblLook w:firstColumn="1" w:firstRow="1" w:lastColumn="0" w:lastRow="0" w:noHBand="0" w:noVBand="1" w:val="04A0"/>
      </w:tblPr>
      <w:tblGrid>
        <w:gridCol w:w="4896"/>
        <w:gridCol w:w="8640"/>
      </w:tblGrid>
      <w:tr>
        <w:trPr>
          <w:tblHeader w:val="true"/>
        </w:trPr>
        <w:tc>
          <w:tcPr>
            <w:tcW w:type="dxa" w:w="7128"/>
            <w:shd w:fill="17324D"/>
            <w:vAlign w:val="center"/>
            <w:tcMar>
              <w:top w:w="80" w:type="dxa"/>
              <w:start w:w="100" w:type="dxa"/>
              <w:bottom w:w="80" w:type="dxa"/>
              <w:end w:w="100" w:type="dxa"/>
            </w:tcMar>
          </w:tcPr>
          <w:p>
            <w:pPr>
              <w:spacing w:after="0"/>
              <w:jc w:val="left"/>
            </w:pPr>
            <w:r/>
            <w:r>
              <w:rPr>
                <w:rFonts w:ascii="Arial" w:hAnsi="Arial"/>
                <w:b/>
                <w:color w:val="FFFFFF"/>
                <w:sz w:val="16"/>
              </w:rPr>
              <w:t>Source</w:t>
            </w:r>
          </w:p>
        </w:tc>
        <w:tc>
          <w:tcPr>
            <w:tcW w:type="dxa" w:w="7128"/>
            <w:shd w:fill="17324D"/>
            <w:vAlign w:val="center"/>
            <w:tcMar>
              <w:top w:w="80" w:type="dxa"/>
              <w:start w:w="100" w:type="dxa"/>
              <w:bottom w:w="80" w:type="dxa"/>
              <w:end w:w="100" w:type="dxa"/>
            </w:tcMar>
          </w:tcPr>
          <w:p>
            <w:pPr>
              <w:spacing w:after="0"/>
              <w:jc w:val="left"/>
            </w:pPr>
            <w:r/>
            <w:r>
              <w:rPr>
                <w:rFonts w:ascii="Arial" w:hAnsi="Arial"/>
                <w:b/>
                <w:color w:val="FFFFFF"/>
                <w:sz w:val="16"/>
              </w:rPr>
              <w:t>Link</w:t>
            </w:r>
          </w:p>
        </w:tc>
      </w:tr>
      <w:tr>
        <w:tc>
          <w:tcPr>
            <w:tcW w:type="dxa" w:w="4896"/>
            <w:vAlign w:val="center"/>
            <w:tcMar>
              <w:top w:w="80" w:type="dxa"/>
              <w:start w:w="100" w:type="dxa"/>
              <w:bottom w:w="80" w:type="dxa"/>
              <w:end w:w="100" w:type="dxa"/>
            </w:tcMar>
          </w:tcPr>
          <w:p>
            <w:pPr>
              <w:spacing w:after="0"/>
              <w:jc w:val="left"/>
            </w:pPr>
            <w:r/>
            <w:r>
              <w:rPr>
                <w:rFonts w:ascii="Arial" w:hAnsi="Arial"/>
                <w:b w:val="0"/>
                <w:color w:val="1B2733"/>
                <w:sz w:val="15"/>
              </w:rPr>
              <w:t>SEAtS ONE platform</w:t>
            </w:r>
          </w:p>
        </w:tc>
        <w:tc>
          <w:tcPr>
            <w:tcW w:type="dxa" w:w="8640"/>
            <w:tcMar>
              <w:top w:w="70" w:type="dxa"/>
              <w:start w:w="100" w:type="dxa"/>
              <w:bottom w:w="70" w:type="dxa"/>
              <w:end w:w="100" w:type="dxa"/>
            </w:tcMar>
          </w:tcPr>
          <w:p>
            <w:pPr>
              <w:spacing w:after="0"/>
            </w:pPr>
            <w:r/>
            <w:hyperlink r:id="rId10">
              <w:r>
                <w:rPr>
                  <w:color w:val="0563C1"/>
                  <w:u w:val="single"/>
                  <w:sz w:val="14"/>
                </w:rPr>
                <w:t>https://seatsone.com/</w:t>
              </w:r>
            </w:hyperlink>
          </w:p>
        </w:tc>
      </w:tr>
      <w:tr>
        <w:tc>
          <w:tcPr>
            <w:tcW w:type="dxa" w:w="4896"/>
            <w:vAlign w:val="center"/>
            <w:tcMar>
              <w:top w:w="80" w:type="dxa"/>
              <w:start w:w="100" w:type="dxa"/>
              <w:bottom w:w="80" w:type="dxa"/>
              <w:end w:w="100" w:type="dxa"/>
            </w:tcMar>
          </w:tcPr>
          <w:p>
            <w:pPr>
              <w:spacing w:after="0"/>
              <w:jc w:val="left"/>
            </w:pPr>
            <w:r/>
            <w:r>
              <w:rPr>
                <w:rFonts w:ascii="Arial" w:hAnsi="Arial"/>
                <w:b w:val="0"/>
                <w:color w:val="1B2733"/>
                <w:sz w:val="15"/>
              </w:rPr>
              <w:t>EAB Navigate360</w:t>
            </w:r>
          </w:p>
        </w:tc>
        <w:tc>
          <w:tcPr>
            <w:tcW w:type="dxa" w:w="8640"/>
            <w:tcMar>
              <w:top w:w="70" w:type="dxa"/>
              <w:start w:w="100" w:type="dxa"/>
              <w:bottom w:w="70" w:type="dxa"/>
              <w:end w:w="100" w:type="dxa"/>
            </w:tcMar>
          </w:tcPr>
          <w:p>
            <w:pPr>
              <w:spacing w:after="0"/>
            </w:pPr>
            <w:r/>
            <w:hyperlink r:id="rId9">
              <w:r>
                <w:rPr>
                  <w:color w:val="0563C1"/>
                  <w:u w:val="single"/>
                  <w:sz w:val="14"/>
                </w:rPr>
                <w:t>https://eab.com/solutions/navigate360/</w:t>
              </w:r>
            </w:hyperlink>
          </w:p>
        </w:tc>
      </w:tr>
      <w:tr>
        <w:tc>
          <w:tcPr>
            <w:tcW w:type="dxa" w:w="4896"/>
            <w:vAlign w:val="center"/>
            <w:tcMar>
              <w:top w:w="80" w:type="dxa"/>
              <w:start w:w="100" w:type="dxa"/>
              <w:bottom w:w="80" w:type="dxa"/>
              <w:end w:w="100" w:type="dxa"/>
            </w:tcMar>
          </w:tcPr>
          <w:p>
            <w:pPr>
              <w:spacing w:after="0"/>
              <w:jc w:val="left"/>
            </w:pPr>
            <w:r/>
            <w:r>
              <w:rPr>
                <w:rFonts w:ascii="Arial" w:hAnsi="Arial"/>
                <w:b w:val="0"/>
                <w:color w:val="1B2733"/>
                <w:sz w:val="15"/>
              </w:rPr>
              <w:t>Watermark Student Success &amp; Engagement</w:t>
            </w:r>
          </w:p>
        </w:tc>
        <w:tc>
          <w:tcPr>
            <w:tcW w:type="dxa" w:w="8640"/>
            <w:tcMar>
              <w:top w:w="70" w:type="dxa"/>
              <w:start w:w="100" w:type="dxa"/>
              <w:bottom w:w="70" w:type="dxa"/>
              <w:end w:w="100" w:type="dxa"/>
            </w:tcMar>
          </w:tcPr>
          <w:p>
            <w:pPr>
              <w:spacing w:after="0"/>
            </w:pPr>
            <w:r/>
            <w:hyperlink r:id="rId11">
              <w:r>
                <w:rPr>
                  <w:color w:val="0563C1"/>
                  <w:u w:val="single"/>
                  <w:sz w:val="14"/>
                </w:rPr>
                <w:t>https://www.watermarkinsights.com/solutions/student-success/</w:t>
              </w:r>
            </w:hyperlink>
          </w:p>
        </w:tc>
      </w:tr>
      <w:tr>
        <w:tc>
          <w:tcPr>
            <w:tcW w:type="dxa" w:w="4896"/>
            <w:vAlign w:val="center"/>
            <w:tcMar>
              <w:top w:w="80" w:type="dxa"/>
              <w:start w:w="100" w:type="dxa"/>
              <w:bottom w:w="80" w:type="dxa"/>
              <w:end w:w="100" w:type="dxa"/>
            </w:tcMar>
          </w:tcPr>
          <w:p>
            <w:pPr>
              <w:spacing w:after="0"/>
              <w:jc w:val="left"/>
            </w:pPr>
            <w:r/>
            <w:r>
              <w:rPr>
                <w:rFonts w:ascii="Arial" w:hAnsi="Arial"/>
                <w:b w:val="0"/>
                <w:color w:val="1B2733"/>
                <w:sz w:val="15"/>
              </w:rPr>
              <w:t>Watermark SS&amp;E support</w:t>
            </w:r>
          </w:p>
        </w:tc>
        <w:tc>
          <w:tcPr>
            <w:tcW w:type="dxa" w:w="8640"/>
            <w:tcMar>
              <w:top w:w="70" w:type="dxa"/>
              <w:start w:w="100" w:type="dxa"/>
              <w:bottom w:w="70" w:type="dxa"/>
              <w:end w:w="100" w:type="dxa"/>
            </w:tcMar>
          </w:tcPr>
          <w:p>
            <w:pPr>
              <w:spacing w:after="0"/>
            </w:pPr>
            <w:r/>
            <w:hyperlink r:id="rId12">
              <w:r>
                <w:rPr>
                  <w:color w:val="0563C1"/>
                  <w:u w:val="single"/>
                  <w:sz w:val="14"/>
                </w:rPr>
                <w:t>https://support.watermarkinsights.com/hc/en-us/categories/4419426496795-Student-Success-Engagement-SSE</w:t>
              </w:r>
            </w:hyperlink>
          </w:p>
        </w:tc>
      </w:tr>
      <w:tr>
        <w:tc>
          <w:tcPr>
            <w:tcW w:type="dxa" w:w="4896"/>
            <w:vAlign w:val="center"/>
            <w:tcMar>
              <w:top w:w="80" w:type="dxa"/>
              <w:start w:w="100" w:type="dxa"/>
              <w:bottom w:w="80" w:type="dxa"/>
              <w:end w:w="100" w:type="dxa"/>
            </w:tcMar>
          </w:tcPr>
          <w:p>
            <w:pPr>
              <w:spacing w:after="0"/>
              <w:jc w:val="left"/>
            </w:pPr>
            <w:r/>
            <w:r>
              <w:rPr>
                <w:rFonts w:ascii="Arial" w:hAnsi="Arial"/>
                <w:b w:val="0"/>
                <w:color w:val="1B2733"/>
                <w:sz w:val="15"/>
              </w:rPr>
              <w:t>Civitas Learning Student Impact Platform</w:t>
            </w:r>
          </w:p>
        </w:tc>
        <w:tc>
          <w:tcPr>
            <w:tcW w:type="dxa" w:w="8640"/>
            <w:tcMar>
              <w:top w:w="70" w:type="dxa"/>
              <w:start w:w="100" w:type="dxa"/>
              <w:bottom w:w="70" w:type="dxa"/>
              <w:end w:w="100" w:type="dxa"/>
            </w:tcMar>
          </w:tcPr>
          <w:p>
            <w:pPr>
              <w:spacing w:after="0"/>
            </w:pPr>
            <w:r/>
            <w:hyperlink r:id="rId13">
              <w:r>
                <w:rPr>
                  <w:color w:val="0563C1"/>
                  <w:u w:val="single"/>
                  <w:sz w:val="14"/>
                </w:rPr>
                <w:t>https://www.civitaslearning.com/platform/</w:t>
              </w:r>
            </w:hyperlink>
          </w:p>
        </w:tc>
      </w:tr>
      <w:tr>
        <w:tc>
          <w:tcPr>
            <w:tcW w:type="dxa" w:w="4896"/>
            <w:vAlign w:val="center"/>
            <w:tcMar>
              <w:top w:w="80" w:type="dxa"/>
              <w:start w:w="100" w:type="dxa"/>
              <w:bottom w:w="80" w:type="dxa"/>
              <w:end w:w="100" w:type="dxa"/>
            </w:tcMar>
          </w:tcPr>
          <w:p>
            <w:pPr>
              <w:spacing w:after="0"/>
              <w:jc w:val="left"/>
            </w:pPr>
            <w:r/>
            <w:r>
              <w:rPr>
                <w:rFonts w:ascii="Arial" w:hAnsi="Arial"/>
                <w:b w:val="0"/>
                <w:color w:val="1B2733"/>
                <w:sz w:val="15"/>
              </w:rPr>
              <w:t>Ellucian CRM Advise customer story</w:t>
            </w:r>
          </w:p>
        </w:tc>
        <w:tc>
          <w:tcPr>
            <w:tcW w:type="dxa" w:w="8640"/>
            <w:tcMar>
              <w:top w:w="70" w:type="dxa"/>
              <w:start w:w="100" w:type="dxa"/>
              <w:bottom w:w="70" w:type="dxa"/>
              <w:end w:w="100" w:type="dxa"/>
            </w:tcMar>
          </w:tcPr>
          <w:p>
            <w:pPr>
              <w:spacing w:after="0"/>
            </w:pPr>
            <w:r/>
            <w:hyperlink r:id="rId14">
              <w:r>
                <w:rPr>
                  <w:color w:val="0563C1"/>
                  <w:u w:val="single"/>
                  <w:sz w:val="14"/>
                </w:rPr>
                <w:t>https://www.ellucian.com/customer-stories/holistic-advising-student-journey</w:t>
              </w:r>
            </w:hyperlink>
          </w:p>
        </w:tc>
      </w:tr>
      <w:tr>
        <w:tc>
          <w:tcPr>
            <w:tcW w:type="dxa" w:w="4896"/>
            <w:vAlign w:val="center"/>
            <w:tcMar>
              <w:top w:w="80" w:type="dxa"/>
              <w:start w:w="100" w:type="dxa"/>
              <w:bottom w:w="80" w:type="dxa"/>
              <w:end w:w="100" w:type="dxa"/>
            </w:tcMar>
          </w:tcPr>
          <w:p>
            <w:pPr>
              <w:spacing w:after="0"/>
              <w:jc w:val="left"/>
            </w:pPr>
            <w:r/>
            <w:r>
              <w:rPr>
                <w:rFonts w:ascii="Arial" w:hAnsi="Arial"/>
                <w:b w:val="0"/>
                <w:color w:val="1B2733"/>
                <w:sz w:val="15"/>
              </w:rPr>
              <w:t>Ellucian Student Success</w:t>
            </w:r>
          </w:p>
        </w:tc>
        <w:tc>
          <w:tcPr>
            <w:tcW w:type="dxa" w:w="8640"/>
            <w:tcMar>
              <w:top w:w="70" w:type="dxa"/>
              <w:start w:w="100" w:type="dxa"/>
              <w:bottom w:w="70" w:type="dxa"/>
              <w:end w:w="100" w:type="dxa"/>
            </w:tcMar>
          </w:tcPr>
          <w:p>
            <w:pPr>
              <w:spacing w:after="0"/>
            </w:pPr>
            <w:r/>
            <w:hyperlink r:id="rId15">
              <w:r>
                <w:rPr>
                  <w:color w:val="0563C1"/>
                  <w:u w:val="single"/>
                  <w:sz w:val="14"/>
                </w:rPr>
                <w:t>https://www.ellucian.com/products/student/student-success</w:t>
              </w:r>
            </w:hyperlink>
          </w:p>
        </w:tc>
      </w:tr>
      <w:tr>
        <w:tc>
          <w:tcPr>
            <w:tcW w:type="dxa" w:w="4896"/>
            <w:vAlign w:val="center"/>
            <w:tcMar>
              <w:top w:w="80" w:type="dxa"/>
              <w:start w:w="100" w:type="dxa"/>
              <w:bottom w:w="80" w:type="dxa"/>
              <w:end w:w="100" w:type="dxa"/>
            </w:tcMar>
          </w:tcPr>
          <w:p>
            <w:pPr>
              <w:spacing w:after="0"/>
              <w:jc w:val="left"/>
            </w:pPr>
            <w:r/>
            <w:r>
              <w:rPr>
                <w:rFonts w:ascii="Arial" w:hAnsi="Arial"/>
                <w:b w:val="0"/>
                <w:color w:val="1B2733"/>
                <w:sz w:val="15"/>
              </w:rPr>
              <w:t>Salesforce Agentforce Education</w:t>
            </w:r>
          </w:p>
        </w:tc>
        <w:tc>
          <w:tcPr>
            <w:tcW w:type="dxa" w:w="8640"/>
            <w:tcMar>
              <w:top w:w="70" w:type="dxa"/>
              <w:start w:w="100" w:type="dxa"/>
              <w:bottom w:w="70" w:type="dxa"/>
              <w:end w:w="100" w:type="dxa"/>
            </w:tcMar>
          </w:tcPr>
          <w:p>
            <w:pPr>
              <w:spacing w:after="0"/>
            </w:pPr>
            <w:r/>
            <w:hyperlink r:id="rId16">
              <w:r>
                <w:rPr>
                  <w:color w:val="0563C1"/>
                  <w:u w:val="single"/>
                  <w:sz w:val="14"/>
                </w:rPr>
                <w:t>https://www.salesforce.com/education/cloud/</w:t>
              </w:r>
            </w:hyperlink>
          </w:p>
        </w:tc>
      </w:tr>
      <w:tr>
        <w:tc>
          <w:tcPr>
            <w:tcW w:type="dxa" w:w="4896"/>
            <w:vAlign w:val="center"/>
            <w:tcMar>
              <w:top w:w="80" w:type="dxa"/>
              <w:start w:w="100" w:type="dxa"/>
              <w:bottom w:w="80" w:type="dxa"/>
              <w:end w:w="100" w:type="dxa"/>
            </w:tcMar>
          </w:tcPr>
          <w:p>
            <w:pPr>
              <w:spacing w:after="0"/>
              <w:jc w:val="left"/>
            </w:pPr>
            <w:r/>
            <w:r>
              <w:rPr>
                <w:rFonts w:ascii="Arial" w:hAnsi="Arial"/>
                <w:b w:val="0"/>
                <w:color w:val="1B2733"/>
                <w:sz w:val="15"/>
              </w:rPr>
              <w:t>Salesforce Student Success</w:t>
            </w:r>
          </w:p>
        </w:tc>
        <w:tc>
          <w:tcPr>
            <w:tcW w:type="dxa" w:w="8640"/>
            <w:tcMar>
              <w:top w:w="70" w:type="dxa"/>
              <w:start w:w="100" w:type="dxa"/>
              <w:bottom w:w="70" w:type="dxa"/>
              <w:end w:w="100" w:type="dxa"/>
            </w:tcMar>
          </w:tcPr>
          <w:p>
            <w:pPr>
              <w:spacing w:after="0"/>
            </w:pPr>
            <w:r/>
            <w:hyperlink r:id="rId17">
              <w:r>
                <w:rPr>
                  <w:color w:val="0563C1"/>
                  <w:u w:val="single"/>
                  <w:sz w:val="14"/>
                </w:rPr>
                <w:t>https://www.salesforce.com/education/student-success-software/</w:t>
              </w:r>
            </w:hyperlink>
          </w:p>
        </w:tc>
      </w:tr>
      <w:tr>
        <w:tc>
          <w:tcPr>
            <w:tcW w:type="dxa" w:w="4896"/>
            <w:vAlign w:val="center"/>
            <w:tcMar>
              <w:top w:w="80" w:type="dxa"/>
              <w:start w:w="100" w:type="dxa"/>
              <w:bottom w:w="80" w:type="dxa"/>
              <w:end w:w="100" w:type="dxa"/>
            </w:tcMar>
          </w:tcPr>
          <w:p>
            <w:pPr>
              <w:spacing w:after="0"/>
              <w:jc w:val="left"/>
            </w:pPr>
            <w:r/>
            <w:r>
              <w:rPr>
                <w:rFonts w:ascii="Arial" w:hAnsi="Arial"/>
                <w:b w:val="0"/>
                <w:color w:val="1B2733"/>
                <w:sz w:val="15"/>
              </w:rPr>
              <w:t>E2E Advising Achieve</w:t>
            </w:r>
          </w:p>
        </w:tc>
        <w:tc>
          <w:tcPr>
            <w:tcW w:type="dxa" w:w="8640"/>
            <w:tcMar>
              <w:top w:w="70" w:type="dxa"/>
              <w:start w:w="100" w:type="dxa"/>
              <w:bottom w:w="70" w:type="dxa"/>
              <w:end w:w="100" w:type="dxa"/>
            </w:tcMar>
          </w:tcPr>
          <w:p>
            <w:pPr>
              <w:spacing w:after="0"/>
            </w:pPr>
            <w:r/>
            <w:hyperlink r:id="rId18">
              <w:r>
                <w:rPr>
                  <w:color w:val="0563C1"/>
                  <w:u w:val="single"/>
                  <w:sz w:val="14"/>
                </w:rPr>
                <w:t>https://e2eadvising.com/</w:t>
              </w:r>
            </w:hyperlink>
          </w:p>
        </w:tc>
      </w:tr>
      <w:tr>
        <w:tc>
          <w:tcPr>
            <w:tcW w:type="dxa" w:w="4896"/>
            <w:vAlign w:val="center"/>
            <w:tcMar>
              <w:top w:w="80" w:type="dxa"/>
              <w:start w:w="100" w:type="dxa"/>
              <w:bottom w:w="80" w:type="dxa"/>
              <w:end w:w="100" w:type="dxa"/>
            </w:tcMar>
          </w:tcPr>
          <w:p>
            <w:pPr>
              <w:spacing w:after="0"/>
              <w:jc w:val="left"/>
            </w:pPr>
            <w:r/>
            <w:r>
              <w:rPr>
                <w:rFonts w:ascii="Arial" w:hAnsi="Arial"/>
                <w:b w:val="0"/>
                <w:color w:val="1B2733"/>
                <w:sz w:val="15"/>
              </w:rPr>
              <w:t>CollegeNET Schedule25</w:t>
            </w:r>
          </w:p>
        </w:tc>
        <w:tc>
          <w:tcPr>
            <w:tcW w:type="dxa" w:w="8640"/>
            <w:tcMar>
              <w:top w:w="70" w:type="dxa"/>
              <w:start w:w="100" w:type="dxa"/>
              <w:bottom w:w="70" w:type="dxa"/>
              <w:end w:w="100" w:type="dxa"/>
            </w:tcMar>
          </w:tcPr>
          <w:p>
            <w:pPr>
              <w:spacing w:after="0"/>
            </w:pPr>
            <w:r/>
            <w:hyperlink r:id="rId20">
              <w:r>
                <w:rPr>
                  <w:color w:val="0563C1"/>
                  <w:u w:val="single"/>
                  <w:sz w:val="14"/>
                </w:rPr>
                <w:t>https://collegenet.com/scheduling/schedule25</w:t>
              </w:r>
            </w:hyperlink>
          </w:p>
        </w:tc>
      </w:tr>
      <w:tr>
        <w:tc>
          <w:tcPr>
            <w:tcW w:type="dxa" w:w="4896"/>
            <w:vAlign w:val="center"/>
            <w:tcMar>
              <w:top w:w="80" w:type="dxa"/>
              <w:start w:w="100" w:type="dxa"/>
              <w:bottom w:w="80" w:type="dxa"/>
              <w:end w:w="100" w:type="dxa"/>
            </w:tcMar>
          </w:tcPr>
          <w:p>
            <w:pPr>
              <w:spacing w:after="0"/>
              <w:jc w:val="left"/>
            </w:pPr>
            <w:r/>
            <w:r>
              <w:rPr>
                <w:rFonts w:ascii="Arial" w:hAnsi="Arial"/>
                <w:b w:val="0"/>
                <w:color w:val="1B2733"/>
                <w:sz w:val="15"/>
              </w:rPr>
              <w:t>CollegeNET X25</w:t>
            </w:r>
          </w:p>
        </w:tc>
        <w:tc>
          <w:tcPr>
            <w:tcW w:type="dxa" w:w="8640"/>
            <w:tcMar>
              <w:top w:w="70" w:type="dxa"/>
              <w:start w:w="100" w:type="dxa"/>
              <w:bottom w:w="70" w:type="dxa"/>
              <w:end w:w="100" w:type="dxa"/>
            </w:tcMar>
          </w:tcPr>
          <w:p>
            <w:pPr>
              <w:spacing w:after="0"/>
            </w:pPr>
            <w:r/>
            <w:hyperlink r:id="rId21">
              <w:r>
                <w:rPr>
                  <w:color w:val="0563C1"/>
                  <w:u w:val="single"/>
                  <w:sz w:val="14"/>
                </w:rPr>
                <w:t>https://collegenet.com/x25</w:t>
              </w:r>
            </w:hyperlink>
          </w:p>
        </w:tc>
      </w:tr>
      <w:tr>
        <w:tc>
          <w:tcPr>
            <w:tcW w:type="dxa" w:w="4896"/>
            <w:vAlign w:val="center"/>
            <w:tcMar>
              <w:top w:w="80" w:type="dxa"/>
              <w:start w:w="100" w:type="dxa"/>
              <w:bottom w:w="80" w:type="dxa"/>
              <w:end w:w="100" w:type="dxa"/>
            </w:tcMar>
          </w:tcPr>
          <w:p>
            <w:pPr>
              <w:spacing w:after="0"/>
              <w:jc w:val="left"/>
            </w:pPr>
            <w:r/>
            <w:r>
              <w:rPr>
                <w:rFonts w:ascii="Arial" w:hAnsi="Arial"/>
                <w:b w:val="0"/>
                <w:color w:val="1B2733"/>
                <w:sz w:val="15"/>
              </w:rPr>
              <w:t>Degree Analytics</w:t>
            </w:r>
          </w:p>
        </w:tc>
        <w:tc>
          <w:tcPr>
            <w:tcW w:type="dxa" w:w="8640"/>
            <w:tcMar>
              <w:top w:w="70" w:type="dxa"/>
              <w:start w:w="100" w:type="dxa"/>
              <w:bottom w:w="70" w:type="dxa"/>
              <w:end w:w="100" w:type="dxa"/>
            </w:tcMar>
          </w:tcPr>
          <w:p>
            <w:pPr>
              <w:spacing w:after="0"/>
            </w:pPr>
            <w:r/>
            <w:hyperlink r:id="rId23">
              <w:r>
                <w:rPr>
                  <w:color w:val="0563C1"/>
                  <w:u w:val="single"/>
                  <w:sz w:val="14"/>
                </w:rPr>
                <w:t>https://www.degreeanalytics.com/</w:t>
              </w:r>
            </w:hyperlink>
          </w:p>
        </w:tc>
      </w:tr>
      <w:tr>
        <w:tc>
          <w:tcPr>
            <w:tcW w:type="dxa" w:w="4896"/>
            <w:vAlign w:val="center"/>
            <w:tcMar>
              <w:top w:w="80" w:type="dxa"/>
              <w:start w:w="100" w:type="dxa"/>
              <w:bottom w:w="80" w:type="dxa"/>
              <w:end w:w="100" w:type="dxa"/>
            </w:tcMar>
          </w:tcPr>
          <w:p>
            <w:pPr>
              <w:spacing w:after="0"/>
              <w:jc w:val="left"/>
            </w:pPr>
            <w:r/>
            <w:r>
              <w:rPr>
                <w:rFonts w:ascii="Arial" w:hAnsi="Arial"/>
                <w:b w:val="0"/>
                <w:color w:val="1B2733"/>
                <w:sz w:val="15"/>
              </w:rPr>
              <w:t>Degree Analytics features</w:t>
            </w:r>
          </w:p>
        </w:tc>
        <w:tc>
          <w:tcPr>
            <w:tcW w:type="dxa" w:w="8640"/>
            <w:tcMar>
              <w:top w:w="70" w:type="dxa"/>
              <w:start w:w="100" w:type="dxa"/>
              <w:bottom w:w="70" w:type="dxa"/>
              <w:end w:w="100" w:type="dxa"/>
            </w:tcMar>
          </w:tcPr>
          <w:p>
            <w:pPr>
              <w:spacing w:after="0"/>
            </w:pPr>
            <w:r/>
            <w:hyperlink r:id="rId22">
              <w:r>
                <w:rPr>
                  <w:color w:val="0563C1"/>
                  <w:u w:val="single"/>
                  <w:sz w:val="14"/>
                </w:rPr>
                <w:t>https://www.degreeanalytics.com/features?hsLang=en</w:t>
              </w:r>
            </w:hyperlink>
          </w:p>
        </w:tc>
      </w:tr>
      <w:tr>
        <w:tc>
          <w:tcPr>
            <w:tcW w:type="dxa" w:w="4896"/>
            <w:vAlign w:val="center"/>
            <w:tcMar>
              <w:top w:w="80" w:type="dxa"/>
              <w:start w:w="100" w:type="dxa"/>
              <w:bottom w:w="80" w:type="dxa"/>
              <w:end w:w="100" w:type="dxa"/>
            </w:tcMar>
          </w:tcPr>
          <w:p>
            <w:pPr>
              <w:spacing w:after="0"/>
              <w:jc w:val="left"/>
            </w:pPr>
            <w:r/>
            <w:r>
              <w:rPr>
                <w:rFonts w:ascii="Arial" w:hAnsi="Arial"/>
                <w:b w:val="0"/>
                <w:color w:val="1B2733"/>
                <w:sz w:val="15"/>
              </w:rPr>
              <w:t>Terra Dotta ISSS</w:t>
            </w:r>
          </w:p>
        </w:tc>
        <w:tc>
          <w:tcPr>
            <w:tcW w:type="dxa" w:w="8640"/>
            <w:tcMar>
              <w:top w:w="70" w:type="dxa"/>
              <w:start w:w="100" w:type="dxa"/>
              <w:bottom w:w="70" w:type="dxa"/>
              <w:end w:w="100" w:type="dxa"/>
            </w:tcMar>
          </w:tcPr>
          <w:p>
            <w:pPr>
              <w:spacing w:after="0"/>
            </w:pPr>
            <w:r/>
            <w:hyperlink r:id="rId24">
              <w:r>
                <w:rPr>
                  <w:color w:val="0563C1"/>
                  <w:u w:val="single"/>
                  <w:sz w:val="14"/>
                </w:rPr>
                <w:t>https://www.terradotta.com/isss/</w:t>
              </w:r>
            </w:hyperlink>
          </w:p>
        </w:tc>
      </w:tr>
      <w:tr>
        <w:tc>
          <w:tcPr>
            <w:tcW w:type="dxa" w:w="4896"/>
            <w:vAlign w:val="center"/>
            <w:tcMar>
              <w:top w:w="80" w:type="dxa"/>
              <w:start w:w="100" w:type="dxa"/>
              <w:bottom w:w="80" w:type="dxa"/>
              <w:end w:w="100" w:type="dxa"/>
            </w:tcMar>
          </w:tcPr>
          <w:p>
            <w:pPr>
              <w:spacing w:after="0"/>
              <w:jc w:val="left"/>
            </w:pPr>
            <w:r/>
            <w:r>
              <w:rPr>
                <w:rFonts w:ascii="Arial" w:hAnsi="Arial"/>
                <w:b w:val="0"/>
                <w:color w:val="1B2733"/>
                <w:sz w:val="15"/>
              </w:rPr>
              <w:t>sunapsis overview</w:t>
            </w:r>
          </w:p>
        </w:tc>
        <w:tc>
          <w:tcPr>
            <w:tcW w:type="dxa" w:w="8640"/>
            <w:tcMar>
              <w:top w:w="70" w:type="dxa"/>
              <w:start w:w="100" w:type="dxa"/>
              <w:bottom w:w="70" w:type="dxa"/>
              <w:end w:w="100" w:type="dxa"/>
            </w:tcMar>
          </w:tcPr>
          <w:p>
            <w:pPr>
              <w:spacing w:after="0"/>
            </w:pPr>
            <w:r/>
            <w:hyperlink r:id="rId26">
              <w:r>
                <w:rPr>
                  <w:color w:val="0563C1"/>
                  <w:u w:val="single"/>
                  <w:sz w:val="14"/>
                </w:rPr>
                <w:t>https://sunapsis.iu.edu/index.html</w:t>
              </w:r>
            </w:hyperlink>
          </w:p>
        </w:tc>
      </w:tr>
      <w:tr>
        <w:tc>
          <w:tcPr>
            <w:tcW w:type="dxa" w:w="4896"/>
            <w:vAlign w:val="center"/>
            <w:tcMar>
              <w:top w:w="80" w:type="dxa"/>
              <w:start w:w="100" w:type="dxa"/>
              <w:bottom w:w="80" w:type="dxa"/>
              <w:end w:w="100" w:type="dxa"/>
            </w:tcMar>
          </w:tcPr>
          <w:p>
            <w:pPr>
              <w:spacing w:after="0"/>
              <w:jc w:val="left"/>
            </w:pPr>
            <w:r/>
            <w:r>
              <w:rPr>
                <w:rFonts w:ascii="Arial" w:hAnsi="Arial"/>
                <w:b w:val="0"/>
                <w:color w:val="1B2733"/>
                <w:sz w:val="15"/>
              </w:rPr>
              <w:t>sunapsis clients</w:t>
            </w:r>
          </w:p>
        </w:tc>
        <w:tc>
          <w:tcPr>
            <w:tcW w:type="dxa" w:w="8640"/>
            <w:tcMar>
              <w:top w:w="70" w:type="dxa"/>
              <w:start w:w="100" w:type="dxa"/>
              <w:bottom w:w="70" w:type="dxa"/>
              <w:end w:w="100" w:type="dxa"/>
            </w:tcMar>
          </w:tcPr>
          <w:p>
            <w:pPr>
              <w:spacing w:after="0"/>
            </w:pPr>
            <w:r/>
            <w:hyperlink r:id="rId28">
              <w:r>
                <w:rPr>
                  <w:color w:val="0563C1"/>
                  <w:u w:val="single"/>
                  <w:sz w:val="14"/>
                </w:rPr>
                <w:t>https://sunapsis.iu.edu/clients/index.html</w:t>
              </w:r>
            </w:hyperlink>
          </w:p>
        </w:tc>
      </w:tr>
    </w:tbl>
    <w:p>
      <w:pPr>
        <w:pStyle w:val="Small"/>
      </w:pPr>
      <w:r>
        <w:rPr>
          <w:b/>
        </w:rPr>
        <w:t xml:space="preserve">Evidence note: </w:t>
      </w:r>
      <w:r>
        <w:t>Competitive cards combine verified public product information with strategic sales positioning. Strength/weakness language is intended for internal use and should be validated against the prospect’s requirements and each vendor’s current proposal.</w:t>
      </w:r>
    </w:p>
    <w:sectPr w:rsidR="00FC693F" w:rsidRPr="0006063C" w:rsidSect="00034616">
      <w:pgSz w:w="15840" w:h="12240" w:orient="landscape"/>
      <w:pgMar w:top="648" w:right="792" w:bottom="648"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color w:val="1B27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6E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E8A8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rial" w:hAnsi="Arial"/>
      <w:b w:val="0"/>
      <w:color w:val="5B6770"/>
      <w:sz w:val="15"/>
    </w:rPr>
  </w:style>
  <w:style w:type="paragraph" w:customStyle="1" w:styleId="Tiny">
    <w:name w:val="Tiny"/>
    <w:pPr>
      <w:spacing w:after="40"/>
    </w:pPr>
    <w:rPr>
      <w:rFonts w:ascii="Arial" w:hAnsi="Arial"/>
      <w:b w:val="0"/>
      <w:color w:val="5B6770"/>
      <w:sz w:val="13"/>
    </w:rPr>
  </w:style>
  <w:style w:type="paragraph" w:customStyle="1" w:styleId="CardBody">
    <w:name w:val="CardBody"/>
    <w:pPr>
      <w:spacing w:after="40"/>
    </w:pPr>
    <w:rPr>
      <w:rFonts w:ascii="Arial" w:hAnsi="Arial"/>
      <w:b w:val="0"/>
      <w:color w:val="1B2733"/>
      <w:sz w:val="17"/>
    </w:rPr>
  </w:style>
  <w:style w:type="paragraph" w:customStyle="1" w:styleId="CardBold">
    <w:name w:val="CardBold"/>
    <w:pPr>
      <w:spacing w:after="40"/>
    </w:pPr>
    <w:rPr>
      <w:rFonts w:ascii="Arial" w:hAnsi="Arial"/>
      <w:b/>
      <w:color w:val="1B27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ab.com/solutions/navigate360/" TargetMode="External"/><Relationship Id="rId10" Type="http://schemas.openxmlformats.org/officeDocument/2006/relationships/hyperlink" Target="https://seatsone.com/" TargetMode="External"/><Relationship Id="rId11" Type="http://schemas.openxmlformats.org/officeDocument/2006/relationships/hyperlink" Target="https://www.watermarkinsights.com/solutions/student-success/" TargetMode="External"/><Relationship Id="rId12" Type="http://schemas.openxmlformats.org/officeDocument/2006/relationships/hyperlink" Target="https://support.watermarkinsights.com/hc/en-us/categories/4419426496795-Student-Success-Engagement-SSE" TargetMode="External"/><Relationship Id="rId13" Type="http://schemas.openxmlformats.org/officeDocument/2006/relationships/hyperlink" Target="https://www.civitaslearning.com/platform/" TargetMode="External"/><Relationship Id="rId14" Type="http://schemas.openxmlformats.org/officeDocument/2006/relationships/hyperlink" Target="https://www.ellucian.com/customer-stories/holistic-advising-student-journey" TargetMode="External"/><Relationship Id="rId15" Type="http://schemas.openxmlformats.org/officeDocument/2006/relationships/hyperlink" Target="https://www.ellucian.com/products/student/student-success" TargetMode="External"/><Relationship Id="rId16" Type="http://schemas.openxmlformats.org/officeDocument/2006/relationships/hyperlink" Target="https://www.salesforce.com/education/cloud/" TargetMode="External"/><Relationship Id="rId17" Type="http://schemas.openxmlformats.org/officeDocument/2006/relationships/hyperlink" Target="https://www.salesforce.com/education/student-success-software/" TargetMode="External"/><Relationship Id="rId18" Type="http://schemas.openxmlformats.org/officeDocument/2006/relationships/hyperlink" Target="https://e2eadvising.com/" TargetMode="External"/><Relationship Id="rId19" Type="http://schemas.openxmlformats.org/officeDocument/2006/relationships/hyperlink" Target="https://www.e2eadvising.com/enrollment-outreach-campaign" TargetMode="External"/><Relationship Id="rId20" Type="http://schemas.openxmlformats.org/officeDocument/2006/relationships/hyperlink" Target="https://collegenet.com/scheduling/schedule25" TargetMode="External"/><Relationship Id="rId21" Type="http://schemas.openxmlformats.org/officeDocument/2006/relationships/hyperlink" Target="https://collegenet.com/x25" TargetMode="External"/><Relationship Id="rId22" Type="http://schemas.openxmlformats.org/officeDocument/2006/relationships/hyperlink" Target="https://www.degreeanalytics.com/features?hsLang=en" TargetMode="External"/><Relationship Id="rId23" Type="http://schemas.openxmlformats.org/officeDocument/2006/relationships/hyperlink" Target="https://www.degreeanalytics.com/" TargetMode="External"/><Relationship Id="rId24" Type="http://schemas.openxmlformats.org/officeDocument/2006/relationships/hyperlink" Target="https://www.terradotta.com/isss/" TargetMode="External"/><Relationship Id="rId25" Type="http://schemas.openxmlformats.org/officeDocument/2006/relationships/hyperlink" Target="https://support.terradotta.com/hc/en-us/categories/25779932506007-ISSS-Student" TargetMode="External"/><Relationship Id="rId26" Type="http://schemas.openxmlformats.org/officeDocument/2006/relationships/hyperlink" Target="https://sunapsis.iu.edu/index.html" TargetMode="External"/><Relationship Id="rId27" Type="http://schemas.openxmlformats.org/officeDocument/2006/relationships/hyperlink" Target="https://sunapsis.iu.edu/features/index.html" TargetMode="External"/><Relationship Id="rId28" Type="http://schemas.openxmlformats.org/officeDocument/2006/relationships/hyperlink" Target="https://sunapsis.iu.edu/client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