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Публичная оферта на оказание услуг</w:t>
      </w:r>
    </w:p>
    <w:p>
      <w:pPr>
        <w:spacing w:after="240"/>
        <w:jc w:val="center"/>
      </w:pPr>
      <w:r>
        <w:rPr>
          <w:i/>
          <w:iCs/>
        </w:rPr>
        <w:t xml:space="preserve">Редакция от 26.06.2026</w:t>
      </w:r>
    </w:p>
    <w:p>
      <w:pPr>
        <w:pStyle w:val="Heading2"/>
        <w:spacing w:after="80" w:before="240"/>
      </w:pPr>
      <w:r>
        <w:rPr>
          <w:b/>
          <w:bCs/>
        </w:rPr>
        <w:t xml:space="preserve">1. Общие положения</w:t>
      </w:r>
    </w:p>
    <w:p>
      <w:pPr>
        <w:spacing w:after="100"/>
        <w:jc w:val="both"/>
      </w:pPr>
      <w:r>
        <w:t xml:space="preserve">Настоящий документ является публичной офертой (ст. 435, 437 ГК РФ) Индивидуальный предприниматель Гальцева Татьяна Михайловна (ИНН 490491403462, адрес: 188507, Ленинградская область, Ломоносовский район, г. Новоселье, ул. Невская д.6, кв.151) (далее — Исполнитель) и содержит все существенные условия оказания услуг через сайт prozharka-tg.com.</w:t>
      </w:r>
    </w:p>
    <w:p>
      <w:pPr>
        <w:spacing w:after="100"/>
        <w:jc w:val="both"/>
      </w:pPr>
      <w:r>
        <w:t xml:space="preserve">Акцептом оферты (полным и безоговорочным принятием её условий) является оформление заказа на Сайте и/или его оплата. С момента акцепта договор считается заключённым на условиях настоящей оферты.</w:t>
      </w:r>
    </w:p>
    <w:p>
      <w:pPr>
        <w:pStyle w:val="Heading2"/>
        <w:spacing w:after="80" w:before="240"/>
      </w:pPr>
      <w:r>
        <w:rPr>
          <w:b/>
          <w:bCs/>
        </w:rPr>
        <w:t xml:space="preserve">2. Предмет договора</w:t>
      </w:r>
    </w:p>
    <w:p>
      <w:pPr>
        <w:spacing w:after="100"/>
        <w:jc w:val="both"/>
      </w:pPr>
      <w:r>
        <w:t xml:space="preserve">Исполнитель обязуется оказать Заказчику услуги: услуги по предоставлению информации о питании и тренировочном процессе.</w:t>
      </w:r>
    </w:p>
    <w:p>
      <w:pPr>
        <w:spacing w:after="100"/>
        <w:jc w:val="both"/>
      </w:pPr>
      <w:r>
        <w:t xml:space="preserve">Описание, характеристики и стоимость Услуги указываются на соответствующих страницах Сайта prozharka-tg.com.</w:t>
      </w:r>
    </w:p>
    <w:p>
      <w:pPr>
        <w:pStyle w:val="Heading2"/>
        <w:spacing w:after="80" w:before="240"/>
      </w:pPr>
      <w:r>
        <w:rPr>
          <w:b/>
          <w:bCs/>
        </w:rPr>
        <w:t xml:space="preserve">3. Цена и порядок оплаты</w:t>
      </w:r>
    </w:p>
    <w:p>
      <w:pPr>
        <w:spacing w:after="100"/>
        <w:jc w:val="both"/>
      </w:pPr>
      <w:r>
        <w:t xml:space="preserve">Цена и порядок её формирования: Цена указана на сайте, фиксируется при Заказе.</w:t>
      </w:r>
    </w:p>
    <w:p>
      <w:pPr>
        <w:spacing w:after="100"/>
        <w:jc w:val="both"/>
      </w:pPr>
      <w:r>
        <w:t xml:space="preserve">Оплата производится следующими способами: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банковской картой онлайн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через Систему быстрых платежей (СБП)</w:t>
      </w:r>
    </w:p>
    <w:p>
      <w:pPr>
        <w:pStyle w:val="Heading2"/>
        <w:spacing w:after="80" w:before="240"/>
      </w:pPr>
      <w:r>
        <w:rPr>
          <w:b/>
          <w:bCs/>
        </w:rPr>
        <w:t xml:space="preserve">4. Порядок оказания услуг</w:t>
      </w:r>
    </w:p>
    <w:p>
      <w:pPr>
        <w:spacing w:after="100"/>
        <w:jc w:val="both"/>
      </w:pPr>
      <w:r>
        <w:t xml:space="preserve">Сроки и порядок оказания услуг согласуются Сторонами при оформлении заказа.</w:t>
      </w:r>
    </w:p>
    <w:p>
      <w:pPr>
        <w:pStyle w:val="Heading2"/>
        <w:spacing w:after="80" w:before="240"/>
      </w:pPr>
      <w:r>
        <w:rPr>
          <w:b/>
          <w:bCs/>
        </w:rPr>
        <w:t xml:space="preserve">5. Отказ от услуг и возврат</w:t>
      </w:r>
    </w:p>
    <w:p>
      <w:pPr>
        <w:spacing w:after="100"/>
        <w:jc w:val="both"/>
      </w:pPr>
      <w:r>
        <w:t xml:space="preserve">Заказчик вправе отказаться от услуг с возмещением Исполнителю фактически понесённых расходов (ст. 32 Закона РФ «О защите прав потребителей»).</w:t>
      </w:r>
    </w:p>
    <w:p>
      <w:pPr>
        <w:pStyle w:val="Heading2"/>
        <w:spacing w:after="80" w:before="240"/>
      </w:pPr>
      <w:r>
        <w:rPr>
          <w:b/>
          <w:bCs/>
        </w:rPr>
        <w:t xml:space="preserve">6. Права и обязанности сторон</w:t>
      </w:r>
    </w:p>
    <w:p>
      <w:pPr>
        <w:spacing w:after="100"/>
        <w:jc w:val="both"/>
      </w:pPr>
      <w:r>
        <w:t xml:space="preserve">Исполнитель обязуется оказать услуги надлежащего качества в согласованные сроки и предоставить достоверную информацию.</w:t>
      </w:r>
    </w:p>
    <w:p>
      <w:pPr>
        <w:spacing w:after="100"/>
        <w:jc w:val="both"/>
      </w:pPr>
      <w:r>
        <w:t xml:space="preserve">Покупатель (Заказчик) обязуется предоставить достоверные данные при оформлении заказа и своевременно оплатить заказ.</w:t>
      </w:r>
    </w:p>
    <w:p>
      <w:pPr>
        <w:pStyle w:val="Heading2"/>
        <w:spacing w:after="80" w:before="240"/>
      </w:pPr>
      <w:r>
        <w:rPr>
          <w:b/>
          <w:bCs/>
        </w:rPr>
        <w:t xml:space="preserve">7. Ответственность сторон</w:t>
      </w:r>
    </w:p>
    <w:p>
      <w:pPr>
        <w:spacing w:after="100"/>
        <w:jc w:val="both"/>
      </w:pPr>
      <w:r>
        <w:t xml:space="preserve">Стороны несут ответственность в соответствии с законодательством РФ. Сторона освобождается от ответственности, если докажет, что нарушение произошло вследствие обстоятельств непреодолимой силы.</w:t>
      </w:r>
    </w:p>
    <w:p>
      <w:pPr>
        <w:pStyle w:val="Heading2"/>
        <w:spacing w:after="80" w:before="240"/>
      </w:pPr>
      <w:r>
        <w:rPr>
          <w:b/>
          <w:bCs/>
        </w:rPr>
        <w:t xml:space="preserve">8. Персональные данные</w:t>
      </w:r>
    </w:p>
    <w:p>
      <w:pPr>
        <w:spacing w:after="100"/>
        <w:jc w:val="both"/>
      </w:pPr>
      <w:r>
        <w:t xml:space="preserve">Оформляя заказ, Покупатель даёт согласие на обработку своих персональных данных в соответствии с Федеральным законом № 152-ФЗ и Политикой конфиденциальности, размещённой на Сайте prozharka-tg.com.</w:t>
      </w:r>
    </w:p>
    <w:p>
      <w:pPr>
        <w:pStyle w:val="Heading2"/>
        <w:spacing w:after="80" w:before="240"/>
      </w:pPr>
      <w:r>
        <w:rPr>
          <w:b/>
          <w:bCs/>
        </w:rPr>
        <w:t xml:space="preserve">9. Реквизиты Исполнительа</w:t>
      </w:r>
    </w:p>
    <w:p>
      <w:pPr>
        <w:spacing w:after="100"/>
        <w:jc w:val="both"/>
      </w:pPr>
      <w:r>
        <w:t xml:space="preserve">Индивидуальный предприниматель Гальцева Татьяна Михайловна, ИНН 490491403462, адрес: 188507, Ленинградская область, Ломоносовский район, г. Новоселье, ул. Невская д.6, кв.151. Электронная почта: Tatyana_galtseva@list.ru, телефон: +79294532888. Сайт: prozharka-tg.com.</w:t>
      </w:r>
    </w:p>
    <w:p>
      <w:pPr>
        <w:spacing w:before="280"/>
      </w:pPr>
      <w:r>
        <w:rPr>
          <w:i/>
          <w:iCs/>
          <w:sz w:val="18"/>
          <w:szCs w:val="18"/>
        </w:rPr>
        <w:t xml:space="preserve">Документ подготовлен по ст. 435, 437 ГК РФ и Закону РФ «О защите прав потребителей». Актуализировано на 26.06.2026 (версия шаблона 2026.1).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Публичная оферта на оказание услуг</dc:title>
  <dc:creator>SIDE Studio</dc:creator>
  <cp:lastModifiedBy>Un-named</cp:lastModifiedBy>
  <cp:revision>1</cp:revision>
  <dcterms:created xsi:type="dcterms:W3CDTF">2026-10-01T05:45:16.836Z</dcterms:created>
  <dcterms:modified xsi:type="dcterms:W3CDTF">2026-10-01T05:45:16.836Z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