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1A73E8"/>
          <w:sz w:val="72"/>
          <w:szCs w:val="72"/>
        </w:rPr>
        <w:t xml:space="preserve">WORKPULSE</w:t>
      </w:r>
    </w:p>
    <w:p>
      <w:pPr>
        <w:spacing w:after="80" w:before="0"/>
      </w:pPr>
      <w:r>
        <w:rPr>
          <w:rFonts w:ascii="Arial" w:cs="Arial" w:eastAsia="Arial" w:hAnsi="Arial"/>
          <w:b/>
          <w:bCs/>
          <w:color w:val="0D47A1"/>
          <w:sz w:val="48"/>
          <w:szCs w:val="48"/>
        </w:rPr>
        <w:t xml:space="preserve">&amp; THE INSTITUTION BRAIN</w:t>
      </w:r>
    </w:p>
    <w:p>
      <w:pPr>
        <w:spacing w:after="400" w:before="160"/>
      </w:pPr>
      <w:r>
        <w:rPr>
          <w:rFonts w:ascii="Arial" w:cs="Arial" w:eastAsia="Arial" w:hAnsi="Arial"/>
          <w:color w:val="888888"/>
          <w:sz w:val="22"/>
          <w:szCs w:val="22"/>
        </w:rPr>
        <w:t xml:space="preserve">Product Vision Document  |  v1.1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7A1" w:val="clear"/>
            <w:tcMar>
              <w:top w:type="dxa" w:w="240"/>
              <w:left w:type="dxa" w:w="360"/>
              <w:bottom w:type="dxa" w:w="240"/>
              <w:right w:type="dxa" w:w="360"/>
            </w:tcMar>
          </w:tcPr>
          <w:p>
            <w:pPr>
              <w:spacing w:after="60" w:before="60"/>
            </w:pPr>
            <w:r>
              <w:rPr>
                <w:rFonts w:ascii="Arial" w:cs="Arial" w:eastAsia="Arial" w:hAnsi="Arial"/>
                <w:b/>
                <w:bCs/>
                <w:color w:val="FFFFFF"/>
                <w:sz w:val="28"/>
                <w:szCs w:val="28"/>
              </w:rPr>
              <w:t xml:space="preserve">From personal productivity tracker to institutional knowledge infrastructure.</w:t>
            </w:r>
          </w:p>
          <w:p>
            <w:pPr>
              <w:spacing w:after="60" w:before="60"/>
            </w:pPr>
            <w:r>
              <w:rPr>
                <w:rFonts w:ascii="Arial" w:cs="Arial" w:eastAsia="Arial" w:hAnsi="Arial"/>
                <w:sz w:val="10"/>
                <w:szCs w:val="10"/>
              </w:rPr>
              <w:t xml:space="preserve"/>
            </w:r>
          </w:p>
          <w:p>
            <w:pPr>
              <w:spacing w:after="60" w:before="60"/>
            </w:pPr>
            <w:r>
              <w:rPr>
                <w:rFonts w:ascii="Arial" w:cs="Arial" w:eastAsia="Arial" w:hAnsi="Arial"/>
                <w:color w:val="CCDDFF"/>
                <w:sz w:val="22"/>
                <w:szCs w:val="22"/>
              </w:rPr>
              <w:t xml:space="preserve">A living engine that captures how work is done, who did it, and how they were thinking — continuously learning, automatically growing, and making every individual smarter through collective intelligence.</w:t>
            </w:r>
          </w:p>
          <w:p>
            <w:pPr>
              <w:spacing w:after="60" w:before="60"/>
            </w:pPr>
            <w:r>
              <w:rPr>
                <w:rFonts w:ascii="Arial" w:cs="Arial" w:eastAsia="Arial" w:hAnsi="Arial"/>
                <w:sz w:val="10"/>
                <w:szCs w:val="10"/>
              </w:rPr>
              <w:t xml:space="preserve"/>
            </w:r>
          </w:p>
          <w:p>
            <w:pPr>
              <w:spacing w:after="60" w:before="60"/>
            </w:pPr>
            <w:r>
              <w:rPr>
                <w:rFonts w:ascii="Arial" w:cs="Arial" w:eastAsia="Arial" w:hAnsi="Arial"/>
                <w:i/>
                <w:iCs/>
                <w:color w:val="8899CC"/>
                <w:sz w:val="20"/>
                <w:szCs w:val="20"/>
              </w:rPr>
              <w:t xml:space="preserve">This is a living document. It will be revised as the product evolves.</w:t>
            </w:r>
          </w:p>
        </w:tc>
      </w:tr>
    </w:tbl>
    <w:p>
      <w:pPr>
        <w:spacing w:after="0" w:before="600"/>
      </w:pPr>
      <w:r>
        <w:t xml:space="preserve"/>
      </w:r>
    </w:p>
    <w:p>
      <w:r>
        <w:br w:type="page"/>
      </w:r>
    </w:p>
    <w:p>
      <w:pPr>
        <w:pStyle w:val="Heading1"/>
        <w:spacing w:after="160" w:before="400"/>
      </w:pPr>
      <w:r>
        <w:rPr>
          <w:rFonts w:ascii="Arial" w:cs="Arial" w:eastAsia="Arial" w:hAnsi="Arial"/>
          <w:b/>
          <w:bCs/>
          <w:color w:val="0D47A1"/>
          <w:sz w:val="36"/>
          <w:szCs w:val="36"/>
        </w:rPr>
        <w:t xml:space="preserve">1. The Problem</w:t>
      </w:r>
    </w:p>
    <w:p>
      <w:pPr>
        <w:pBdr>
          <w:bottom w:val="single" w:color="E8F0FE" w:sz="4" w:space="1"/>
        </w:pBdr>
        <w:spacing w:after="160" w:before="160"/>
      </w:pPr>
      <w:r>
        <w:t xml:space="preserve"/>
      </w:r>
    </w:p>
    <w:p>
      <w:pPr>
        <w:spacing w:after="80" w:before="80"/>
      </w:pPr>
      <w:r>
        <w:rPr>
          <w:rFonts w:ascii="Arial" w:cs="Arial" w:eastAsia="Arial" w:hAnsi="Arial"/>
          <w:color w:val="444444"/>
          <w:sz w:val="22"/>
          <w:szCs w:val="22"/>
        </w:rPr>
        <w:t xml:space="preserve">Organisations lose their memory constantly. A consultant exits. A minister changes. A team restructures. And with them walks out years of accumulated knowledge — process maps, decision rationale, institutional patterns — gone, or buried somewhere nobody can find.</w:t>
      </w:r>
    </w:p>
    <w:p>
      <w:pPr>
        <w:spacing w:after="0" w:before="120"/>
      </w:pPr>
      <w:r>
        <w:t xml:space="preserve"/>
      </w:r>
    </w:p>
    <w:p>
      <w:pPr>
        <w:spacing w:after="80" w:before="80"/>
      </w:pPr>
      <w:r>
        <w:rPr>
          <w:rFonts w:ascii="Arial" w:cs="Arial" w:eastAsia="Arial" w:hAnsi="Arial"/>
          <w:color w:val="444444"/>
          <w:sz w:val="22"/>
          <w:szCs w:val="22"/>
        </w:rPr>
        <w:t xml:space="preserve">Existing tools don't solve this. Document management systems capture files, not thinking. Knowledge bases require deliberate input nobody has time for. Project tools track tasks, not the intelligence behind them.</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73E8"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GAP</w:t>
            </w:r>
          </w:p>
        </w:tc>
        <w:tc>
          <w:tcPr>
            <w:tcW w:type="dxa" w:w="9160"/>
            <w:tcBorders>
              <w:top w:val="none" w:color="FFFFFF" w:sz="0"/>
              <w:left w:val="none" w:color="FFFFFF" w:sz="0"/>
              <w:bottom w:val="none" w:color="FFFFFF" w:sz="0"/>
              <w:right w:val="none" w:color="FFFFFF" w:sz="0"/>
            </w:tcBorders>
            <w:shd w:fill="E8F0FE" w:val="clear"/>
            <w:tcMar>
              <w:top w:type="dxa" w:w="100"/>
              <w:left w:type="dxa" w:w="160"/>
              <w:bottom w:type="dxa" w:w="100"/>
              <w:right w:type="dxa" w:w="160"/>
            </w:tcMar>
          </w:tcPr>
          <w:p>
            <w:r>
              <w:rPr>
                <w:rFonts w:ascii="Arial" w:cs="Arial" w:eastAsia="Arial" w:hAnsi="Arial"/>
                <w:i/>
                <w:iCs/>
                <w:color w:val="1A1A2E"/>
                <w:sz w:val="20"/>
                <w:szCs w:val="20"/>
              </w:rPr>
              <w:t xml:space="preserve">The gap is not in storage — it is in capture. Nobody has built a system that records how knowledge work actually happens, in real time, passively, without requiring people to change their behaviour.</w:t>
            </w:r>
          </w:p>
        </w:tc>
      </w:tr>
    </w:tbl>
    <w:p>
      <w:pPr>
        <w:spacing w:after="0" w:before="200"/>
      </w:pPr>
      <w:r>
        <w:t xml:space="preserve"/>
      </w:r>
    </w:p>
    <w:p>
      <w:pPr>
        <w:pStyle w:val="Heading2"/>
        <w:spacing w:after="120" w:before="320"/>
      </w:pPr>
      <w:r>
        <w:rPr>
          <w:rFonts w:ascii="Arial" w:cs="Arial" w:eastAsia="Arial" w:hAnsi="Arial"/>
          <w:b/>
          <w:bCs/>
          <w:color w:val="1A73E8"/>
          <w:sz w:val="26"/>
          <w:szCs w:val="26"/>
        </w:rPr>
        <w:t xml:space="preserve">1.1  The Specific Pain</w:t>
      </w:r>
    </w:p>
    <w:p>
      <w:pPr>
        <w:pStyle w:val="ListParagraph"/>
        <w:numPr>
          <w:ilvl w:val="0"/>
          <w:numId w:val="2"/>
        </w:numPr>
        <w:spacing w:after="60" w:before="60"/>
      </w:pPr>
      <w:r>
        <w:rPr>
          <w:rFonts w:ascii="Arial" w:cs="Arial" w:eastAsia="Arial" w:hAnsi="Arial"/>
          <w:color w:val="444444"/>
          <w:sz w:val="22"/>
          <w:szCs w:val="22"/>
        </w:rPr>
        <w:t xml:space="preserve">A civil servant's process map — refined over 3 administrations — exists only in their head and a PDF on a drive nobody can find.</w:t>
      </w:r>
    </w:p>
    <w:p>
      <w:pPr>
        <w:pStyle w:val="ListParagraph"/>
        <w:numPr>
          <w:ilvl w:val="0"/>
          <w:numId w:val="2"/>
        </w:numPr>
        <w:spacing w:after="60" w:before="60"/>
      </w:pPr>
      <w:r>
        <w:rPr>
          <w:rFonts w:ascii="Arial" w:cs="Arial" w:eastAsia="Arial" w:hAnsi="Arial"/>
          <w:color w:val="444444"/>
          <w:sz w:val="22"/>
          <w:szCs w:val="22"/>
        </w:rPr>
        <w:t xml:space="preserve">A donor-funded baseline study gets repeated every 5 years because nobody can access the last one with its full context.</w:t>
      </w:r>
    </w:p>
    <w:p>
      <w:pPr>
        <w:pStyle w:val="ListParagraph"/>
        <w:numPr>
          <w:ilvl w:val="0"/>
          <w:numId w:val="2"/>
        </w:numPr>
        <w:spacing w:after="60" w:before="60"/>
      </w:pPr>
      <w:r>
        <w:rPr>
          <w:rFonts w:ascii="Arial" w:cs="Arial" w:eastAsia="Arial" w:hAnsi="Arial"/>
          <w:color w:val="444444"/>
          <w:sz w:val="22"/>
          <w:szCs w:val="22"/>
        </w:rPr>
        <w:t xml:space="preserve">An NGO's institutional knowledge walks out the door with every consultant who ends their contract.</w:t>
      </w:r>
    </w:p>
    <w:p>
      <w:pPr>
        <w:pStyle w:val="ListParagraph"/>
        <w:numPr>
          <w:ilvl w:val="0"/>
          <w:numId w:val="2"/>
        </w:numPr>
        <w:spacing w:after="60" w:before="60"/>
      </w:pPr>
      <w:r>
        <w:rPr>
          <w:rFonts w:ascii="Arial" w:cs="Arial" w:eastAsia="Arial" w:hAnsi="Arial"/>
          <w:color w:val="444444"/>
          <w:sz w:val="22"/>
          <w:szCs w:val="22"/>
        </w:rPr>
        <w:t xml:space="preserve">A company onboards a new hire and spends 3 months re-explaining context that was never captured.</w:t>
      </w:r>
    </w:p>
    <w:p>
      <w:pPr>
        <w:spacing w:after="0" w:before="200"/>
      </w:pPr>
      <w:r>
        <w:t xml:space="preserve"/>
      </w:r>
    </w:p>
    <w:p>
      <w:pPr>
        <w:pStyle w:val="Heading2"/>
        <w:spacing w:after="120" w:before="320"/>
      </w:pPr>
      <w:r>
        <w:rPr>
          <w:rFonts w:ascii="Arial" w:cs="Arial" w:eastAsia="Arial" w:hAnsi="Arial"/>
          <w:b/>
          <w:bCs/>
          <w:color w:val="1A73E8"/>
          <w:sz w:val="26"/>
          <w:szCs w:val="26"/>
        </w:rPr>
        <w:t xml:space="preserve">1.2  The Contribution Problem</w:t>
      </w:r>
    </w:p>
    <w:p>
      <w:pPr>
        <w:spacing w:after="80" w:before="80"/>
      </w:pPr>
      <w:r>
        <w:rPr>
          <w:rFonts w:ascii="Arial" w:cs="Arial" w:eastAsia="Arial" w:hAnsi="Arial"/>
          <w:color w:val="444444"/>
          <w:sz w:val="22"/>
          <w:szCs w:val="22"/>
        </w:rPr>
        <w:t xml:space="preserve">Pure opt-in knowledge systems fail for a predictable reason: people opt out. Knowledge is leverage. If you are the only one who knows something, you are harder to replace. Rational self-interest drives hoarding, not sharing.</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65100"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NOTE</w:t>
            </w:r>
          </w:p>
        </w:tc>
        <w:tc>
          <w:tcPr>
            <w:tcW w:type="dxa" w:w="9160"/>
            <w:tcBorders>
              <w:top w:val="none" w:color="FFFFFF" w:sz="0"/>
              <w:left w:val="none" w:color="FFFFFF" w:sz="0"/>
              <w:bottom w:val="none" w:color="FFFFFF" w:sz="0"/>
              <w:right w:val="none" w:color="FFFFFF" w:sz="0"/>
            </w:tcBorders>
            <w:shd w:fill="FFF3E0" w:val="clear"/>
            <w:tcMar>
              <w:top w:type="dxa" w:w="100"/>
              <w:left w:type="dxa" w:w="160"/>
              <w:bottom w:type="dxa" w:w="100"/>
              <w:right w:type="dxa" w:w="160"/>
            </w:tcMar>
          </w:tcPr>
          <w:p>
            <w:r>
              <w:rPr>
                <w:rFonts w:ascii="Arial" w:cs="Arial" w:eastAsia="Arial" w:hAnsi="Arial"/>
                <w:i/>
                <w:iCs/>
                <w:color w:val="1A1A2E"/>
                <w:sz w:val="20"/>
                <w:szCs w:val="20"/>
              </w:rPr>
              <w:t xml:space="preserve">WorkPulse does not solve this with policy alone. It solves it by making contribution the path of least resistance — and by making the individual measurably smarter when they participate. The incentive structure must make hoarding costly and sharing rewarding. The social contract between individual and institution on what is expected, what remains private, and what the individual receives in return must be defined at onboarding. This remains an open design challenge to be resolved in future versions.</w:t>
            </w:r>
          </w:p>
        </w:tc>
      </w:tr>
    </w:tbl>
    <w:p>
      <w:pPr>
        <w:spacing w:after="0" w:before="200"/>
      </w:pPr>
      <w:r>
        <w:t xml:space="preserve"/>
      </w:r>
    </w:p>
    <w:p>
      <w:r>
        <w:br w:type="page"/>
      </w:r>
    </w:p>
    <w:p>
      <w:pPr>
        <w:pStyle w:val="Heading1"/>
        <w:spacing w:after="160" w:before="400"/>
      </w:pPr>
      <w:r>
        <w:rPr>
          <w:rFonts w:ascii="Arial" w:cs="Arial" w:eastAsia="Arial" w:hAnsi="Arial"/>
          <w:b/>
          <w:bCs/>
          <w:color w:val="0D47A1"/>
          <w:sz w:val="36"/>
          <w:szCs w:val="36"/>
        </w:rPr>
        <w:t xml:space="preserve">2. The Vision</w:t>
      </w:r>
    </w:p>
    <w:p>
      <w:pPr>
        <w:pBdr>
          <w:bottom w:val="single" w:color="E8F0FE" w:sz="4" w:space="1"/>
        </w:pBdr>
        <w:spacing w:after="160" w:before="160"/>
      </w:pPr>
      <w:r>
        <w:t xml:space="preserve"/>
      </w:r>
    </w:p>
    <w:p>
      <w:pPr>
        <w:spacing w:after="80" w:before="80"/>
      </w:pPr>
      <w:r>
        <w:rPr>
          <w:rFonts w:ascii="Arial" w:cs="Arial" w:eastAsia="Arial" w:hAnsi="Arial"/>
          <w:color w:val="444444"/>
          <w:sz w:val="22"/>
          <w:szCs w:val="22"/>
        </w:rPr>
        <w:t xml:space="preserve">WorkPulse starts as a personal productivity tracker. It grows into the infrastructure layer for institutional memory — a system where the act of doing work automatically builds a navigable, attributed, queryable, continuously learning record of how your organisation thinks and operates.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7A1" w:val="clear"/>
            <w:tcMar>
              <w:top w:type="dxa" w:w="240"/>
              <w:left w:type="dxa" w:w="360"/>
              <w:bottom w:type="dxa" w:w="240"/>
              <w:right w:type="dxa" w:w="360"/>
            </w:tcMar>
          </w:tcPr>
          <w:p>
            <w:pPr>
              <w:spacing w:after="60" w:before="60"/>
            </w:pPr>
            <w:r>
              <w:rPr>
                <w:rFonts w:ascii="Arial" w:cs="Arial" w:eastAsia="Arial" w:hAnsi="Arial"/>
                <w:b/>
                <w:bCs/>
                <w:color w:val="FFFFFF"/>
                <w:sz w:val="22"/>
                <w:szCs w:val="22"/>
              </w:rPr>
              <w:t xml:space="preserve">The System in One Sentence:</w:t>
            </w:r>
          </w:p>
          <w:p>
            <w:pPr>
              <w:spacing w:after="60" w:before="60"/>
            </w:pPr>
            <w:r>
              <w:rPr>
                <w:rFonts w:ascii="Arial" w:cs="Arial" w:eastAsia="Arial" w:hAnsi="Arial"/>
                <w:sz w:val="8"/>
                <w:szCs w:val="8"/>
              </w:rPr>
              <w:t xml:space="preserve"/>
            </w:r>
          </w:p>
          <w:p>
            <w:pPr>
              <w:spacing w:after="60" w:before="60"/>
            </w:pPr>
            <w:r>
              <w:rPr>
                <w:rFonts w:ascii="Arial" w:cs="Arial" w:eastAsia="Arial" w:hAnsi="Arial"/>
                <w:b/>
                <w:bCs/>
                <w:color w:val="CCDDFF"/>
                <w:sz w:val="24"/>
                <w:szCs w:val="24"/>
              </w:rPr>
              <w:t xml:space="preserve">Individual tools feed a single institutional brain that learns continuously, makes every individual smarter through automatic context delivery, and ensures no organisation ever has to start from scratch again.</w:t>
            </w:r>
          </w:p>
        </w:tc>
      </w:tr>
    </w:tbl>
    <w:p>
      <w:pPr>
        <w:spacing w:after="0" w:before="200"/>
      </w:pPr>
      <w:r>
        <w:t xml:space="preserve"/>
      </w:r>
    </w:p>
    <w:p>
      <w:pPr>
        <w:pStyle w:val="Heading2"/>
        <w:spacing w:after="120" w:before="320"/>
      </w:pPr>
      <w:r>
        <w:rPr>
          <w:rFonts w:ascii="Arial" w:cs="Arial" w:eastAsia="Arial" w:hAnsi="Arial"/>
          <w:b/>
          <w:bCs/>
          <w:color w:val="1A73E8"/>
          <w:sz w:val="26"/>
          <w:szCs w:val="26"/>
        </w:rPr>
        <w:t xml:space="preserve">2.1  What It Is Not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color="FFFFFF" w:sz="0"/>
              <w:left w:val="none" w:color="FFFFFF" w:sz="0"/>
              <w:bottom w:val="none" w:color="FFFFFF" w:sz="0"/>
              <w:right w:val="none" w:color="FFFFFF" w:sz="0"/>
            </w:tcBorders>
            <w:shd w:fill="E8F0FE" w:val="clear"/>
            <w:tcMar>
              <w:top w:type="dxa" w:w="160"/>
              <w:left w:type="dxa" w:w="200"/>
              <w:bottom w:type="dxa" w:w="160"/>
              <w:right w:type="dxa" w:w="200"/>
            </w:tcMar>
          </w:tcPr>
          <w:p>
            <w:pPr>
              <w:spacing w:after="80" w:before="60"/>
            </w:pPr>
            <w:r>
              <w:rPr>
                <w:rFonts w:ascii="Arial" w:cs="Arial" w:eastAsia="Arial" w:hAnsi="Arial"/>
                <w:b/>
                <w:bCs/>
                <w:color w:val="0D47A1"/>
                <w:sz w:val="22"/>
                <w:szCs w:val="22"/>
              </w:rPr>
              <w:t xml:space="preserve">What WorkPulse IS</w:t>
            </w:r>
          </w:p>
          <w:p>
            <w:pPr>
              <w:pStyle w:val="ListParagraph"/>
              <w:numPr>
                <w:ilvl w:val="0"/>
                <w:numId w:val="2"/>
              </w:numPr>
              <w:spacing w:after="40" w:before="40"/>
            </w:pPr>
            <w:r>
              <w:rPr>
                <w:rFonts w:ascii="Arial" w:cs="Arial" w:eastAsia="Arial" w:hAnsi="Arial"/>
                <w:color w:val="444444"/>
                <w:sz w:val="20"/>
                <w:szCs w:val="20"/>
              </w:rPr>
              <w:t xml:space="preserve">A personal AI working tool — conversational, active, daily</w:t>
            </w:r>
          </w:p>
          <w:p>
            <w:pPr>
              <w:pStyle w:val="ListParagraph"/>
              <w:numPr>
                <w:ilvl w:val="0"/>
                <w:numId w:val="2"/>
              </w:numPr>
              <w:spacing w:after="40" w:before="40"/>
            </w:pPr>
            <w:r>
              <w:rPr>
                <w:rFonts w:ascii="Arial" w:cs="Arial" w:eastAsia="Arial" w:hAnsi="Arial"/>
                <w:color w:val="444444"/>
                <w:sz w:val="20"/>
                <w:szCs w:val="20"/>
              </w:rPr>
              <w:t xml:space="preserve">Local-first — your data lives on your machine</w:t>
            </w:r>
          </w:p>
          <w:p>
            <w:pPr>
              <w:pStyle w:val="ListParagraph"/>
              <w:numPr>
                <w:ilvl w:val="0"/>
                <w:numId w:val="2"/>
              </w:numPr>
              <w:spacing w:after="40" w:before="40"/>
            </w:pPr>
            <w:r>
              <w:rPr>
                <w:rFonts w:ascii="Arial" w:cs="Arial" w:eastAsia="Arial" w:hAnsi="Arial"/>
                <w:color w:val="444444"/>
                <w:sz w:val="20"/>
                <w:szCs w:val="20"/>
              </w:rPr>
              <w:t xml:space="preserve">The entry point for all institutional intelligence</w:t>
            </w:r>
          </w:p>
          <w:p>
            <w:pPr>
              <w:pStyle w:val="ListParagraph"/>
              <w:numPr>
                <w:ilvl w:val="0"/>
                <w:numId w:val="2"/>
              </w:numPr>
              <w:spacing w:after="40" w:before="40"/>
            </w:pPr>
            <w:r>
              <w:rPr>
                <w:rFonts w:ascii="Arial" w:cs="Arial" w:eastAsia="Arial" w:hAnsi="Arial"/>
                <w:color w:val="444444"/>
                <w:sz w:val="20"/>
                <w:szCs w:val="20"/>
              </w:rPr>
              <w:t xml:space="preserve">Gets smarter as the Institution Brain grows</w:t>
            </w:r>
          </w:p>
        </w:tc>
        <w:tc>
          <w:tcPr>
            <w:tcW w:type="dxa" w:w="240"/>
            <w:tcBorders>
              <w:top w:val="none" w:color="FFFFFF" w:sz="0"/>
              <w:left w:val="none" w:color="FFFFFF" w:sz="0"/>
              <w:bottom w:val="none" w:color="FFFFFF" w:sz="0"/>
              <w:right w:val="none" w:color="FFFFFF" w:sz="0"/>
            </w:tcBorders>
            <w:shd w:fill="FFFFFF" w:val="clear"/>
          </w:tcPr>
          <w:p>
            <w:r>
              <w:t xml:space="preserve"/>
            </w:r>
          </w:p>
        </w:tc>
        <w:tc>
          <w:tcPr>
            <w:tcW w:type="dxa" w:w="4560"/>
            <w:tcBorders>
              <w:top w:val="none" w:color="FFFFFF" w:sz="0"/>
              <w:left w:val="none" w:color="FFFFFF" w:sz="0"/>
              <w:bottom w:val="none" w:color="FFFFFF" w:sz="0"/>
              <w:right w:val="none" w:color="FFFFFF" w:sz="0"/>
            </w:tcBorders>
            <w:shd w:fill="E8F5E9" w:val="clear"/>
            <w:tcMar>
              <w:top w:type="dxa" w:w="160"/>
              <w:left w:type="dxa" w:w="200"/>
              <w:bottom w:type="dxa" w:w="160"/>
              <w:right w:type="dxa" w:w="200"/>
            </w:tcMar>
          </w:tcPr>
          <w:p>
            <w:pPr>
              <w:spacing w:after="80" w:before="60"/>
            </w:pPr>
            <w:r>
              <w:rPr>
                <w:rFonts w:ascii="Arial" w:cs="Arial" w:eastAsia="Arial" w:hAnsi="Arial"/>
                <w:b/>
                <w:bCs/>
                <w:color w:val="1B5E20"/>
                <w:sz w:val="22"/>
                <w:szCs w:val="22"/>
              </w:rPr>
              <w:t xml:space="preserve">What the Institution Brain IS</w:t>
            </w:r>
          </w:p>
          <w:p>
            <w:pPr>
              <w:pStyle w:val="ListParagraph"/>
              <w:numPr>
                <w:ilvl w:val="0"/>
                <w:numId w:val="2"/>
              </w:numPr>
              <w:spacing w:after="40" w:before="40"/>
            </w:pPr>
            <w:r>
              <w:rPr>
                <w:rFonts w:ascii="Arial" w:cs="Arial" w:eastAsia="Arial" w:hAnsi="Arial"/>
                <w:color w:val="444444"/>
                <w:sz w:val="20"/>
                <w:szCs w:val="20"/>
              </w:rPr>
              <w:t xml:space="preserve">A passive intelligence ledger — not a working tool</w:t>
            </w:r>
          </w:p>
          <w:p>
            <w:pPr>
              <w:pStyle w:val="ListParagraph"/>
              <w:numPr>
                <w:ilvl w:val="0"/>
                <w:numId w:val="2"/>
              </w:numPr>
              <w:spacing w:after="40" w:before="40"/>
            </w:pPr>
            <w:r>
              <w:rPr>
                <w:rFonts w:ascii="Arial" w:cs="Arial" w:eastAsia="Arial" w:hAnsi="Arial"/>
                <w:color w:val="444444"/>
                <w:sz w:val="20"/>
                <w:szCs w:val="20"/>
              </w:rPr>
              <w:t xml:space="preserve">One per organisation — not one per project</w:t>
            </w:r>
          </w:p>
          <w:p>
            <w:pPr>
              <w:pStyle w:val="ListParagraph"/>
              <w:numPr>
                <w:ilvl w:val="0"/>
                <w:numId w:val="2"/>
              </w:numPr>
              <w:spacing w:after="40" w:before="40"/>
            </w:pPr>
            <w:r>
              <w:rPr>
                <w:rFonts w:ascii="Arial" w:cs="Arial" w:eastAsia="Arial" w:hAnsi="Arial"/>
                <w:color w:val="444444"/>
                <w:sz w:val="20"/>
                <w:szCs w:val="20"/>
              </w:rPr>
              <w:t xml:space="preserve">No conversation interface — viewed and queried only</w:t>
            </w:r>
          </w:p>
          <w:p>
            <w:pPr>
              <w:pStyle w:val="ListParagraph"/>
              <w:numPr>
                <w:ilvl w:val="0"/>
                <w:numId w:val="2"/>
              </w:numPr>
              <w:spacing w:after="40" w:before="40"/>
            </w:pPr>
            <w:r>
              <w:rPr>
                <w:rFonts w:ascii="Arial" w:cs="Arial" w:eastAsia="Arial" w:hAnsi="Arial"/>
                <w:color w:val="444444"/>
                <w:sz w:val="20"/>
                <w:szCs w:val="20"/>
              </w:rPr>
              <w:t xml:space="preserve">Continuously learning — not manually managed</w:t>
            </w:r>
          </w:p>
        </w:tc>
      </w:tr>
    </w:tbl>
    <w:p>
      <w:pPr>
        <w:spacing w:after="0" w:before="200"/>
      </w:pPr>
      <w:r>
        <w:t xml:space="preserve"/>
      </w:r>
    </w:p>
    <w:p>
      <w:r>
        <w:br w:type="page"/>
      </w:r>
    </w:p>
    <w:p>
      <w:pPr>
        <w:pStyle w:val="Heading1"/>
        <w:spacing w:after="160" w:before="400"/>
      </w:pPr>
      <w:r>
        <w:rPr>
          <w:rFonts w:ascii="Arial" w:cs="Arial" w:eastAsia="Arial" w:hAnsi="Arial"/>
          <w:b/>
          <w:bCs/>
          <w:color w:val="0D47A1"/>
          <w:sz w:val="36"/>
          <w:szCs w:val="36"/>
        </w:rPr>
        <w:t xml:space="preserve">3. System Architecture</w:t>
      </w:r>
    </w:p>
    <w:p>
      <w:pPr>
        <w:pBdr>
          <w:bottom w:val="single" w:color="E8F0FE" w:sz="4" w:space="1"/>
        </w:pBdr>
        <w:spacing w:after="160" w:before="160"/>
      </w:pPr>
      <w:r>
        <w:t xml:space="preserve"/>
      </w:r>
    </w:p>
    <w:p>
      <w:pPr>
        <w:spacing w:after="80" w:before="80"/>
      </w:pPr>
      <w:r>
        <w:rPr>
          <w:rFonts w:ascii="Arial" w:cs="Arial" w:eastAsia="Arial" w:hAnsi="Arial"/>
          <w:color w:val="444444"/>
          <w:sz w:val="22"/>
          <w:szCs w:val="22"/>
        </w:rPr>
        <w:t xml:space="preserve">The system has two distinct layers. They are fundamentally different kinds of tools that serve different purposes. Understanding the separation is critical to understanding how the system works.</w:t>
      </w:r>
    </w:p>
    <w:p>
      <w:pPr>
        <w:spacing w:after="0" w:before="200"/>
      </w:pPr>
      <w:r>
        <w:t xml:space="preserve"/>
      </w:r>
    </w:p>
    <w:p>
      <w:pPr>
        <w:pStyle w:val="Heading2"/>
        <w:spacing w:after="120" w:before="320"/>
      </w:pPr>
      <w:r>
        <w:rPr>
          <w:rFonts w:ascii="Arial" w:cs="Arial" w:eastAsia="Arial" w:hAnsi="Arial"/>
          <w:b/>
          <w:bCs/>
          <w:color w:val="1A73E8"/>
          <w:sz w:val="26"/>
          <w:szCs w:val="26"/>
        </w:rPr>
        <w:t xml:space="preserve">3.1  Layer 1 — Individual WorkPulse</w:t>
      </w:r>
    </w:p>
    <w:p>
      <w:pPr>
        <w:spacing w:after="80" w:before="80"/>
      </w:pPr>
      <w:r>
        <w:rPr>
          <w:rFonts w:ascii="Arial" w:cs="Arial" w:eastAsia="Arial" w:hAnsi="Arial"/>
          <w:color w:val="444444"/>
          <w:sz w:val="22"/>
          <w:szCs w:val="22"/>
        </w:rPr>
        <w:t xml:space="preserve">The foundation. A personal AI working tool that runs locally on each person's machine. It is conversational, active, and used daily. It tracks:</w:t>
      </w:r>
    </w:p>
    <w:p>
      <w:pPr>
        <w:pStyle w:val="ListParagraph"/>
        <w:numPr>
          <w:ilvl w:val="0"/>
          <w:numId w:val="2"/>
        </w:numPr>
        <w:spacing w:after="60" w:before="60"/>
      </w:pPr>
      <w:r>
        <w:rPr>
          <w:rFonts w:ascii="Arial" w:cs="Arial" w:eastAsia="Arial" w:hAnsi="Arial"/>
          <w:color w:val="444444"/>
          <w:sz w:val="22"/>
          <w:szCs w:val="22"/>
        </w:rPr>
        <w:t xml:space="preserve">Window focus time by application and project</w:t>
      </w:r>
    </w:p>
    <w:p>
      <w:pPr>
        <w:pStyle w:val="ListParagraph"/>
        <w:numPr>
          <w:ilvl w:val="0"/>
          <w:numId w:val="2"/>
        </w:numPr>
        <w:spacing w:after="60" w:before="60"/>
      </w:pPr>
      <w:r>
        <w:rPr>
          <w:rFonts w:ascii="Arial" w:cs="Arial" w:eastAsia="Arial" w:hAnsi="Arial"/>
          <w:color w:val="444444"/>
          <w:sz w:val="22"/>
          <w:szCs w:val="22"/>
        </w:rPr>
        <w:t xml:space="preserve">File activity — creations, modifications, deletions — tagged to work streams</w:t>
      </w:r>
    </w:p>
    <w:p>
      <w:pPr>
        <w:pStyle w:val="ListParagraph"/>
        <w:numPr>
          <w:ilvl w:val="0"/>
          <w:numId w:val="2"/>
        </w:numPr>
        <w:spacing w:after="60" w:before="60"/>
      </w:pPr>
      <w:r>
        <w:rPr>
          <w:rFonts w:ascii="Arial" w:cs="Arial" w:eastAsia="Arial" w:hAnsi="Arial"/>
          <w:color w:val="444444"/>
          <w:sz w:val="22"/>
          <w:szCs w:val="22"/>
        </w:rPr>
        <w:t xml:space="preserve">AI session logs — topic, duration, output summary</w:t>
      </w:r>
    </w:p>
    <w:p>
      <w:pPr>
        <w:pStyle w:val="ListParagraph"/>
        <w:numPr>
          <w:ilvl w:val="0"/>
          <w:numId w:val="2"/>
        </w:numPr>
        <w:spacing w:after="60" w:before="60"/>
      </w:pPr>
      <w:r>
        <w:rPr>
          <w:rFonts w:ascii="Arial" w:cs="Arial" w:eastAsia="Arial" w:hAnsi="Arial"/>
          <w:color w:val="444444"/>
          <w:sz w:val="22"/>
          <w:szCs w:val="22"/>
        </w:rPr>
        <w:t xml:space="preserve">Behavioural patterns — focus scores, context switching, deep work periods</w:t>
      </w:r>
    </w:p>
    <w:p>
      <w:pPr>
        <w:spacing w:after="0" w:before="100"/>
      </w:pPr>
      <w:r>
        <w:t xml:space="preserve"/>
      </w:r>
    </w:p>
    <w:p>
      <w:pPr>
        <w:spacing w:after="80" w:before="80"/>
      </w:pPr>
      <w:r>
        <w:rPr>
          <w:rFonts w:ascii="Arial" w:cs="Arial" w:eastAsia="Arial" w:hAnsi="Arial"/>
          <w:color w:val="444444"/>
          <w:sz w:val="22"/>
          <w:szCs w:val="22"/>
        </w:rPr>
        <w:t xml:space="preserve">All data is local-first. The individual owns everything at this layer. The tool improves as the Institution Brain feeds it relevant organisational context — but the individual always experiences intelligence through their own personal tool. Nobody works in the Institution Brain directly. Not even the CEO.</w:t>
      </w:r>
    </w:p>
    <w:p>
      <w:pPr>
        <w:spacing w:after="0" w:before="200"/>
      </w:pPr>
      <w:r>
        <w:t xml:space="preserve"/>
      </w:r>
    </w:p>
    <w:p>
      <w:pPr>
        <w:pStyle w:val="Heading2"/>
        <w:spacing w:after="120" w:before="320"/>
      </w:pPr>
      <w:r>
        <w:rPr>
          <w:rFonts w:ascii="Arial" w:cs="Arial" w:eastAsia="Arial" w:hAnsi="Arial"/>
          <w:b/>
          <w:bCs/>
          <w:color w:val="1A73E8"/>
          <w:sz w:val="26"/>
          <w:szCs w:val="26"/>
        </w:rPr>
        <w:t xml:space="preserve">3.2  Layer 2 — Institution Brain</w:t>
      </w:r>
    </w:p>
    <w:p>
      <w:pPr>
        <w:spacing w:after="80" w:before="80"/>
      </w:pPr>
      <w:r>
        <w:rPr>
          <w:rFonts w:ascii="Arial" w:cs="Arial" w:eastAsia="Arial" w:hAnsi="Arial"/>
          <w:color w:val="444444"/>
          <w:sz w:val="22"/>
          <w:szCs w:val="22"/>
        </w:rPr>
        <w:t xml:space="preserve">One per organisation. Always on. Never a working tool. It receives fingerprints from all connected WorkPulses, learns continuously, and pushes relevant intelligence back to individuals automatically. It can be viewed and queried by authorised roles through a backend admin console — but nobody lives in it.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73E8"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KEY PRINCIPLE</w:t>
            </w:r>
          </w:p>
        </w:tc>
        <w:tc>
          <w:tcPr>
            <w:tcW w:type="dxa" w:w="9160"/>
            <w:tcBorders>
              <w:top w:val="none" w:color="FFFFFF" w:sz="0"/>
              <w:left w:val="none" w:color="FFFFFF" w:sz="0"/>
              <w:bottom w:val="none" w:color="FFFFFF" w:sz="0"/>
              <w:right w:val="none" w:color="FFFFFF" w:sz="0"/>
            </w:tcBorders>
            <w:shd w:fill="E8F0FE" w:val="clear"/>
            <w:tcMar>
              <w:top w:type="dxa" w:w="100"/>
              <w:left w:type="dxa" w:w="160"/>
              <w:bottom w:type="dxa" w:w="100"/>
              <w:right w:type="dxa" w:w="160"/>
            </w:tcMar>
          </w:tcPr>
          <w:p>
            <w:r>
              <w:rPr>
                <w:rFonts w:ascii="Arial" w:cs="Arial" w:eastAsia="Arial" w:hAnsi="Arial"/>
                <w:i/>
                <w:iCs/>
                <w:color w:val="1A1A2E"/>
                <w:sz w:val="20"/>
                <w:szCs w:val="20"/>
              </w:rPr>
              <w:t xml:space="preserve">The Institution Brain is infrastructure — like a cloud environment. Individuals are endpoints. The Brain serves intelligence to endpoints. Endpoints feed data back to the Brain. The loop is continuous and automated. No human manages the flow day-to-day.</w:t>
            </w:r>
          </w:p>
        </w:tc>
      </w:tr>
    </w:tbl>
    <w:p>
      <w:pPr>
        <w:spacing w:after="0" w:before="200"/>
      </w:pPr>
      <w:r>
        <w:t xml:space="preserve"/>
      </w:r>
    </w:p>
    <w:p>
      <w:pPr>
        <w:pStyle w:val="Heading2"/>
        <w:spacing w:after="120" w:before="320"/>
      </w:pPr>
      <w:r>
        <w:rPr>
          <w:rFonts w:ascii="Arial" w:cs="Arial" w:eastAsia="Arial" w:hAnsi="Arial"/>
          <w:b/>
          <w:bCs/>
          <w:color w:val="1A73E8"/>
          <w:sz w:val="26"/>
          <w:szCs w:val="26"/>
        </w:rPr>
        <w:t xml:space="preserve">3.3  The Full System Flow</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c>
          <w:tcPr>
            <w:tcW w:type="dxa" w:w="20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Direction</w:t>
            </w:r>
          </w:p>
        </w:tc>
        <w:tc>
          <w:tcPr>
            <w:tcW w:type="dxa" w:w="28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What Moves</w:t>
            </w:r>
          </w:p>
        </w:tc>
        <w:tc>
          <w:tcPr>
            <w:tcW w:type="dxa" w:w="24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216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Who Controls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Individual → Brain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Knowledge fingerprints of contributed 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User opts a task 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Individual</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Brain → Individual</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Relevant organisational context, prior work, expertise signals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Brain detects relevance automatically</w:t>
            </w:r>
          </w:p>
        </w:tc>
        <w:tc>
          <w:tcPr>
            <w:tcW w:type="dxa" w:w="2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Brain learning engine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Brain → Individual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Scheduled intelligence briefings (e.g. monthly org summary to CEO)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Configured once in admin console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Admin console (one-time setup)</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Admin Console → Brain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Governance actions — retract, validate, configure rules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Human decision required</w:t>
            </w:r>
          </w:p>
        </w:tc>
        <w:tc>
          <w:tcPr>
            <w:tcW w:type="dxa" w:w="2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Designated Brain operator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Brain → External Brain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Scoped, time-limited intelligence on strict privilege connection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Explicit cross-org agreement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Admin console + governance layer</w:t>
            </w:r>
          </w:p>
        </w:tc>
      </w:tr>
    </w:tbl>
    <w:p>
      <w:pPr>
        <w:spacing w:after="0" w:before="200"/>
      </w:pPr>
      <w:r>
        <w:t xml:space="preserve"/>
      </w:r>
    </w:p>
    <w:p>
      <w:r>
        <w:br w:type="page"/>
      </w:r>
    </w:p>
    <w:p>
      <w:pPr>
        <w:pStyle w:val="Heading1"/>
        <w:spacing w:after="160" w:before="400"/>
      </w:pPr>
      <w:r>
        <w:rPr>
          <w:rFonts w:ascii="Arial" w:cs="Arial" w:eastAsia="Arial" w:hAnsi="Arial"/>
          <w:b/>
          <w:bCs/>
          <w:color w:val="0D47A1"/>
          <w:sz w:val="36"/>
          <w:szCs w:val="36"/>
        </w:rPr>
        <w:t xml:space="preserve">4. The Institution Brain — Design</w:t>
      </w:r>
    </w:p>
    <w:p>
      <w:pPr>
        <w:pBdr>
          <w:bottom w:val="single" w:color="E8F0FE"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73E8"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ANALOGY</w:t>
            </w:r>
          </w:p>
        </w:tc>
        <w:tc>
          <w:tcPr>
            <w:tcW w:type="dxa" w:w="9160"/>
            <w:tcBorders>
              <w:top w:val="none" w:color="FFFFFF" w:sz="0"/>
              <w:left w:val="none" w:color="FFFFFF" w:sz="0"/>
              <w:bottom w:val="none" w:color="FFFFFF" w:sz="0"/>
              <w:right w:val="none" w:color="FFFFFF" w:sz="0"/>
            </w:tcBorders>
            <w:shd w:fill="E8F0FE" w:val="clear"/>
            <w:tcMar>
              <w:top w:type="dxa" w:w="100"/>
              <w:left w:type="dxa" w:w="160"/>
              <w:bottom w:type="dxa" w:w="100"/>
              <w:right w:type="dxa" w:w="160"/>
            </w:tcMar>
          </w:tcPr>
          <w:p>
            <w:r>
              <w:rPr>
                <w:rFonts w:ascii="Arial" w:cs="Arial" w:eastAsia="Arial" w:hAnsi="Arial"/>
                <w:i/>
                <w:iCs/>
                <w:color w:val="1A1A2E"/>
                <w:sz w:val="20"/>
                <w:szCs w:val="20"/>
              </w:rPr>
              <w:t xml:space="preserve">Think of how CloudOps provisions a cloud environment for an institution. The institution does not live in the cloud console. The cloud runs silently. Administrators interact with it through a backend interface. It serves resources to endpoints on demand or on schedule. The Institution Brain works identically — it is infrastructure, not a workplace.</w:t>
            </w:r>
          </w:p>
        </w:tc>
      </w:tr>
    </w:tbl>
    <w:p>
      <w:pPr>
        <w:spacing w:after="0" w:before="200"/>
      </w:pPr>
      <w:r>
        <w:t xml:space="preserve"/>
      </w:r>
    </w:p>
    <w:p>
      <w:pPr>
        <w:pStyle w:val="Heading2"/>
        <w:spacing w:after="120" w:before="320"/>
      </w:pPr>
      <w:r>
        <w:rPr>
          <w:rFonts w:ascii="Arial" w:cs="Arial" w:eastAsia="Arial" w:hAnsi="Arial"/>
          <w:b/>
          <w:bCs/>
          <w:color w:val="1A73E8"/>
          <w:sz w:val="26"/>
          <w:szCs w:val="26"/>
        </w:rPr>
        <w:t xml:space="preserve">4.1  What the Brain Holds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Data Type</w:t>
            </w:r>
          </w:p>
        </w:tc>
        <w:tc>
          <w:tcPr>
            <w:tcW w:type="dxa" w:w="42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Source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Knowledge fingerprints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Semantic summaries of opted-in work — approach, concepts, time, tools, outcome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Individual WorkPulses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Expertise map</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Who knows what, how deeply, how recently — continuously updated</w:t>
            </w:r>
          </w:p>
        </w:tc>
        <w:tc>
          <w:tcPr>
            <w:tcW w:type="dxa" w:w="2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Derived from fingerprints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Knowledge graph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How ideas, projects, and people connect across the organisation over time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Derived — built by learning engine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Contribution quality scores</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How each fingerprint has performed over time based on downstream outcomes</w:t>
            </w:r>
          </w:p>
        </w:tc>
        <w:tc>
          <w:tcPr>
            <w:tcW w:type="dxa" w:w="2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Outcome feedback loop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Gap map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Knowledge areas that are active but under-documented — flagged automatically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Derived — learning engine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Attribution ledger</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Cryptographic record of who contributed what and when</w:t>
            </w:r>
          </w:p>
        </w:tc>
        <w:tc>
          <w:tcPr>
            <w:tcW w:type="dxa" w:w="2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Individual WorkPulses</w:t>
            </w:r>
          </w:p>
        </w:tc>
      </w:tr>
    </w:tbl>
    <w:p>
      <w:pPr>
        <w:spacing w:after="0" w:before="200"/>
      </w:pPr>
      <w:r>
        <w:t xml:space="preserve"/>
      </w:r>
    </w:p>
    <w:p>
      <w:pPr>
        <w:pStyle w:val="Heading2"/>
        <w:spacing w:after="120" w:before="320"/>
      </w:pPr>
      <w:r>
        <w:rPr>
          <w:rFonts w:ascii="Arial" w:cs="Arial" w:eastAsia="Arial" w:hAnsi="Arial"/>
          <w:b/>
          <w:bCs/>
          <w:color w:val="1A73E8"/>
          <w:sz w:val="26"/>
          <w:szCs w:val="26"/>
        </w:rPr>
        <w:t xml:space="preserve">4.2  The Learning Engine</w:t>
      </w:r>
    </w:p>
    <w:p>
      <w:pPr>
        <w:spacing w:after="80" w:before="80"/>
      </w:pPr>
      <w:r>
        <w:rPr>
          <w:rFonts w:ascii="Arial" w:cs="Arial" w:eastAsia="Arial" w:hAnsi="Arial"/>
          <w:color w:val="444444"/>
          <w:sz w:val="22"/>
          <w:szCs w:val="22"/>
        </w:rPr>
        <w:t xml:space="preserve">The Brain is not a filing system. It is a continuously learning model of how the organisation knows and works. The learning engine runs autonomously within governance rules set at configuration:</w:t>
      </w:r>
    </w:p>
    <w:p>
      <w:pPr>
        <w:spacing w:after="0" w:before="100"/>
      </w:pPr>
      <w:r>
        <w:t xml:space="preserve"/>
      </w:r>
    </w:p>
    <w:p>
      <w:pPr>
        <w:pStyle w:val="ListParagraph"/>
        <w:numPr>
          <w:ilvl w:val="0"/>
          <w:numId w:val="2"/>
        </w:numPr>
        <w:spacing w:after="60" w:before="60"/>
      </w:pPr>
      <w:r>
        <w:rPr>
          <w:rFonts w:ascii="Arial" w:cs="Arial" w:eastAsia="Arial" w:hAnsi="Arial"/>
          <w:color w:val="444444"/>
          <w:sz w:val="22"/>
          <w:szCs w:val="22"/>
        </w:rPr>
        <w:t xml:space="preserve">Receives new fingerprints and integrates them into the knowledge graph</w:t>
      </w:r>
    </w:p>
    <w:p>
      <w:pPr>
        <w:pStyle w:val="ListParagraph"/>
        <w:numPr>
          <w:ilvl w:val="0"/>
          <w:numId w:val="2"/>
        </w:numPr>
        <w:spacing w:after="60" w:before="60"/>
      </w:pPr>
      <w:r>
        <w:rPr>
          <w:rFonts w:ascii="Arial" w:cs="Arial" w:eastAsia="Arial" w:hAnsi="Arial"/>
          <w:color w:val="444444"/>
          <w:sz w:val="22"/>
          <w:szCs w:val="22"/>
        </w:rPr>
        <w:t xml:space="preserve">Updates the expertise map every time a contribution arrives</w:t>
      </w:r>
    </w:p>
    <w:p>
      <w:pPr>
        <w:pStyle w:val="ListParagraph"/>
        <w:numPr>
          <w:ilvl w:val="0"/>
          <w:numId w:val="2"/>
        </w:numPr>
        <w:spacing w:after="60" w:before="60"/>
      </w:pPr>
      <w:r>
        <w:rPr>
          <w:rFonts w:ascii="Arial" w:cs="Arial" w:eastAsia="Arial" w:hAnsi="Arial"/>
          <w:color w:val="444444"/>
          <w:sz w:val="22"/>
          <w:szCs w:val="22"/>
        </w:rPr>
        <w:t xml:space="preserve">Detects when a new contribution connects to prior work — building lineage chains automatically</w:t>
      </w:r>
    </w:p>
    <w:p>
      <w:pPr>
        <w:pStyle w:val="ListParagraph"/>
        <w:numPr>
          <w:ilvl w:val="0"/>
          <w:numId w:val="2"/>
        </w:numPr>
        <w:spacing w:after="60" w:before="60"/>
      </w:pPr>
      <w:r>
        <w:rPr>
          <w:rFonts w:ascii="Arial" w:cs="Arial" w:eastAsia="Arial" w:hAnsi="Arial"/>
          <w:color w:val="444444"/>
          <w:sz w:val="22"/>
          <w:szCs w:val="22"/>
        </w:rPr>
        <w:t xml:space="preserve">Monitors outcome signals to update contribution quality scores over time</w:t>
      </w:r>
    </w:p>
    <w:p>
      <w:pPr>
        <w:pStyle w:val="ListParagraph"/>
        <w:numPr>
          <w:ilvl w:val="0"/>
          <w:numId w:val="2"/>
        </w:numPr>
        <w:spacing w:after="60" w:before="60"/>
      </w:pPr>
      <w:r>
        <w:rPr>
          <w:rFonts w:ascii="Arial" w:cs="Arial" w:eastAsia="Arial" w:hAnsi="Arial"/>
          <w:color w:val="444444"/>
          <w:sz w:val="22"/>
          <w:szCs w:val="22"/>
        </w:rPr>
        <w:t xml:space="preserve">Identifies knowledge gaps — active project areas with thin documentation</w:t>
      </w:r>
    </w:p>
    <w:p>
      <w:pPr>
        <w:pStyle w:val="ListParagraph"/>
        <w:numPr>
          <w:ilvl w:val="0"/>
          <w:numId w:val="2"/>
        </w:numPr>
        <w:spacing w:after="60" w:before="60"/>
      </w:pPr>
      <w:r>
        <w:rPr>
          <w:rFonts w:ascii="Arial" w:cs="Arial" w:eastAsia="Arial" w:hAnsi="Arial"/>
          <w:color w:val="444444"/>
          <w:sz w:val="22"/>
          <w:szCs w:val="22"/>
        </w:rPr>
        <w:t xml:space="preserve">Learns push relevance — what context to send to which individual and when, getting more precise over time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5E20"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CRITICAL DISTINCTION</w:t>
            </w:r>
          </w:p>
        </w:tc>
        <w:tc>
          <w:tcPr>
            <w:tcW w:type="dxa" w:w="9160"/>
            <w:tcBorders>
              <w:top w:val="none" w:color="FFFFFF" w:sz="0"/>
              <w:left w:val="none" w:color="FFFFFF" w:sz="0"/>
              <w:bottom w:val="none" w:color="FFFFFF" w:sz="0"/>
              <w:right w:val="none" w:color="FFFFFF" w:sz="0"/>
            </w:tcBorders>
            <w:shd w:fill="E8F5E9" w:val="clear"/>
            <w:tcMar>
              <w:top w:type="dxa" w:w="100"/>
              <w:left w:type="dxa" w:w="160"/>
              <w:bottom w:type="dxa" w:w="100"/>
              <w:right w:type="dxa" w:w="160"/>
            </w:tcMar>
          </w:tcPr>
          <w:p>
            <w:r>
              <w:rPr>
                <w:rFonts w:ascii="Arial" w:cs="Arial" w:eastAsia="Arial" w:hAnsi="Arial"/>
                <w:i/>
                <w:iCs/>
                <w:color w:val="1A1A2E"/>
                <w:sz w:val="20"/>
                <w:szCs w:val="20"/>
              </w:rPr>
              <w:t xml:space="preserve">The learning engine runs itself. It does not require a human to decide what to push, when, or to whom. It learns these patterns from the data. The admin console exists for governance and exceptions — not for managing the flow. A manually managed push system is a surveillance system. An automated learning engine is a colleague.</w:t>
            </w:r>
          </w:p>
        </w:tc>
      </w:tr>
    </w:tbl>
    <w:p>
      <w:pPr>
        <w:spacing w:after="0" w:before="200"/>
      </w:pPr>
      <w:r>
        <w:t xml:space="preserve"/>
      </w:r>
    </w:p>
    <w:p>
      <w:pPr>
        <w:pStyle w:val="Heading2"/>
        <w:spacing w:after="120" w:before="320"/>
      </w:pPr>
      <w:r>
        <w:rPr>
          <w:rFonts w:ascii="Arial" w:cs="Arial" w:eastAsia="Arial" w:hAnsi="Arial"/>
          <w:b/>
          <w:bCs/>
          <w:color w:val="1A73E8"/>
          <w:sz w:val="26"/>
          <w:szCs w:val="26"/>
        </w:rPr>
        <w:t xml:space="preserve">4.3  The Push Engine</w:t>
      </w:r>
    </w:p>
    <w:p>
      <w:pPr>
        <w:spacing w:after="80" w:before="80"/>
      </w:pPr>
      <w:r>
        <w:rPr>
          <w:rFonts w:ascii="Arial" w:cs="Arial" w:eastAsia="Arial" w:hAnsi="Arial"/>
          <w:color w:val="444444"/>
          <w:sz w:val="22"/>
          <w:szCs w:val="22"/>
        </w:rPr>
        <w:t xml:space="preserve">The push engine is what makes individual WorkPulses feel intelligent with organisational context. It operates on triggers, not schedules: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36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c>
          <w:tcPr>
            <w:tcW w:type="dxa" w:w="336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Individual starts work in a domain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Brain detects context signal, searches for relevant prior work, pushes fingerprint to WorkPulse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George opens a carbon methodology — Brain pushes Jane's 2023 adjacent work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New contribution arrives</w:t>
            </w:r>
          </w:p>
        </w:tc>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Brain checks for knowledge graph connections, notifies relevant individuals of related prior work</w:t>
            </w:r>
          </w:p>
        </w:tc>
        <w:tc>
          <w:tcPr>
            <w:tcW w:type="dxa" w:w="3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New permitting work arrives — Brain flags connection to 2021 land tenure fingerprint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Gap detected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Brain flags to admin console and optionally to relevant team members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Three projects touch climate finance but no contributions exist — gap flagged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Scheduled briefing</w:t>
            </w:r>
          </w:p>
        </w:tc>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Configured once — Brain compiles and pushes org intelligence summary</w:t>
            </w:r>
          </w:p>
        </w:tc>
        <w:tc>
          <w:tcPr>
            <w:tcW w:type="dxa" w:w="3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Monthly org summary delivered to CEO's WorkPulse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Quality score change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Brain updates push weight of affected fingerprints across all connected WorkPulses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Contribution consistently cited in successful outcomes — weight increases</w:t>
            </w:r>
          </w:p>
        </w:tc>
      </w:tr>
    </w:tbl>
    <w:p>
      <w:pPr>
        <w:spacing w:after="0" w:before="200"/>
      </w:pPr>
      <w:r>
        <w:t xml:space="preserve"/>
      </w:r>
    </w:p>
    <w:p>
      <w:r>
        <w:br w:type="page"/>
      </w:r>
    </w:p>
    <w:p>
      <w:pPr>
        <w:pStyle w:val="Heading1"/>
        <w:spacing w:after="160" w:before="400"/>
      </w:pPr>
      <w:r>
        <w:rPr>
          <w:rFonts w:ascii="Arial" w:cs="Arial" w:eastAsia="Arial" w:hAnsi="Arial"/>
          <w:b/>
          <w:bCs/>
          <w:color w:val="0D47A1"/>
          <w:sz w:val="36"/>
          <w:szCs w:val="36"/>
        </w:rPr>
        <w:t xml:space="preserve">5. Quality Control — Preventing Bad Intelligence Propagating</w:t>
      </w:r>
    </w:p>
    <w:p>
      <w:pPr>
        <w:pBdr>
          <w:bottom w:val="single" w:color="E8F0FE" w:sz="4" w:space="1"/>
        </w:pBdr>
        <w:spacing w:after="160" w:before="160"/>
      </w:pPr>
      <w:r>
        <w:t xml:space="preserve"/>
      </w:r>
    </w:p>
    <w:p>
      <w:pPr>
        <w:spacing w:after="80" w:before="80"/>
      </w:pPr>
      <w:r>
        <w:rPr>
          <w:rFonts w:ascii="Arial" w:cs="Arial" w:eastAsia="Arial" w:hAnsi="Arial"/>
          <w:color w:val="444444"/>
          <w:sz w:val="22"/>
          <w:szCs w:val="22"/>
        </w:rPr>
        <w:t xml:space="preserve">The Brain is only as good as what it holds. Poor work, wrong analysis, and bad decisions must not propagate into individual WorkPulses as if they were good signal. The quality gate operates at multiple levels:</w:t>
      </w:r>
    </w:p>
    <w:p>
      <w:pPr>
        <w:spacing w:after="0" w:before="200"/>
      </w:pPr>
      <w:r>
        <w:t xml:space="preserve"/>
      </w:r>
    </w:p>
    <w:p>
      <w:pPr>
        <w:pStyle w:val="Heading2"/>
        <w:spacing w:after="120" w:before="320"/>
      </w:pPr>
      <w:r>
        <w:rPr>
          <w:rFonts w:ascii="Arial" w:cs="Arial" w:eastAsia="Arial" w:hAnsi="Arial"/>
          <w:b/>
          <w:bCs/>
          <w:color w:val="1A73E8"/>
          <w:sz w:val="26"/>
          <w:szCs w:val="26"/>
        </w:rPr>
        <w:t xml:space="preserve">5.1  Contribution Status Lifecycle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c>
          <w:tcPr>
            <w:tcW w:type="dxa" w:w="28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Feeds Back to WorkPulses?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Submitted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Fingerprint received by Brain, unvalidated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No — held pending validation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Validated</w:t>
            </w:r>
          </w:p>
        </w:tc>
        <w:tc>
          <w:tcPr>
            <w:tcW w:type="dxa" w:w="4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Confirmed accurate and useful by peer review</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Yes — enters the active knowledge graph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Superseded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Replaced by better work — kept for lineage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No — flagged in graph, not pushed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Retracted</w:t>
            </w:r>
          </w:p>
        </w:tc>
        <w:tc>
          <w:tcPr>
            <w:tcW w:type="dxa" w:w="4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Withdrawn — harmful or incorrect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No — kept as cautionary record only</w:t>
            </w:r>
          </w:p>
        </w:tc>
      </w:tr>
    </w:tbl>
    <w:p>
      <w:pPr>
        <w:spacing w:after="0" w:before="160"/>
      </w:pPr>
      <w:r>
        <w:t xml:space="preserve"/>
      </w:r>
    </w:p>
    <w:p>
      <w:pPr>
        <w:spacing w:after="80" w:before="80"/>
      </w:pPr>
      <w:r>
        <w:rPr>
          <w:rFonts w:ascii="Arial" w:cs="Arial" w:eastAsia="Arial" w:hAnsi="Arial"/>
          <w:color w:val="444444"/>
          <w:sz w:val="22"/>
          <w:szCs w:val="22"/>
        </w:rPr>
        <w:t xml:space="preserve">Only Validated contributions feed back into individual WorkPulses. Submitted work sits in the Brain but does not propagate until cleared. This is the firewall between intake and intelligence.</w:t>
      </w:r>
    </w:p>
    <w:p>
      <w:pPr>
        <w:spacing w:after="0" w:before="200"/>
      </w:pPr>
      <w:r>
        <w:t xml:space="preserve"/>
      </w:r>
    </w:p>
    <w:p>
      <w:pPr>
        <w:pStyle w:val="Heading2"/>
        <w:spacing w:after="120" w:before="320"/>
      </w:pPr>
      <w:r>
        <w:rPr>
          <w:rFonts w:ascii="Arial" w:cs="Arial" w:eastAsia="Arial" w:hAnsi="Arial"/>
          <w:b/>
          <w:bCs/>
          <w:color w:val="1A73E8"/>
          <w:sz w:val="26"/>
          <w:szCs w:val="26"/>
        </w:rPr>
        <w:t xml:space="preserve">5.2  Peer Review Layer</w:t>
      </w:r>
    </w:p>
    <w:p>
      <w:pPr>
        <w:spacing w:after="80" w:before="80"/>
      </w:pPr>
      <w:r>
        <w:rPr>
          <w:rFonts w:ascii="Arial" w:cs="Arial" w:eastAsia="Arial" w:hAnsi="Arial"/>
          <w:color w:val="444444"/>
          <w:sz w:val="22"/>
          <w:szCs w:val="22"/>
        </w:rPr>
        <w:t xml:space="preserve">Before a fingerprint is marked Validated, at least one other person in the relevant domain confirms it. This is not bureaucratic sign-off — it is a lightweight signal, like a merge approval in code review. The Brain learns peer review patterns over time and can flag high-confidence contributions for fast-track validation.</w:t>
      </w:r>
    </w:p>
    <w:p>
      <w:pPr>
        <w:spacing w:after="0" w:before="200"/>
      </w:pPr>
      <w:r>
        <w:t xml:space="preserve"/>
      </w:r>
    </w:p>
    <w:p>
      <w:pPr>
        <w:pStyle w:val="Heading2"/>
        <w:spacing w:after="120" w:before="320"/>
      </w:pPr>
      <w:r>
        <w:rPr>
          <w:rFonts w:ascii="Arial" w:cs="Arial" w:eastAsia="Arial" w:hAnsi="Arial"/>
          <w:b/>
          <w:bCs/>
          <w:color w:val="1A73E8"/>
          <w:sz w:val="26"/>
          <w:szCs w:val="26"/>
        </w:rPr>
        <w:t xml:space="preserve">5.3  Outcome Feedback Loop</w:t>
      </w:r>
    </w:p>
    <w:p>
      <w:pPr>
        <w:spacing w:after="80" w:before="80"/>
      </w:pPr>
      <w:r>
        <w:rPr>
          <w:rFonts w:ascii="Arial" w:cs="Arial" w:eastAsia="Arial" w:hAnsi="Arial"/>
          <w:color w:val="444444"/>
          <w:sz w:val="22"/>
          <w:szCs w:val="22"/>
        </w:rPr>
        <w:t xml:space="preserve">Over time, if decisions made using a piece of work consistently produce poor outcomes, the Brain tracks it. The quality score of that contribution degrades automatically. It does not disappear — institutional memory of what not to do is valuable — but its weight in future recommendations drops until it no longer influences individual tools.</w:t>
      </w:r>
    </w:p>
    <w:p>
      <w:pPr>
        <w:spacing w:after="0" w:before="200"/>
      </w:pPr>
      <w:r>
        <w:t xml:space="preserve"/>
      </w:r>
    </w:p>
    <w:p>
      <w:pPr>
        <w:pStyle w:val="Heading2"/>
        <w:spacing w:after="120" w:before="320"/>
      </w:pPr>
      <w:r>
        <w:rPr>
          <w:rFonts w:ascii="Arial" w:cs="Arial" w:eastAsia="Arial" w:hAnsi="Arial"/>
          <w:b/>
          <w:bCs/>
          <w:color w:val="1A73E8"/>
          <w:sz w:val="26"/>
          <w:szCs w:val="26"/>
        </w:rPr>
        <w:t xml:space="preserve">5.4  Retraction Without Deletion</w:t>
      </w:r>
    </w:p>
    <w:p>
      <w:pPr>
        <w:spacing w:after="80" w:before="80"/>
      </w:pPr>
      <w:r>
        <w:rPr>
          <w:rFonts w:ascii="Arial" w:cs="Arial" w:eastAsia="Arial" w:hAnsi="Arial"/>
          <w:color w:val="444444"/>
          <w:sz w:val="22"/>
          <w:szCs w:val="22"/>
        </w:rPr>
        <w:t xml:space="preserve">Bad work is never deleted. Deletion destroys institutional memory of failure. Retracted contributions are permanently flagged and kept as cautionary records — visible in the Brain's audit trail, excluded from all push activity, and marked clearly if ever encountered in a lineage chain.</w:t>
      </w:r>
    </w:p>
    <w:p>
      <w:pPr>
        <w:spacing w:after="0" w:before="200"/>
      </w:pPr>
      <w:r>
        <w:t xml:space="preserve"/>
      </w:r>
    </w:p>
    <w:p>
      <w:pPr>
        <w:pStyle w:val="Heading2"/>
        <w:spacing w:after="120" w:before="320"/>
      </w:pPr>
      <w:r>
        <w:rPr>
          <w:rFonts w:ascii="Arial" w:cs="Arial" w:eastAsia="Arial" w:hAnsi="Arial"/>
          <w:b/>
          <w:bCs/>
          <w:color w:val="1A73E8"/>
          <w:sz w:val="26"/>
          <w:szCs w:val="26"/>
        </w:rPr>
        <w:t xml:space="preserve">5.5  Quality Signals Over Time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Signal</w:t>
            </w:r>
          </w:p>
        </w:tc>
        <w:tc>
          <w:tcPr>
            <w:tcW w:type="dxa" w:w="416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What It Measures</w:t>
            </w:r>
          </w:p>
        </w:tc>
        <w:tc>
          <w:tcPr>
            <w:tcW w:type="dxa" w:w="24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Weight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Downstream usage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How many people built on this 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Outcome linkage</w:t>
            </w:r>
          </w:p>
        </w:tc>
        <w:tc>
          <w:tcPr>
            <w:tcW w:type="dxa" w:w="4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Did decisions using this work succeed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Longevity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Still referenced across administrations or cohorts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Peer validation</w:t>
            </w:r>
          </w:p>
        </w:tc>
        <w:tc>
          <w:tcPr>
            <w:tcW w:type="dxa" w:w="4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Domain experts confirmed it useful</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Completeness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Captured full thinking, not just output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Time investment</w:t>
            </w:r>
          </w:p>
        </w:tc>
        <w:tc>
          <w:tcPr>
            <w:tcW w:type="dxa" w:w="4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Depth of engagement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Low</w:t>
            </w:r>
          </w:p>
        </w:tc>
      </w:tr>
    </w:tbl>
    <w:p>
      <w:pPr>
        <w:spacing w:after="0" w:before="200"/>
      </w:pPr>
      <w:r>
        <w:t xml:space="preserve"/>
      </w:r>
    </w:p>
    <w:p>
      <w:r>
        <w:br w:type="page"/>
      </w:r>
    </w:p>
    <w:p>
      <w:pPr>
        <w:pStyle w:val="Heading1"/>
        <w:spacing w:after="160" w:before="400"/>
      </w:pPr>
      <w:r>
        <w:rPr>
          <w:rFonts w:ascii="Arial" w:cs="Arial" w:eastAsia="Arial" w:hAnsi="Arial"/>
          <w:b/>
          <w:bCs/>
          <w:color w:val="0D47A1"/>
          <w:sz w:val="36"/>
          <w:szCs w:val="36"/>
        </w:rPr>
        <w:t xml:space="preserve">6. The Admin Console — Governance Not Management</w:t>
      </w:r>
    </w:p>
    <w:p>
      <w:pPr>
        <w:pBdr>
          <w:bottom w:val="single" w:color="E8F0FE"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73E8"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PRINCIPLE</w:t>
            </w:r>
          </w:p>
        </w:tc>
        <w:tc>
          <w:tcPr>
            <w:tcW w:type="dxa" w:w="9160"/>
            <w:tcBorders>
              <w:top w:val="none" w:color="FFFFFF" w:sz="0"/>
              <w:left w:val="none" w:color="FFFFFF" w:sz="0"/>
              <w:bottom w:val="none" w:color="FFFFFF" w:sz="0"/>
              <w:right w:val="none" w:color="FFFFFF" w:sz="0"/>
            </w:tcBorders>
            <w:shd w:fill="E8F0FE" w:val="clear"/>
            <w:tcMar>
              <w:top w:type="dxa" w:w="100"/>
              <w:left w:type="dxa" w:w="160"/>
              <w:bottom w:type="dxa" w:w="100"/>
              <w:right w:type="dxa" w:w="160"/>
            </w:tcMar>
          </w:tcPr>
          <w:p>
            <w:r>
              <w:rPr>
                <w:rFonts w:ascii="Arial" w:cs="Arial" w:eastAsia="Arial" w:hAnsi="Arial"/>
                <w:i/>
                <w:iCs/>
                <w:color w:val="1A1A2E"/>
                <w:sz w:val="20"/>
                <w:szCs w:val="20"/>
              </w:rPr>
              <w:t xml:space="preserve">The admin console does not manage the flow of intelligence. The Brain manages its own flow. The admin console exists for governance, exceptions, configuration, and audit. Setting it up is largely a one-time activity. Day-to-day, the Brain runs itself.</w:t>
            </w:r>
          </w:p>
        </w:tc>
      </w:tr>
    </w:tbl>
    <w:p>
      <w:pPr>
        <w:spacing w:after="0" w:before="200"/>
      </w:pPr>
      <w:r>
        <w:t xml:space="preserve"/>
      </w:r>
    </w:p>
    <w:p>
      <w:pPr>
        <w:pStyle w:val="Heading2"/>
        <w:spacing w:after="120" w:before="320"/>
      </w:pPr>
      <w:r>
        <w:rPr>
          <w:rFonts w:ascii="Arial" w:cs="Arial" w:eastAsia="Arial" w:hAnsi="Arial"/>
          <w:b/>
          <w:bCs/>
          <w:color w:val="1A73E8"/>
          <w:sz w:val="26"/>
          <w:szCs w:val="26"/>
        </w:rPr>
        <w:t xml:space="preserve">6.1  Console Functions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c>
          <w:tcPr>
            <w:tcW w:type="dxa" w:w="456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Frequency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Onboarding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Connect new WorkPulse instances, set contribution rules per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One-time per person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Scheduled push config</w:t>
            </w:r>
          </w:p>
        </w:tc>
        <w:tc>
          <w:tcPr>
            <w:tcW w:type="dxa" w:w="4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Configure recurring intelligence briefings (e.g. monthly CEO summary)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One-time setup, adjust as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Cross-org connections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Establish scoped, time-limited links to external Brains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Governance decision — infrequent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Validation review</w:t>
            </w:r>
          </w:p>
        </w:tc>
        <w:tc>
          <w:tcPr>
            <w:tcW w:type="dxa" w:w="4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Review flagged contributions, approve or retract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As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Retraction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Remove harmful contributions from active propagation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Exception handling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Audit trail</w:t>
            </w:r>
          </w:p>
        </w:tc>
        <w:tc>
          <w:tcPr>
            <w:tcW w:type="dxa" w:w="4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View what was pushed, when, to whom, and why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On demand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Gap review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Review knowledge gaps flagged by the learning engine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Periodic — monthly or quarterly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Quality override</w:t>
            </w:r>
          </w:p>
        </w:tc>
        <w:tc>
          <w:tcPr>
            <w:tcW w:type="dxa" w:w="4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Manually adjust quality scores where outcome signals are insufficient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Rare — exception only</w:t>
            </w:r>
          </w:p>
        </w:tc>
      </w:tr>
    </w:tbl>
    <w:p>
      <w:pPr>
        <w:spacing w:after="0" w:before="200"/>
      </w:pPr>
      <w:r>
        <w:t xml:space="preserve"/>
      </w:r>
    </w:p>
    <w:p>
      <w:pPr>
        <w:pStyle w:val="Heading2"/>
        <w:spacing w:after="120" w:before="320"/>
      </w:pPr>
      <w:r>
        <w:rPr>
          <w:rFonts w:ascii="Arial" w:cs="Arial" w:eastAsia="Arial" w:hAnsi="Arial"/>
          <w:b/>
          <w:bCs/>
          <w:color w:val="1A73E8"/>
          <w:sz w:val="26"/>
          <w:szCs w:val="26"/>
        </w:rPr>
        <w:t xml:space="preserve">6.2  What the Console Never Does</w:t>
      </w:r>
    </w:p>
    <w:p>
      <w:pPr>
        <w:pStyle w:val="ListParagraph"/>
        <w:numPr>
          <w:ilvl w:val="0"/>
          <w:numId w:val="2"/>
        </w:numPr>
        <w:spacing w:after="60" w:before="60"/>
      </w:pPr>
      <w:r>
        <w:rPr>
          <w:rFonts w:ascii="Arial" w:cs="Arial" w:eastAsia="Arial" w:hAnsi="Arial"/>
          <w:color w:val="444444"/>
          <w:sz w:val="22"/>
          <w:szCs w:val="22"/>
        </w:rPr>
        <w:t xml:space="preserve">Decide what context to push to which individual on a daily basis — the Brain does this</w:t>
      </w:r>
    </w:p>
    <w:p>
      <w:pPr>
        <w:pStyle w:val="ListParagraph"/>
        <w:numPr>
          <w:ilvl w:val="0"/>
          <w:numId w:val="2"/>
        </w:numPr>
        <w:spacing w:after="60" w:before="60"/>
      </w:pPr>
      <w:r>
        <w:rPr>
          <w:rFonts w:ascii="Arial" w:cs="Arial" w:eastAsia="Arial" w:hAnsi="Arial"/>
          <w:color w:val="444444"/>
          <w:sz w:val="22"/>
          <w:szCs w:val="22"/>
        </w:rPr>
        <w:t xml:space="preserve">Provide a bypass key or administrative override to access individual WorkPulse data</w:t>
      </w:r>
    </w:p>
    <w:p>
      <w:pPr>
        <w:pStyle w:val="ListParagraph"/>
        <w:numPr>
          <w:ilvl w:val="0"/>
          <w:numId w:val="2"/>
        </w:numPr>
        <w:spacing w:after="60" w:before="60"/>
      </w:pPr>
      <w:r>
        <w:rPr>
          <w:rFonts w:ascii="Arial" w:cs="Arial" w:eastAsia="Arial" w:hAnsi="Arial"/>
          <w:color w:val="444444"/>
          <w:sz w:val="22"/>
          <w:szCs w:val="22"/>
        </w:rPr>
        <w:t xml:space="preserve">Replace the Brain's autonomous learning with manual curation</w:t>
      </w:r>
    </w:p>
    <w:p>
      <w:pPr>
        <w:pStyle w:val="ListParagraph"/>
        <w:numPr>
          <w:ilvl w:val="0"/>
          <w:numId w:val="2"/>
        </w:numPr>
        <w:spacing w:after="60" w:before="60"/>
      </w:pPr>
      <w:r>
        <w:rPr>
          <w:rFonts w:ascii="Arial" w:cs="Arial" w:eastAsia="Arial" w:hAnsi="Arial"/>
          <w:color w:val="444444"/>
          <w:sz w:val="22"/>
          <w:szCs w:val="22"/>
        </w:rPr>
        <w:t xml:space="preserve">Give any administrator the ability to read individual WorkPulse raw data</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65100"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HARD RULE</w:t>
            </w:r>
          </w:p>
        </w:tc>
        <w:tc>
          <w:tcPr>
            <w:tcW w:type="dxa" w:w="9160"/>
            <w:tcBorders>
              <w:top w:val="none" w:color="FFFFFF" w:sz="0"/>
              <w:left w:val="none" w:color="FFFFFF" w:sz="0"/>
              <w:bottom w:val="none" w:color="FFFFFF" w:sz="0"/>
              <w:right w:val="none" w:color="FFFFFF" w:sz="0"/>
            </w:tcBorders>
            <w:shd w:fill="FFF3E0" w:val="clear"/>
            <w:tcMar>
              <w:top w:type="dxa" w:w="100"/>
              <w:left w:type="dxa" w:w="160"/>
              <w:bottom w:type="dxa" w:w="100"/>
              <w:right w:type="dxa" w:w="160"/>
            </w:tcMar>
          </w:tcPr>
          <w:p>
            <w:r>
              <w:rPr>
                <w:rFonts w:ascii="Arial" w:cs="Arial" w:eastAsia="Arial" w:hAnsi="Arial"/>
                <w:i/>
                <w:iCs/>
                <w:color w:val="1A1A2E"/>
                <w:sz w:val="20"/>
                <w:szCs w:val="20"/>
              </w:rPr>
              <w:t xml:space="preserve">The admin console cannot access individual WorkPulse data. It governs the Brain. The Brain holds fingerprints — not raw files, not personal activity, not AI conversation transcripts. The separation between individual data and institutional intelligence is architectural, not just policy.</w:t>
            </w:r>
          </w:p>
        </w:tc>
      </w:tr>
    </w:tbl>
    <w:p>
      <w:pPr>
        <w:spacing w:after="0" w:before="200"/>
      </w:pPr>
      <w:r>
        <w:t xml:space="preserve"/>
      </w:r>
    </w:p>
    <w:p>
      <w:r>
        <w:br w:type="page"/>
      </w:r>
    </w:p>
    <w:p>
      <w:pPr>
        <w:pStyle w:val="Heading1"/>
        <w:spacing w:after="160" w:before="400"/>
      </w:pPr>
      <w:r>
        <w:rPr>
          <w:rFonts w:ascii="Arial" w:cs="Arial" w:eastAsia="Arial" w:hAnsi="Arial"/>
          <w:b/>
          <w:bCs/>
          <w:color w:val="0D47A1"/>
          <w:sz w:val="36"/>
          <w:szCs w:val="36"/>
        </w:rPr>
        <w:t xml:space="preserve">7. The Knowledge Fingerprint</w:t>
      </w:r>
    </w:p>
    <w:p>
      <w:pPr>
        <w:pBdr>
          <w:bottom w:val="single" w:color="E8F0FE" w:sz="4" w:space="1"/>
        </w:pBdr>
        <w:spacing w:after="160" w:before="160"/>
      </w:pPr>
      <w:r>
        <w:t xml:space="preserve"/>
      </w:r>
    </w:p>
    <w:p>
      <w:pPr>
        <w:spacing w:after="80" w:before="80"/>
      </w:pPr>
      <w:r>
        <w:rPr>
          <w:rFonts w:ascii="Arial" w:cs="Arial" w:eastAsia="Arial" w:hAnsi="Arial"/>
          <w:color w:val="444444"/>
          <w:sz w:val="22"/>
          <w:szCs w:val="22"/>
        </w:rPr>
        <w:t xml:space="preserve">The fingerprint is what flows from individual WorkPulse to Institution Brain. It is not the file. It is not the raw data. It is a structured semantic record generated locally when a user opts a task in for contribution: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Summary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Plain-language description of what was produced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Key concepts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Domain terms, topics, and themes extracted from the 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Thinking pattern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The approach taken — systems mapping, risk-first, iterative, etc.</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Time and tools invested</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Hours, sessions, applications used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Outcome signal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Was this adopted, referenced, built upon — updated over time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Attribution hash</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Cryptographic link to the author — permanent and unforgeable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Validation 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Submitted, Validated, Superseded, or Retracted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Quality score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Evolving score based on downstream usage and outcome signals</w:t>
            </w:r>
          </w:p>
        </w:tc>
      </w:tr>
    </w:tbl>
    <w:p>
      <w:pPr>
        <w:spacing w:after="0" w:before="160"/>
      </w:pPr>
      <w:r>
        <w:t xml:space="preserve"/>
      </w:r>
    </w:p>
    <w:p>
      <w:pPr>
        <w:spacing w:after="80" w:before="80"/>
      </w:pPr>
      <w:r>
        <w:rPr>
          <w:rFonts w:ascii="Arial" w:cs="Arial" w:eastAsia="Arial" w:hAnsi="Arial"/>
          <w:color w:val="444444"/>
          <w:sz w:val="22"/>
          <w:szCs w:val="22"/>
        </w:rPr>
        <w:t xml:space="preserve">The original file never leaves the machine. If a successor needs the source document, they contact the author directly — preserving both privacy and attribution leverage.</w:t>
      </w:r>
    </w:p>
    <w:p>
      <w:pPr>
        <w:spacing w:after="0" w:before="200"/>
      </w:pPr>
      <w:r>
        <w:t xml:space="preserve"/>
      </w:r>
    </w:p>
    <w:p>
      <w:pPr>
        <w:pStyle w:val="Heading1"/>
        <w:spacing w:after="160" w:before="400"/>
      </w:pPr>
      <w:r>
        <w:rPr>
          <w:rFonts w:ascii="Arial" w:cs="Arial" w:eastAsia="Arial" w:hAnsi="Arial"/>
          <w:b/>
          <w:bCs/>
          <w:color w:val="0D47A1"/>
          <w:sz w:val="36"/>
          <w:szCs w:val="36"/>
        </w:rPr>
        <w:t xml:space="preserve">8. Attribution, Provenance &amp; Value</w:t>
      </w:r>
    </w:p>
    <w:p>
      <w:pPr>
        <w:pBdr>
          <w:bottom w:val="single" w:color="E8F0FE" w:sz="4" w:space="1"/>
        </w:pBdr>
        <w:spacing w:after="160" w:before="160"/>
      </w:pPr>
      <w:r>
        <w:t xml:space="preserve"/>
      </w:r>
    </w:p>
    <w:p>
      <w:pPr>
        <w:spacing w:after="80" w:before="80"/>
      </w:pPr>
      <w:r>
        <w:rPr>
          <w:rFonts w:ascii="Arial" w:cs="Arial" w:eastAsia="Arial" w:hAnsi="Arial"/>
          <w:color w:val="444444"/>
          <w:sz w:val="22"/>
          <w:szCs w:val="22"/>
        </w:rPr>
        <w:t xml:space="preserve">The Institution Brain is not just a knowledge archive. It is a knowledge economy. Every contribution has a traceable author. Every downstream use generates a signal. Over time this enables objective grading of knowledge work and — in future versions — fair compensation for it.</w:t>
      </w:r>
    </w:p>
    <w:p>
      <w:pPr>
        <w:spacing w:after="0" w:before="200"/>
      </w:pPr>
      <w:r>
        <w:t xml:space="preserve"/>
      </w:r>
    </w:p>
    <w:p>
      <w:pPr>
        <w:pStyle w:val="Heading2"/>
        <w:spacing w:after="120" w:before="320"/>
      </w:pPr>
      <w:r>
        <w:rPr>
          <w:rFonts w:ascii="Arial" w:cs="Arial" w:eastAsia="Arial" w:hAnsi="Arial"/>
          <w:b/>
          <w:bCs/>
          <w:color w:val="1A73E8"/>
          <w:sz w:val="26"/>
          <w:szCs w:val="26"/>
        </w:rPr>
        <w:t xml:space="preserve">8.1  Attribution Model</w:t>
      </w:r>
    </w:p>
    <w:p>
      <w:pPr>
        <w:pStyle w:val="ListParagraph"/>
        <w:numPr>
          <w:ilvl w:val="0"/>
          <w:numId w:val="2"/>
        </w:numPr>
        <w:spacing w:after="60" w:before="60"/>
      </w:pPr>
      <w:r>
        <w:rPr>
          <w:rFonts w:ascii="Arial" w:cs="Arial" w:eastAsia="Arial" w:hAnsi="Arial"/>
          <w:color w:val="444444"/>
          <w:sz w:val="22"/>
          <w:szCs w:val="22"/>
        </w:rPr>
        <w:t xml:space="preserve">Every fingerprint is cryptographically signed to its creator at the point of contribution.</w:t>
      </w:r>
    </w:p>
    <w:p>
      <w:pPr>
        <w:pStyle w:val="ListParagraph"/>
        <w:numPr>
          <w:ilvl w:val="0"/>
          <w:numId w:val="2"/>
        </w:numPr>
        <w:spacing w:after="60" w:before="60"/>
      </w:pPr>
      <w:r>
        <w:rPr>
          <w:rFonts w:ascii="Arial" w:cs="Arial" w:eastAsia="Arial" w:hAnsi="Arial"/>
          <w:color w:val="444444"/>
          <w:sz w:val="22"/>
          <w:szCs w:val="22"/>
        </w:rPr>
        <w:t xml:space="preserve">Lineage chains track when one piece of work builds on another — automatically, not manually declared.</w:t>
      </w:r>
    </w:p>
    <w:p>
      <w:pPr>
        <w:pStyle w:val="ListParagraph"/>
        <w:numPr>
          <w:ilvl w:val="0"/>
          <w:numId w:val="2"/>
        </w:numPr>
        <w:spacing w:after="60" w:before="60"/>
      </w:pPr>
      <w:r>
        <w:rPr>
          <w:rFonts w:ascii="Arial" w:cs="Arial" w:eastAsia="Arial" w:hAnsi="Arial"/>
          <w:color w:val="444444"/>
          <w:sz w:val="22"/>
          <w:szCs w:val="22"/>
        </w:rPr>
        <w:t xml:space="preserve">Authors retain the right to retract contributions, subject to institutional terms agreed at onboarding.</w:t>
      </w:r>
    </w:p>
    <w:p>
      <w:pPr>
        <w:pStyle w:val="ListParagraph"/>
        <w:numPr>
          <w:ilvl w:val="0"/>
          <w:numId w:val="2"/>
        </w:numPr>
        <w:spacing w:after="60" w:before="60"/>
      </w:pPr>
      <w:r>
        <w:rPr>
          <w:rFonts w:ascii="Arial" w:cs="Arial" w:eastAsia="Arial" w:hAnsi="Arial"/>
          <w:color w:val="444444"/>
          <w:sz w:val="22"/>
          <w:szCs w:val="22"/>
        </w:rPr>
        <w:t xml:space="preserve">The attribution ledger is permanent — even retracted contributions retain their authorship record.</w:t>
      </w:r>
    </w:p>
    <w:p>
      <w:pPr>
        <w:spacing w:after="0" w:before="200"/>
      </w:pPr>
      <w:r>
        <w:t xml:space="preserve"/>
      </w:r>
    </w:p>
    <w:p>
      <w:pPr>
        <w:pStyle w:val="Heading2"/>
        <w:spacing w:after="120" w:before="320"/>
      </w:pPr>
      <w:r>
        <w:rPr>
          <w:rFonts w:ascii="Arial" w:cs="Arial" w:eastAsia="Arial" w:hAnsi="Arial"/>
          <w:b/>
          <w:bCs/>
          <w:color w:val="1A73E8"/>
          <w:sz w:val="26"/>
          <w:szCs w:val="26"/>
        </w:rPr>
        <w:t xml:space="preserve">8.2  Payment Architecture — Future</w:t>
      </w:r>
    </w:p>
    <w:p>
      <w:pPr>
        <w:spacing w:after="80" w:before="80"/>
      </w:pPr>
      <w:r>
        <w:rPr>
          <w:rFonts w:ascii="Arial" w:cs="Arial" w:eastAsia="Arial" w:hAnsi="Arial"/>
          <w:color w:val="444444"/>
          <w:sz w:val="22"/>
          <w:szCs w:val="22"/>
        </w:rPr>
        <w:t xml:space="preserve">When institutional users query or build upon a contribution, a micro-attribution event is logged. Accumulated events trigger payment to the original contributor according to terms agreed at contribution. This creates an incentive for individuals to contribute high-quality, well-documented work. This is a future build — the attribution infrastructure being laid now is what makes it possible.</w:t>
      </w:r>
    </w:p>
    <w:p>
      <w:pPr>
        <w:spacing w:after="0" w:before="200"/>
      </w:pPr>
      <w:r>
        <w:t xml:space="preserve"/>
      </w:r>
    </w:p>
    <w:p>
      <w:r>
        <w:br w:type="page"/>
      </w:r>
    </w:p>
    <w:p>
      <w:pPr>
        <w:pStyle w:val="Heading1"/>
        <w:spacing w:after="160" w:before="400"/>
      </w:pPr>
      <w:r>
        <w:rPr>
          <w:rFonts w:ascii="Arial" w:cs="Arial" w:eastAsia="Arial" w:hAnsi="Arial"/>
          <w:b/>
          <w:bCs/>
          <w:color w:val="0D47A1"/>
          <w:sz w:val="36"/>
          <w:szCs w:val="36"/>
        </w:rPr>
        <w:t xml:space="preserve">9. Consent &amp; Privacy Architecture</w:t>
      </w:r>
    </w:p>
    <w:p>
      <w:pPr>
        <w:pBdr>
          <w:bottom w:val="single" w:color="E8F0FE"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73E8"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PRINCIPLE</w:t>
            </w:r>
          </w:p>
        </w:tc>
        <w:tc>
          <w:tcPr>
            <w:tcW w:type="dxa" w:w="9160"/>
            <w:tcBorders>
              <w:top w:val="none" w:color="FFFFFF" w:sz="0"/>
              <w:left w:val="none" w:color="FFFFFF" w:sz="0"/>
              <w:bottom w:val="none" w:color="FFFFFF" w:sz="0"/>
              <w:right w:val="none" w:color="FFFFFF" w:sz="0"/>
            </w:tcBorders>
            <w:shd w:fill="E8F0FE" w:val="clear"/>
            <w:tcMar>
              <w:top w:type="dxa" w:w="100"/>
              <w:left w:type="dxa" w:w="160"/>
              <w:bottom w:type="dxa" w:w="100"/>
              <w:right w:type="dxa" w:w="160"/>
            </w:tcMar>
          </w:tcPr>
          <w:p>
            <w:r>
              <w:rPr>
                <w:rFonts w:ascii="Arial" w:cs="Arial" w:eastAsia="Arial" w:hAnsi="Arial"/>
                <w:i/>
                <w:iCs/>
                <w:color w:val="1A1A2E"/>
                <w:sz w:val="20"/>
                <w:szCs w:val="20"/>
              </w:rPr>
              <w:t xml:space="preserve">The individual is always the source of trust. The institution is always the beneficiary — never the controller — of individual data. No bypass key exists. No administrative override exists. The separation between personal data and institutional intelligence is enforced at the architectural level.</w:t>
            </w:r>
          </w:p>
        </w:tc>
      </w:tr>
    </w:tbl>
    <w:p>
      <w:pPr>
        <w:spacing w:after="0" w:before="200"/>
      </w:pPr>
      <w:r>
        <w:t xml:space="preserve"/>
      </w:r>
    </w:p>
    <w:p>
      <w:pPr>
        <w:pStyle w:val="Heading2"/>
        <w:spacing w:after="120" w:before="320"/>
      </w:pPr>
      <w:r>
        <w:rPr>
          <w:rFonts w:ascii="Arial" w:cs="Arial" w:eastAsia="Arial" w:hAnsi="Arial"/>
          <w:b/>
          <w:bCs/>
          <w:color w:val="1A73E8"/>
          <w:sz w:val="26"/>
          <w:szCs w:val="26"/>
        </w:rPr>
        <w:t xml:space="preserve">9.1  Contribution Modes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c>
          <w:tcPr>
            <w:tcW w:type="dxa" w:w="24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Mode</w:t>
            </w:r>
          </w:p>
        </w:tc>
        <w:tc>
          <w:tcPr>
            <w:tcW w:type="dxa" w:w="18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Default</w:t>
            </w:r>
          </w:p>
        </w:tc>
        <w:tc>
          <w:tcPr>
            <w:tcW w:type="dxa" w:w="216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What Flows</w:t>
            </w:r>
          </w:p>
        </w:tc>
        <w:tc>
          <w:tcPr>
            <w:tcW w:type="dxa" w:w="30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Who Controls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Personal work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Private (always)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Nothing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Individual — cannot be changed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Institutional deliverables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Contribute (opt-out)</w:t>
            </w:r>
          </w:p>
        </w:tc>
        <w:tc>
          <w:tcPr>
            <w:tcW w:type="dxa" w:w="2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Fingerprint only</w:t>
            </w:r>
          </w:p>
        </w:tc>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Individual can opt out per task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Collaborative projects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Contribute (opt-out)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Fingerprint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Individual can opt out per task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Sensitive personal matters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Private (always)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Nothing</w:t>
            </w:r>
          </w:p>
        </w:tc>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Individual — cannot be changed</w:t>
            </w:r>
          </w:p>
        </w:tc>
      </w:tr>
    </w:tbl>
    <w:p>
      <w:pPr>
        <w:spacing w:after="0" w:before="160"/>
      </w:pPr>
      <w:r>
        <w:t xml:space="preserve"/>
      </w:r>
    </w:p>
    <w:p>
      <w:pPr>
        <w:spacing w:after="80" w:before="80"/>
      </w:pPr>
      <w:r>
        <w:rPr>
          <w:rFonts w:ascii="Arial" w:cs="Arial" w:eastAsia="Arial" w:hAnsi="Arial"/>
          <w:color w:val="444444"/>
          <w:sz w:val="22"/>
          <w:szCs w:val="22"/>
        </w:rPr>
        <w:t xml:space="preserve">Note: The default contribution behaviour for institutional work (opt-out rather than opt-in) is a design position that must be agreed in the institutional social contract at onboarding. Pure opt-in risks empty Brain syndrome — if everyone opts out, institutional memory is not captured. The social contract must resolve this tension through incentive design, not just policy.</w:t>
      </w:r>
    </w:p>
    <w:p>
      <w:pPr>
        <w:spacing w:after="0" w:before="200"/>
      </w:pPr>
      <w:r>
        <w:t xml:space="preserve"/>
      </w:r>
    </w:p>
    <w:p>
      <w:pPr>
        <w:pStyle w:val="Heading2"/>
        <w:spacing w:after="120" w:before="320"/>
      </w:pPr>
      <w:r>
        <w:rPr>
          <w:rFonts w:ascii="Arial" w:cs="Arial" w:eastAsia="Arial" w:hAnsi="Arial"/>
          <w:b/>
          <w:bCs/>
          <w:color w:val="1A73E8"/>
          <w:sz w:val="26"/>
          <w:szCs w:val="26"/>
        </w:rPr>
        <w:t xml:space="preserve">9.2  What the Institution Never Gets</w:t>
      </w:r>
    </w:p>
    <w:p>
      <w:pPr>
        <w:pStyle w:val="ListParagraph"/>
        <w:numPr>
          <w:ilvl w:val="0"/>
          <w:numId w:val="2"/>
        </w:numPr>
        <w:spacing w:after="60" w:before="60"/>
      </w:pPr>
      <w:r>
        <w:rPr>
          <w:rFonts w:ascii="Arial" w:cs="Arial" w:eastAsia="Arial" w:hAnsi="Arial"/>
          <w:color w:val="444444"/>
          <w:sz w:val="22"/>
          <w:szCs w:val="22"/>
        </w:rPr>
        <w:t xml:space="preserve">Raw files, documents, or source materials — fingerprints only</w:t>
      </w:r>
    </w:p>
    <w:p>
      <w:pPr>
        <w:pStyle w:val="ListParagraph"/>
        <w:numPr>
          <w:ilvl w:val="0"/>
          <w:numId w:val="2"/>
        </w:numPr>
        <w:spacing w:after="60" w:before="60"/>
      </w:pPr>
      <w:r>
        <w:rPr>
          <w:rFonts w:ascii="Arial" w:cs="Arial" w:eastAsia="Arial" w:hAnsi="Arial"/>
          <w:color w:val="444444"/>
          <w:sz w:val="22"/>
          <w:szCs w:val="22"/>
        </w:rPr>
        <w:t xml:space="preserve">Personal browsing or activity unrelated to work</w:t>
      </w:r>
    </w:p>
    <w:p>
      <w:pPr>
        <w:pStyle w:val="ListParagraph"/>
        <w:numPr>
          <w:ilvl w:val="0"/>
          <w:numId w:val="2"/>
        </w:numPr>
        <w:spacing w:after="60" w:before="60"/>
      </w:pPr>
      <w:r>
        <w:rPr>
          <w:rFonts w:ascii="Arial" w:cs="Arial" w:eastAsia="Arial" w:hAnsi="Arial"/>
          <w:color w:val="444444"/>
          <w:sz w:val="22"/>
          <w:szCs w:val="22"/>
        </w:rPr>
        <w:t xml:space="preserve">AI session transcripts — only metadata: topic, duration, output summary</w:t>
      </w:r>
    </w:p>
    <w:p>
      <w:pPr>
        <w:pStyle w:val="ListParagraph"/>
        <w:numPr>
          <w:ilvl w:val="0"/>
          <w:numId w:val="2"/>
        </w:numPr>
        <w:spacing w:after="60" w:before="60"/>
      </w:pPr>
      <w:r>
        <w:rPr>
          <w:rFonts w:ascii="Arial" w:cs="Arial" w:eastAsia="Arial" w:hAnsi="Arial"/>
          <w:color w:val="444444"/>
          <w:sz w:val="22"/>
          <w:szCs w:val="22"/>
        </w:rPr>
        <w:t xml:space="preserve">Access via bypass key or administrative override — this is architecturally impossible, not just against policy</w:t>
      </w:r>
    </w:p>
    <w:p>
      <w:pPr>
        <w:pStyle w:val="ListParagraph"/>
        <w:numPr>
          <w:ilvl w:val="0"/>
          <w:numId w:val="2"/>
        </w:numPr>
        <w:spacing w:after="60" w:before="60"/>
      </w:pPr>
      <w:r>
        <w:rPr>
          <w:rFonts w:ascii="Arial" w:cs="Arial" w:eastAsia="Arial" w:hAnsi="Arial"/>
          <w:color w:val="444444"/>
          <w:sz w:val="22"/>
          <w:szCs w:val="22"/>
        </w:rPr>
        <w:t xml:space="preserve">Real-time surveillance of individual activity — the Brain receives contributions, not a live feed</w:t>
      </w:r>
    </w:p>
    <w:p>
      <w:pPr>
        <w:spacing w:after="0" w:before="200"/>
      </w:pPr>
      <w:r>
        <w:t xml:space="preserve"/>
      </w:r>
    </w:p>
    <w:p>
      <w:pPr>
        <w:pStyle w:val="Heading2"/>
        <w:spacing w:after="120" w:before="320"/>
      </w:pPr>
      <w:r>
        <w:rPr>
          <w:rFonts w:ascii="Arial" w:cs="Arial" w:eastAsia="Arial" w:hAnsi="Arial"/>
          <w:b/>
          <w:bCs/>
          <w:color w:val="1A73E8"/>
          <w:sz w:val="26"/>
          <w:szCs w:val="26"/>
        </w:rPr>
        <w:t xml:space="preserve">9.3  Data Sovereignty</w:t>
      </w:r>
    </w:p>
    <w:p>
      <w:pPr>
        <w:spacing w:after="80" w:before="80"/>
      </w:pPr>
      <w:r>
        <w:rPr>
          <w:rFonts w:ascii="Arial" w:cs="Arial" w:eastAsia="Arial" w:hAnsi="Arial"/>
          <w:color w:val="444444"/>
          <w:sz w:val="22"/>
          <w:szCs w:val="22"/>
        </w:rPr>
        <w:t xml:space="preserve">For government and public sector deployments, the Institution Brain must be deployable on-premises or within national cloud infrastructure. No sensitive institutional intelligence is held on third-party servers without explicit data residency agreements. This is a hard requirement for the target market — not an optional feature.</w:t>
      </w:r>
    </w:p>
    <w:p>
      <w:pPr>
        <w:spacing w:after="0" w:before="200"/>
      </w:pPr>
      <w:r>
        <w:t xml:space="preserve"/>
      </w:r>
    </w:p>
    <w:p>
      <w:r>
        <w:br w:type="page"/>
      </w:r>
    </w:p>
    <w:p>
      <w:pPr>
        <w:pStyle w:val="Heading1"/>
        <w:spacing w:after="160" w:before="400"/>
      </w:pPr>
      <w:r>
        <w:rPr>
          <w:rFonts w:ascii="Arial" w:cs="Arial" w:eastAsia="Arial" w:hAnsi="Arial"/>
          <w:b/>
          <w:bCs/>
          <w:color w:val="0D47A1"/>
          <w:sz w:val="36"/>
          <w:szCs w:val="36"/>
        </w:rPr>
        <w:t xml:space="preserve">10. The Learning Flywheel</w:t>
      </w:r>
    </w:p>
    <w:p>
      <w:pPr>
        <w:pBdr>
          <w:bottom w:val="single" w:color="E8F0FE" w:sz="4" w:space="1"/>
        </w:pBdr>
        <w:spacing w:after="160" w:before="160"/>
      </w:pPr>
      <w:r>
        <w:t xml:space="preserve"/>
      </w:r>
    </w:p>
    <w:p>
      <w:pPr>
        <w:spacing w:after="80" w:before="80"/>
      </w:pPr>
      <w:r>
        <w:rPr>
          <w:rFonts w:ascii="Arial" w:cs="Arial" w:eastAsia="Arial" w:hAnsi="Arial"/>
          <w:color w:val="444444"/>
          <w:sz w:val="22"/>
          <w:szCs w:val="22"/>
        </w:rPr>
        <w:t xml:space="preserve">The system is designed to compound. No behaviour change is required. The intelligence emerges from work that was happening anyway.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7A1" w:val="clear"/>
            <w:tcMar>
              <w:top w:type="dxa" w:w="240"/>
              <w:left w:type="dxa" w:w="360"/>
              <w:bottom w:type="dxa" w:w="240"/>
              <w:right w:type="dxa" w:w="360"/>
            </w:tcMar>
          </w:tcPr>
          <w:p>
            <w:pPr>
              <w:spacing w:after="60" w:before="60"/>
            </w:pPr>
            <w:r>
              <w:rPr>
                <w:rFonts w:ascii="Arial" w:cs="Arial" w:eastAsia="Arial" w:hAnsi="Arial"/>
                <w:b/>
                <w:bCs/>
                <w:color w:val="FFFFFF"/>
                <w:sz w:val="22"/>
                <w:szCs w:val="22"/>
              </w:rPr>
              <w:t xml:space="preserve">The Continuous Loop:</w:t>
            </w:r>
          </w:p>
          <w:p>
            <w:pPr>
              <w:spacing w:after="60" w:before="60"/>
            </w:pPr>
            <w:r>
              <w:rPr>
                <w:rFonts w:ascii="Arial" w:cs="Arial" w:eastAsia="Arial" w:hAnsi="Arial"/>
                <w:sz w:val="8"/>
                <w:szCs w:val="8"/>
              </w:rPr>
              <w:t xml:space="preserve"/>
            </w:r>
          </w:p>
          <w:p>
            <w:pPr>
              <w:spacing w:after="60" w:before="60"/>
            </w:pPr>
            <w:r>
              <w:rPr>
                <w:rFonts w:ascii="Arial" w:cs="Arial" w:eastAsia="Arial" w:hAnsi="Arial"/>
                <w:color w:val="CCDDFF"/>
                <w:sz w:val="20"/>
                <w:szCs w:val="20"/>
              </w:rPr>
              <w:t xml:space="preserve">More contributions  →  Brain learns more</w:t>
            </w:r>
          </w:p>
          <w:p>
            <w:pPr>
              <w:spacing w:after="60" w:before="60"/>
            </w:pPr>
            <w:r>
              <w:rPr>
                <w:rFonts w:ascii="Arial" w:cs="Arial" w:eastAsia="Arial" w:hAnsi="Arial"/>
                <w:color w:val="CCDDFF"/>
                <w:sz w:val="20"/>
                <w:szCs w:val="20"/>
              </w:rPr>
              <w:t xml:space="preserve">Brain learns more  →  Better context pushed to individuals</w:t>
            </w:r>
          </w:p>
          <w:p>
            <w:pPr>
              <w:spacing w:after="60" w:before="60"/>
            </w:pPr>
            <w:r>
              <w:rPr>
                <w:rFonts w:ascii="Arial" w:cs="Arial" w:eastAsia="Arial" w:hAnsi="Arial"/>
                <w:color w:val="CCDDFF"/>
                <w:sz w:val="20"/>
                <w:szCs w:val="20"/>
              </w:rPr>
              <w:t xml:space="preserve">Better context  →  Individuals do higher quality work</w:t>
            </w:r>
          </w:p>
          <w:p>
            <w:pPr>
              <w:spacing w:after="60" w:before="60"/>
            </w:pPr>
            <w:r>
              <w:rPr>
                <w:rFonts w:ascii="Arial" w:cs="Arial" w:eastAsia="Arial" w:hAnsi="Arial"/>
                <w:color w:val="CCDDFF"/>
                <w:sz w:val="20"/>
                <w:szCs w:val="20"/>
              </w:rPr>
              <w:t xml:space="preserve">Higher quality work  →  Higher quality contributions</w:t>
            </w:r>
          </w:p>
          <w:p>
            <w:pPr>
              <w:spacing w:after="60" w:before="60"/>
            </w:pPr>
            <w:r>
              <w:rPr>
                <w:rFonts w:ascii="Arial" w:cs="Arial" w:eastAsia="Arial" w:hAnsi="Arial"/>
                <w:color w:val="CCDDFF"/>
                <w:sz w:val="20"/>
                <w:szCs w:val="20"/>
              </w:rPr>
              <w:t xml:space="preserve">Higher quality contributions  →  Brain gets smarter</w:t>
            </w:r>
          </w:p>
          <w:p>
            <w:pPr>
              <w:spacing w:after="60" w:before="60"/>
            </w:pPr>
            <w:r>
              <w:rPr>
                <w:rFonts w:ascii="Arial" w:cs="Arial" w:eastAsia="Arial" w:hAnsi="Arial"/>
                <w:color w:val="CCDDFF"/>
                <w:sz w:val="20"/>
                <w:szCs w:val="20"/>
              </w:rPr>
              <w:t xml:space="preserve">Smarter Brain  →  Even better context pushed</w:t>
            </w:r>
          </w:p>
          <w:p>
            <w:pPr>
              <w:spacing w:after="60" w:before="60"/>
            </w:pPr>
            <w:r>
              <w:rPr>
                <w:rFonts w:ascii="Arial" w:cs="Arial" w:eastAsia="Arial" w:hAnsi="Arial"/>
                <w:sz w:val="8"/>
                <w:szCs w:val="8"/>
              </w:rPr>
              <w:t xml:space="preserve"/>
            </w:r>
          </w:p>
          <w:p>
            <w:pPr>
              <w:spacing w:after="60" w:before="60"/>
            </w:pPr>
            <w:r>
              <w:rPr>
                <w:rFonts w:ascii="Arial" w:cs="Arial" w:eastAsia="Arial" w:hAnsi="Arial"/>
                <w:b/>
                <w:bCs/>
                <w:color w:val="FFFFFF"/>
                <w:sz w:val="22"/>
                <w:szCs w:val="22"/>
              </w:rPr>
              <w:t xml:space="preserve">Organisation gets measurably smarter over time as a direct function of people simply doing their work.</w:t>
            </w:r>
          </w:p>
        </w:tc>
      </w:tr>
    </w:tbl>
    <w:p>
      <w:pPr>
        <w:spacing w:after="0" w:before="200"/>
      </w:pPr>
      <w:r>
        <w:t xml:space="preserve"/>
      </w:r>
    </w:p>
    <w:p>
      <w:pPr>
        <w:pStyle w:val="Heading1"/>
        <w:spacing w:after="160" w:before="400"/>
      </w:pPr>
      <w:r>
        <w:rPr>
          <w:rFonts w:ascii="Arial" w:cs="Arial" w:eastAsia="Arial" w:hAnsi="Arial"/>
          <w:b/>
          <w:bCs/>
          <w:color w:val="0D47A1"/>
          <w:sz w:val="36"/>
          <w:szCs w:val="36"/>
        </w:rPr>
        <w:t xml:space="preserve">11. Target Market &amp; Use Cases</w:t>
      </w:r>
    </w:p>
    <w:p>
      <w:pPr>
        <w:pBdr>
          <w:bottom w:val="single" w:color="E8F0FE" w:sz="4" w:space="1"/>
        </w:pBdr>
        <w:spacing w:after="160" w:before="160"/>
      </w:pPr>
      <w:r>
        <w:t xml:space="preserve"/>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Segment</w:t>
            </w:r>
          </w:p>
        </w:tc>
        <w:tc>
          <w:tcPr>
            <w:tcW w:type="dxa" w:w="28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The Pain</w:t>
            </w:r>
          </w:p>
        </w:tc>
        <w:tc>
          <w:tcPr>
            <w:tcW w:type="dxa" w:w="436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What the System Solves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Government Ministries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Policy knowledge lost across administrations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Persistent institutional memory with full attribution across political cycles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Development Organisations &amp; NGOs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High consultant turnover, repeated baseline work</w:t>
            </w:r>
          </w:p>
        </w:tc>
        <w:tc>
          <w:tcPr>
            <w:tcW w:type="dxa" w:w="4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Consultant knowledge stays and remains attributed after contract ends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Universities &amp; Research Institutions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Research continuity lost across cohorts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Dissertation and project knowledge preserved, queryable, and built upon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Professional Services Firms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Client context siloed in departing staff</w:t>
            </w:r>
          </w:p>
        </w:tc>
        <w:tc>
          <w:tcPr>
            <w:tcW w:type="dxa" w:w="4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Project intelligence retained, onboarding time cut, lineage chains preserved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Corporate Enterprises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Knowledge silos, slow onboarding, expertise hidden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Expertise mapping emerges automatically, new staff get immediate context</w:t>
            </w:r>
          </w:p>
        </w:tc>
      </w:tr>
    </w:tbl>
    <w:p>
      <w:pPr>
        <w:spacing w:after="0" w:before="200"/>
      </w:pPr>
      <w:r>
        <w:t xml:space="preserve"/>
      </w:r>
    </w:p>
    <w:p>
      <w:pPr>
        <w:pStyle w:val="Heading2"/>
        <w:spacing w:after="120" w:before="320"/>
      </w:pPr>
      <w:r>
        <w:rPr>
          <w:rFonts w:ascii="Arial" w:cs="Arial" w:eastAsia="Arial" w:hAnsi="Arial"/>
          <w:b/>
          <w:bCs/>
          <w:color w:val="1A73E8"/>
          <w:sz w:val="26"/>
          <w:szCs w:val="26"/>
        </w:rPr>
        <w:t xml:space="preserve">11.1  Flagship Use Case — Government</w:t>
      </w:r>
    </w:p>
    <w:p>
      <w:pPr>
        <w:spacing w:after="80" w:before="80"/>
      </w:pPr>
      <w:r>
        <w:rPr>
          <w:rFonts w:ascii="Arial" w:cs="Arial" w:eastAsia="Arial" w:hAnsi="Arial"/>
          <w:color w:val="444444"/>
          <w:sz w:val="22"/>
          <w:szCs w:val="22"/>
        </w:rPr>
        <w:t xml:space="preserve">A Ministry of Energy installs WorkPulse across its technical team. Each officer contributes fingerprints of key deliverables — policy briefs, regulatory frameworks, stakeholder maps. When a new administration takes over, the incoming technical team queries the Institution Brain. They find the 2021 process map for artisanal mining permitting — authored by an officer who has since left — with full context on the approach taken, tradeoffs considered, and outcome delivered. They build on it rather than starting from scratch. The original officer receives attribution and a future micro-payment when her work is accessed. Three administrations of institutional memory — preserved.</w:t>
      </w:r>
    </w:p>
    <w:p>
      <w:pPr>
        <w:spacing w:after="0" w:before="200"/>
      </w:pPr>
      <w:r>
        <w:t xml:space="preserve"/>
      </w:r>
    </w:p>
    <w:p>
      <w:r>
        <w:br w:type="page"/>
      </w:r>
    </w:p>
    <w:p>
      <w:pPr>
        <w:pStyle w:val="Heading1"/>
        <w:spacing w:after="160" w:before="400"/>
      </w:pPr>
      <w:r>
        <w:rPr>
          <w:rFonts w:ascii="Arial" w:cs="Arial" w:eastAsia="Arial" w:hAnsi="Arial"/>
          <w:b/>
          <w:bCs/>
          <w:color w:val="0D47A1"/>
          <w:sz w:val="36"/>
          <w:szCs w:val="36"/>
        </w:rPr>
        <w:t xml:space="preserve">12. Build Roadmap</w:t>
      </w:r>
    </w:p>
    <w:p>
      <w:pPr>
        <w:pBdr>
          <w:bottom w:val="single" w:color="E8F0FE" w:sz="4" w:space="1"/>
        </w:pBdr>
        <w:spacing w:after="160" w:before="160"/>
      </w:pPr>
      <w:r>
        <w:t xml:space="preserve"/>
      </w:r>
    </w:p>
    <w:p>
      <w:pPr>
        <w:spacing w:after="80" w:before="80"/>
      </w:pPr>
      <w:r>
        <w:rPr>
          <w:rFonts w:ascii="Arial" w:cs="Arial" w:eastAsia="Arial" w:hAnsi="Arial"/>
          <w:color w:val="444444"/>
          <w:sz w:val="22"/>
          <w:szCs w:val="22"/>
        </w:rPr>
        <w:t xml:space="preserve">WorkPulse follows a deliberate, foundation-first build philosophy. Each phase reaches stability before the next begins. The skyscraper follows the foundation.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760"/>
        <w:gridCol w:w="2000"/>
      </w:tblGrid>
      <w:tr>
        <w:tc>
          <w:tcPr>
            <w:tcW w:type="dxa" w:w="6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476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Core Deliverable</w:t>
            </w:r>
          </w:p>
        </w:tc>
        <w:tc>
          <w:tcPr>
            <w:tcW w:type="dxa" w:w="20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Personal Tracker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Window focus, file activity, project tagging, AI session logging, focus 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 Progress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v2</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Intelligent Briefings</w:t>
            </w:r>
          </w:p>
        </w:tc>
        <w:tc>
          <w:tcPr>
            <w:tcW w:type="dxa" w:w="4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Daily/weekly AI-generated summaries of work done across streams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Planned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Fingerprint Engine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Semantic fingerprinting of opted-in tasks, local storage, attribution hash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Planned</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v4</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Institution Brain — Core</w:t>
            </w:r>
          </w:p>
        </w:tc>
        <w:tc>
          <w:tcPr>
            <w:tcW w:type="dxa" w:w="4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Single Brain instance per org, intake pipeline, knowledge graph, admin console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Future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Learning Engine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Automatic expertise mapping, push engine, gap detection, quality scoring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Future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v6</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Attribution Layer</w:t>
            </w:r>
          </w:p>
        </w:tc>
        <w:tc>
          <w:tcPr>
            <w:tcW w:type="dxa" w:w="4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Cryptographic signing, lineage chains, full provenance ledger</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Future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Payment Infrastructure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Micro-attribution events, contributor compensation model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Future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v8</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Cross-Institutional Layer</w:t>
            </w:r>
          </w:p>
        </w:tc>
        <w:tc>
          <w:tcPr>
            <w:tcW w:type="dxa" w:w="4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Scoped privilege connections between Brain instances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444444"/>
                <w:sz w:val="20"/>
                <w:szCs w:val="20"/>
              </w:rPr>
              <w:t xml:space="preserve">Long-term</w:t>
            </w:r>
          </w:p>
        </w:tc>
      </w:tr>
    </w:tbl>
    <w:p>
      <w:pPr>
        <w:spacing w:after="0" w:before="200"/>
      </w:pPr>
      <w:r>
        <w:t xml:space="preserve"/>
      </w:r>
    </w:p>
    <w:p>
      <w:pPr>
        <w:pStyle w:val="Heading1"/>
        <w:spacing w:after="160" w:before="400"/>
      </w:pPr>
      <w:r>
        <w:rPr>
          <w:rFonts w:ascii="Arial" w:cs="Arial" w:eastAsia="Arial" w:hAnsi="Arial"/>
          <w:b/>
          <w:bCs/>
          <w:color w:val="0D47A1"/>
          <w:sz w:val="36"/>
          <w:szCs w:val="36"/>
        </w:rPr>
        <w:t xml:space="preserve">13. Hard Problems — First Class Design Challenges</w:t>
      </w:r>
    </w:p>
    <w:p>
      <w:pPr>
        <w:pBdr>
          <w:bottom w:val="single" w:color="E8F0FE" w:sz="4" w:space="1"/>
        </w:pBdr>
        <w:spacing w:after="160" w:before="160"/>
      </w:pPr>
      <w:r>
        <w:t xml:space="preserve"/>
      </w:r>
    </w:p>
    <w:p>
      <w:pPr>
        <w:spacing w:after="80" w:before="80"/>
      </w:pPr>
      <w:r>
        <w:rPr>
          <w:rFonts w:ascii="Arial" w:cs="Arial" w:eastAsia="Arial" w:hAnsi="Arial"/>
          <w:color w:val="444444"/>
          <w:sz w:val="22"/>
          <w:szCs w:val="22"/>
        </w:rPr>
        <w:t xml:space="preserve">These are not afterthoughts. They are structural challenges that must be addressed in the architecture before they become expensive to fix.</w:t>
      </w:r>
    </w:p>
    <w:p>
      <w:pPr>
        <w:spacing w:after="0" w:before="160"/>
      </w:pPr>
      <w:r>
        <w:t xml:space="preserve"/>
      </w:r>
    </w:p>
    <w:p>
      <w:pPr>
        <w:pStyle w:val="Heading2"/>
        <w:spacing w:after="120" w:before="320"/>
      </w:pPr>
      <w:r>
        <w:rPr>
          <w:rFonts w:ascii="Arial" w:cs="Arial" w:eastAsia="Arial" w:hAnsi="Arial"/>
          <w:b/>
          <w:bCs/>
          <w:color w:val="1A73E8"/>
          <w:sz w:val="26"/>
          <w:szCs w:val="26"/>
        </w:rPr>
        <w:t xml:space="preserve">13.1  The Contribution Incentive Problem</w:t>
      </w:r>
    </w:p>
    <w:p>
      <w:pPr>
        <w:spacing w:after="80" w:before="80"/>
      </w:pPr>
      <w:r>
        <w:rPr>
          <w:rFonts w:ascii="Arial" w:cs="Arial" w:eastAsia="Arial" w:hAnsi="Arial"/>
          <w:color w:val="444444"/>
          <w:sz w:val="22"/>
          <w:szCs w:val="22"/>
        </w:rPr>
        <w:t xml:space="preserve">Pure opt-in produces empty Brains. The system must make contributing more valuable than hoarding. The social contract between individual and institution — what is expected, what remains private, what the individual receives — must be defined at onboarding. This is unresolved and requires careful design before institutional deployments.</w:t>
      </w:r>
    </w:p>
    <w:p>
      <w:pPr>
        <w:spacing w:after="0" w:before="160"/>
      </w:pPr>
      <w:r>
        <w:t xml:space="preserve"/>
      </w:r>
    </w:p>
    <w:p>
      <w:pPr>
        <w:pStyle w:val="Heading2"/>
        <w:spacing w:after="120" w:before="320"/>
      </w:pPr>
      <w:r>
        <w:rPr>
          <w:rFonts w:ascii="Arial" w:cs="Arial" w:eastAsia="Arial" w:hAnsi="Arial"/>
          <w:b/>
          <w:bCs/>
          <w:color w:val="1A73E8"/>
          <w:sz w:val="26"/>
          <w:szCs w:val="26"/>
        </w:rPr>
        <w:t xml:space="preserve">13.2  Preventing Gaming of Quality Signals</w:t>
      </w:r>
    </w:p>
    <w:p>
      <w:pPr>
        <w:spacing w:after="80" w:before="80"/>
      </w:pPr>
      <w:r>
        <w:rPr>
          <w:rFonts w:ascii="Arial" w:cs="Arial" w:eastAsia="Arial" w:hAnsi="Arial"/>
          <w:color w:val="444444"/>
          <w:sz w:val="22"/>
          <w:szCs w:val="22"/>
        </w:rPr>
        <w:t xml:space="preserve">If quality scores drive payment, people will optimise for signals rather than quality. The system must rely on outcome signals — did this work actually get used and succeed — rather than input signals like apparent effort or frequency of contribution.</w:t>
      </w:r>
    </w:p>
    <w:p>
      <w:pPr>
        <w:spacing w:after="0" w:before="160"/>
      </w:pPr>
      <w:r>
        <w:t xml:space="preserve"/>
      </w:r>
    </w:p>
    <w:p>
      <w:pPr>
        <w:pStyle w:val="Heading2"/>
        <w:spacing w:after="120" w:before="320"/>
      </w:pPr>
      <w:r>
        <w:rPr>
          <w:rFonts w:ascii="Arial" w:cs="Arial" w:eastAsia="Arial" w:hAnsi="Arial"/>
          <w:b/>
          <w:bCs/>
          <w:color w:val="1A73E8"/>
          <w:sz w:val="26"/>
          <w:szCs w:val="26"/>
        </w:rPr>
        <w:t xml:space="preserve">13.3  The Bypass Key Temptation</w:t>
      </w:r>
    </w:p>
    <w:p>
      <w:pPr>
        <w:spacing w:after="80" w:before="80"/>
      </w:pPr>
      <w:r>
        <w:rPr>
          <w:rFonts w:ascii="Arial" w:cs="Arial" w:eastAsia="Arial" w:hAnsi="Arial"/>
          <w:color w:val="444444"/>
          <w:sz w:val="22"/>
          <w:szCs w:val="22"/>
        </w:rPr>
        <w:t xml:space="preserve">Institutions will ask for administrative override access to individual data. This must be architecturally impossible — not just against policy. The moment a bypass key exists, even with good intentions, it becomes a surveillance tool and destroys the authentic behavioural signal that makes the Brain valuable.</w:t>
      </w:r>
    </w:p>
    <w:p>
      <w:pPr>
        <w:spacing w:after="0" w:before="160"/>
      </w:pPr>
      <w:r>
        <w:t xml:space="preserve"/>
      </w:r>
    </w:p>
    <w:p>
      <w:pPr>
        <w:pStyle w:val="Heading2"/>
        <w:spacing w:after="120" w:before="320"/>
      </w:pPr>
      <w:r>
        <w:rPr>
          <w:rFonts w:ascii="Arial" w:cs="Arial" w:eastAsia="Arial" w:hAnsi="Arial"/>
          <w:b/>
          <w:bCs/>
          <w:color w:val="1A73E8"/>
          <w:sz w:val="26"/>
          <w:szCs w:val="26"/>
        </w:rPr>
        <w:t xml:space="preserve">13.4  Governance at Scale</w:t>
      </w:r>
    </w:p>
    <w:p>
      <w:pPr>
        <w:spacing w:after="80" w:before="80"/>
      </w:pPr>
      <w:r>
        <w:rPr>
          <w:rFonts w:ascii="Arial" w:cs="Arial" w:eastAsia="Arial" w:hAnsi="Arial"/>
          <w:color w:val="444444"/>
          <w:sz w:val="22"/>
          <w:szCs w:val="22"/>
        </w:rPr>
        <w:t xml:space="preserve">Who sets the access rules? Who arbitrates attribution disputes? Who governs cross-institutional connections? WorkPulse needs a governance framework — not just a technical architecture — before institutional deployments can be trusted at the scale of governments and large organisations.</w:t>
      </w:r>
    </w:p>
    <w:p>
      <w:pPr>
        <w:spacing w:after="0" w:before="160"/>
      </w:pPr>
      <w:r>
        <w:t xml:space="preserve"/>
      </w:r>
    </w:p>
    <w:p>
      <w:pPr>
        <w:pStyle w:val="Heading2"/>
        <w:spacing w:after="120" w:before="320"/>
      </w:pPr>
      <w:r>
        <w:rPr>
          <w:rFonts w:ascii="Arial" w:cs="Arial" w:eastAsia="Arial" w:hAnsi="Arial"/>
          <w:b/>
          <w:bCs/>
          <w:color w:val="1A73E8"/>
          <w:sz w:val="26"/>
          <w:szCs w:val="26"/>
        </w:rPr>
        <w:t xml:space="preserve">13.5  Data Sovereignty for Governments</w:t>
      </w:r>
    </w:p>
    <w:p>
      <w:pPr>
        <w:spacing w:after="80" w:before="80"/>
      </w:pPr>
      <w:r>
        <w:rPr>
          <w:rFonts w:ascii="Arial" w:cs="Arial" w:eastAsia="Arial" w:hAnsi="Arial"/>
          <w:color w:val="444444"/>
          <w:sz w:val="22"/>
          <w:szCs w:val="22"/>
        </w:rPr>
        <w:t xml:space="preserve">Government clients will not put national institutional memory on third-party cloud infrastructure. On-premises and national cloud deployment must be a first-class option from v4 onwards, not a retrofit.</w:t>
      </w:r>
    </w:p>
    <w:p>
      <w:pPr>
        <w:spacing w:after="0" w:before="200"/>
      </w:pPr>
      <w:r>
        <w:t xml:space="preserve"/>
      </w:r>
    </w:p>
    <w:p>
      <w:r>
        <w:br w:type="page"/>
      </w:r>
    </w:p>
    <w:p>
      <w:pPr>
        <w:pStyle w:val="Heading1"/>
        <w:spacing w:after="160" w:before="400"/>
      </w:pPr>
      <w:r>
        <w:rPr>
          <w:rFonts w:ascii="Arial" w:cs="Arial" w:eastAsia="Arial" w:hAnsi="Arial"/>
          <w:b/>
          <w:bCs/>
          <w:color w:val="0D47A1"/>
          <w:sz w:val="36"/>
          <w:szCs w:val="36"/>
        </w:rPr>
        <w:t xml:space="preserve">14. Closing Statement</w:t>
      </w:r>
    </w:p>
    <w:p>
      <w:pPr>
        <w:pBdr>
          <w:bottom w:val="single" w:color="E8F0FE"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7A1" w:val="clear"/>
            <w:tcMar>
              <w:top w:type="dxa" w:w="240"/>
              <w:left w:type="dxa" w:w="360"/>
              <w:bottom w:type="dxa" w:w="240"/>
              <w:right w:type="dxa" w:w="360"/>
            </w:tcMar>
          </w:tcPr>
          <w:p>
            <w:pPr>
              <w:spacing w:after="60" w:before="60"/>
            </w:pPr>
            <w:r>
              <w:rPr>
                <w:rFonts w:ascii="Arial" w:cs="Arial" w:eastAsia="Arial" w:hAnsi="Arial"/>
                <w:b/>
                <w:bCs/>
                <w:color w:val="FFFFFF"/>
                <w:sz w:val="28"/>
                <w:szCs w:val="28"/>
              </w:rPr>
              <w:t xml:space="preserve">WorkPulse is not a productivity app.</w:t>
            </w:r>
          </w:p>
          <w:p>
            <w:pPr>
              <w:spacing w:after="60" w:before="60"/>
            </w:pPr>
            <w:r>
              <w:rPr>
                <w:rFonts w:ascii="Arial" w:cs="Arial" w:eastAsia="Arial" w:hAnsi="Arial"/>
                <w:sz w:val="10"/>
                <w:szCs w:val="10"/>
              </w:rPr>
              <w:t xml:space="preserve"/>
            </w:r>
          </w:p>
          <w:p>
            <w:pPr>
              <w:spacing w:after="60" w:before="60"/>
            </w:pPr>
            <w:r>
              <w:rPr>
                <w:rFonts w:ascii="Arial" w:cs="Arial" w:eastAsia="Arial" w:hAnsi="Arial"/>
                <w:color w:val="CCDDFF"/>
                <w:sz w:val="22"/>
                <w:szCs w:val="22"/>
              </w:rPr>
              <w:t xml:space="preserve">It is infrastructure for how human knowledge gets captured, attributed, valued, and preserved — at the individual level first, and at the institutional level by design.</w:t>
            </w:r>
          </w:p>
          <w:p>
            <w:pPr>
              <w:spacing w:after="60" w:before="60"/>
            </w:pPr>
            <w:r>
              <w:rPr>
                <w:rFonts w:ascii="Arial" w:cs="Arial" w:eastAsia="Arial" w:hAnsi="Arial"/>
                <w:sz w:val="10"/>
                <w:szCs w:val="10"/>
              </w:rPr>
              <w:t xml:space="preserve"/>
            </w:r>
          </w:p>
          <w:p>
            <w:pPr>
              <w:spacing w:after="60" w:before="60"/>
            </w:pPr>
            <w:r>
              <w:rPr>
                <w:rFonts w:ascii="Arial" w:cs="Arial" w:eastAsia="Arial" w:hAnsi="Arial"/>
                <w:color w:val="CCDDFF"/>
                <w:sz w:val="22"/>
                <w:szCs w:val="22"/>
              </w:rPr>
              <w:t xml:space="preserve">The Individual WorkPulse is the child — a personal AI working tool, conversational, daily, always improving.</w:t>
            </w:r>
          </w:p>
          <w:p>
            <w:pPr>
              <w:spacing w:after="60" w:before="60"/>
            </w:pPr>
            <w:r>
              <w:rPr>
                <w:rFonts w:ascii="Arial" w:cs="Arial" w:eastAsia="Arial" w:hAnsi="Arial"/>
                <w:sz w:val="10"/>
                <w:szCs w:val="10"/>
              </w:rPr>
              <w:t xml:space="preserve"/>
            </w:r>
          </w:p>
          <w:p>
            <w:pPr>
              <w:spacing w:after="60" w:before="60"/>
            </w:pPr>
            <w:r>
              <w:rPr>
                <w:rFonts w:ascii="Arial" w:cs="Arial" w:eastAsia="Arial" w:hAnsi="Arial"/>
                <w:color w:val="CCDDFF"/>
                <w:sz w:val="22"/>
                <w:szCs w:val="22"/>
              </w:rPr>
              <w:t xml:space="preserve">The Institution Brain is the parent — a silent, continuously learning intelligence engine that makes every child smarter and ensures the organisation never forgets.</w:t>
            </w:r>
          </w:p>
          <w:p>
            <w:pPr>
              <w:spacing w:after="60" w:before="60"/>
            </w:pPr>
            <w:r>
              <w:rPr>
                <w:rFonts w:ascii="Arial" w:cs="Arial" w:eastAsia="Arial" w:hAnsi="Arial"/>
                <w:sz w:val="10"/>
                <w:szCs w:val="10"/>
              </w:rPr>
              <w:t xml:space="preserve"/>
            </w:r>
          </w:p>
          <w:p>
            <w:pPr>
              <w:spacing w:after="60" w:before="60"/>
            </w:pPr>
            <w:r>
              <w:rPr>
                <w:rFonts w:ascii="Arial" w:cs="Arial" w:eastAsia="Arial" w:hAnsi="Arial"/>
                <w:color w:val="CCDDFF"/>
                <w:sz w:val="22"/>
                <w:szCs w:val="22"/>
              </w:rPr>
              <w:t xml:space="preserve">They are one system. The parent never speaks directly. The children carry the intelligence forward.</w:t>
            </w:r>
          </w:p>
          <w:p>
            <w:pPr>
              <w:spacing w:after="60" w:before="60"/>
            </w:pPr>
            <w:r>
              <w:rPr>
                <w:rFonts w:ascii="Arial" w:cs="Arial" w:eastAsia="Arial" w:hAnsi="Arial"/>
                <w:sz w:val="10"/>
                <w:szCs w:val="10"/>
              </w:rPr>
              <w:t xml:space="preserve"/>
            </w:r>
          </w:p>
          <w:p>
            <w:pPr>
              <w:spacing w:after="60" w:before="60"/>
            </w:pPr>
            <w:r>
              <w:rPr>
                <w:rFonts w:ascii="Arial" w:cs="Arial" w:eastAsia="Arial" w:hAnsi="Arial"/>
                <w:b/>
                <w:bCs/>
                <w:i/>
                <w:iCs/>
                <w:color w:val="FFFFFF"/>
                <w:sz w:val="24"/>
                <w:szCs w:val="24"/>
              </w:rPr>
              <w:t xml:space="preserve">Build the foundation first. The skyscraper follows.</w:t>
            </w:r>
          </w:p>
        </w:tc>
      </w:tr>
    </w:tbl>
    <w:p>
      <w:pPr>
        <w:spacing w:after="0" w:before="300"/>
      </w:pPr>
      <w:r>
        <w:t xml:space="preserve"/>
      </w:r>
    </w:p>
    <w:p>
      <w:pPr>
        <w:spacing w:after="80" w:before="80"/>
      </w:pPr>
      <w:r>
        <w:rPr>
          <w:rFonts w:ascii="Arial" w:cs="Arial" w:eastAsia="Arial" w:hAnsi="Arial"/>
          <w:i/>
          <w:iCs/>
          <w:color w:val="AAAAAA"/>
          <w:sz w:val="22"/>
          <w:szCs w:val="22"/>
        </w:rPr>
        <w:t xml:space="preserve">Document version: v1.1  |  Updated: April 2026</w:t>
      </w:r>
    </w:p>
    <w:p>
      <w:pPr>
        <w:spacing w:after="80" w:before="80"/>
      </w:pPr>
      <w:r>
        <w:rPr>
          <w:rFonts w:ascii="Arial" w:cs="Arial" w:eastAsia="Arial" w:hAnsi="Arial"/>
          <w:i/>
          <w:iCs/>
          <w:color w:val="AAAAAA"/>
          <w:sz w:val="22"/>
          <w:szCs w:val="22"/>
        </w:rPr>
        <w:t xml:space="preserve">Author: George Kamau Kibuku</w:t>
      </w:r>
    </w:p>
    <w:p>
      <w:pPr>
        <w:spacing w:after="80" w:before="80"/>
      </w:pPr>
      <w:r>
        <w:rPr>
          <w:rFonts w:ascii="Arial" w:cs="Arial" w:eastAsia="Arial" w:hAnsi="Arial"/>
          <w:i/>
          <w:iCs/>
          <w:color w:val="AAAAAA"/>
          <w:sz w:val="22"/>
          <w:szCs w:val="22"/>
        </w:rPr>
        <w:t xml:space="preserve">Status: Living Document — architectural model corrected, quality gate and learning engine added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47A1"/>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73E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2026-04-26T19:41:56.583Z</dcterms:created>
  <dcterms:modified xsi:type="dcterms:W3CDTF">2026-04-26T19:41:56.584Z</dcterms:modified>
</cp:coreProperties>
</file>

<file path=docProps/custom.xml><?xml version="1.0" encoding="utf-8"?>
<Properties xmlns="http://schemas.openxmlformats.org/officeDocument/2006/custom-properties" xmlns:vt="http://schemas.openxmlformats.org/officeDocument/2006/docPropsVTypes"/>
</file>