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73E8"/>
          <w:sz w:val="72"/>
          <w:szCs w:val="72"/>
        </w:rPr>
        <w:t xml:space="preserve">WORKPULSE</w:t>
      </w:r>
    </w:p>
    <w:p>
      <w:pPr>
        <w:spacing w:after="80" w:before="0"/>
      </w:pPr>
      <w:r>
        <w:rPr>
          <w:rFonts w:ascii="Arial" w:cs="Arial" w:eastAsia="Arial" w:hAnsi="Arial"/>
          <w:b/>
          <w:bCs/>
          <w:color w:val="0D47A1"/>
          <w:sz w:val="48"/>
          <w:szCs w:val="48"/>
        </w:rPr>
        <w:t xml:space="preserve">&amp; THE INSTITUTION BRAIN</w:t>
      </w:r>
    </w:p>
    <w:p>
      <w:pPr>
        <w:spacing w:after="400" w:before="160"/>
      </w:pPr>
      <w:r>
        <w:rPr>
          <w:rFonts w:ascii="Arial" w:cs="Arial" w:eastAsia="Arial" w:hAnsi="Arial"/>
          <w:color w:val="888888"/>
          <w:sz w:val="22"/>
          <w:szCs w:val="22"/>
        </w:rPr>
        <w:t xml:space="preserve">Product Vision Document  |  v1.3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From personal productivity tracker to institutional knowledge infrastructure.</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A living engine that captures how work is done, who did it, and how they were thinking — continuously learning, automatically growing, and making every individual smarter through collective intelligence.</w:t>
            </w:r>
          </w:p>
          <w:p>
            <w:pPr>
              <w:spacing w:after="60" w:before="60"/>
            </w:pPr>
            <w:r>
              <w:rPr>
                <w:rFonts w:ascii="Arial" w:cs="Arial" w:eastAsia="Arial" w:hAnsi="Arial"/>
                <w:sz w:val="10"/>
                <w:szCs w:val="10"/>
              </w:rPr>
              <w:t xml:space="preserve"/>
            </w:r>
          </w:p>
          <w:p>
            <w:pPr>
              <w:spacing w:after="60" w:before="60"/>
            </w:pPr>
            <w:r>
              <w:rPr>
                <w:rFonts w:ascii="Arial" w:cs="Arial" w:eastAsia="Arial" w:hAnsi="Arial"/>
                <w:i/>
                <w:iCs/>
                <w:color w:val="8899CC"/>
                <w:sz w:val="20"/>
                <w:szCs w:val="20"/>
              </w:rPr>
              <w:t xml:space="preserve">This is a living document. It will be revised as the product evolves.</w:t>
            </w:r>
          </w:p>
        </w:tc>
      </w:tr>
    </w:tbl>
    <w:p>
      <w:pPr>
        <w:spacing w:after="0" w:before="600"/>
      </w:pPr>
      <w:r>
        <w:t xml:space="preserve"/>
      </w:r>
    </w:p>
    <w:p>
      <w:r>
        <w:br w:type="page"/>
      </w:r>
    </w:p>
    <w:p>
      <w:pPr>
        <w:pStyle w:val="Heading1"/>
        <w:spacing w:after="160" w:before="400"/>
      </w:pPr>
      <w:r>
        <w:rPr>
          <w:rFonts w:ascii="Arial" w:cs="Arial" w:eastAsia="Arial" w:hAnsi="Arial"/>
          <w:b/>
          <w:bCs/>
          <w:color w:val="0D47A1"/>
          <w:sz w:val="36"/>
          <w:szCs w:val="36"/>
        </w:rPr>
        <w:t xml:space="preserve">1. The Problem</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Organisations lose their memory constantly. A consultant exits. A minister changes. A team restructures. And with them walks out years of accumulated knowledge — process maps, decision rationale, institutional patterns — gone, or buried somewhere nobody can find.</w:t>
      </w:r>
    </w:p>
    <w:p>
      <w:pPr>
        <w:spacing w:after="0" w:before="120"/>
      </w:pPr>
      <w:r>
        <w:t xml:space="preserve"/>
      </w:r>
    </w:p>
    <w:p>
      <w:pPr>
        <w:spacing w:after="80" w:before="80"/>
      </w:pPr>
      <w:r>
        <w:rPr>
          <w:rFonts w:ascii="Arial" w:cs="Arial" w:eastAsia="Arial" w:hAnsi="Arial"/>
          <w:color w:val="444444"/>
          <w:sz w:val="22"/>
          <w:szCs w:val="22"/>
        </w:rPr>
        <w:t xml:space="preserve">Existing tools don't solve this. Document management systems capture files, not thinking. Knowledge bases require deliberate input nobody has time for. Project tools track tasks, not the intelligence behind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GAP</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gap is not in storage — it is in capture. Nobody has built a system that records how knowledge work actually happens, in real time, passively, without requiring people to change their behaviour.</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  The Specific Pain</w:t>
      </w:r>
    </w:p>
    <w:p>
      <w:pPr>
        <w:pStyle w:val="ListParagraph"/>
        <w:numPr>
          <w:ilvl w:val="0"/>
          <w:numId w:val="2"/>
        </w:numPr>
        <w:spacing w:after="60" w:before="60"/>
      </w:pPr>
      <w:r>
        <w:rPr>
          <w:rFonts w:ascii="Arial" w:cs="Arial" w:eastAsia="Arial" w:hAnsi="Arial"/>
          <w:color w:val="444444"/>
          <w:sz w:val="22"/>
          <w:szCs w:val="22"/>
        </w:rPr>
        <w:t xml:space="preserve">A civil servant's process map — refined over 3 administrations — exists only in their head and a PDF on a drive nobody can find.</w:t>
      </w:r>
    </w:p>
    <w:p>
      <w:pPr>
        <w:pStyle w:val="ListParagraph"/>
        <w:numPr>
          <w:ilvl w:val="0"/>
          <w:numId w:val="2"/>
        </w:numPr>
        <w:spacing w:after="60" w:before="60"/>
      </w:pPr>
      <w:r>
        <w:rPr>
          <w:rFonts w:ascii="Arial" w:cs="Arial" w:eastAsia="Arial" w:hAnsi="Arial"/>
          <w:color w:val="444444"/>
          <w:sz w:val="22"/>
          <w:szCs w:val="22"/>
        </w:rPr>
        <w:t xml:space="preserve">A donor-funded baseline study gets repeated every 5 years because nobody can access the last one with its full context.</w:t>
      </w:r>
    </w:p>
    <w:p>
      <w:pPr>
        <w:pStyle w:val="ListParagraph"/>
        <w:numPr>
          <w:ilvl w:val="0"/>
          <w:numId w:val="2"/>
        </w:numPr>
        <w:spacing w:after="60" w:before="60"/>
      </w:pPr>
      <w:r>
        <w:rPr>
          <w:rFonts w:ascii="Arial" w:cs="Arial" w:eastAsia="Arial" w:hAnsi="Arial"/>
          <w:color w:val="444444"/>
          <w:sz w:val="22"/>
          <w:szCs w:val="22"/>
        </w:rPr>
        <w:t xml:space="preserve">An NGO's institutional knowledge walks out the door with every consultant who ends their contract.</w:t>
      </w:r>
    </w:p>
    <w:p>
      <w:pPr>
        <w:pStyle w:val="ListParagraph"/>
        <w:numPr>
          <w:ilvl w:val="0"/>
          <w:numId w:val="2"/>
        </w:numPr>
        <w:spacing w:after="60" w:before="60"/>
      </w:pPr>
      <w:r>
        <w:rPr>
          <w:rFonts w:ascii="Arial" w:cs="Arial" w:eastAsia="Arial" w:hAnsi="Arial"/>
          <w:color w:val="444444"/>
          <w:sz w:val="22"/>
          <w:szCs w:val="22"/>
        </w:rPr>
        <w:t xml:space="preserve">A company onboards a new hire and spends 3 months re-explaining context that was never captured.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1.2  The Contribution Problem</w:t>
      </w:r>
    </w:p>
    <w:p>
      <w:pPr>
        <w:spacing w:after="80" w:before="80"/>
      </w:pPr>
      <w:r>
        <w:rPr>
          <w:rFonts w:ascii="Arial" w:cs="Arial" w:eastAsia="Arial" w:hAnsi="Arial"/>
          <w:color w:val="444444"/>
          <w:sz w:val="22"/>
          <w:szCs w:val="22"/>
        </w:rPr>
        <w:t xml:space="preserve">Pure opt-in knowledge systems fail for a predictable reason: people opt out. Knowledge is leverage. If you are the only one who knows something, you are harder to replace. Rational self-interest drives hoarding, not sharing.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WorkPulse does not solve this with policy alone. It solves it by making contribution the path of least resistance — and by making the individual measurably smarter when they participate. The incentive structure must make hoarding costly and sharing rewarding. The social contract between individual and institution on what is expected, what remains private, and what the individual receives in return must be defined at onboarding. This remains an open design challenge to be resolved in future versions.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2. The Vision</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starts as a personal productivity tracker. It grows into the infrastructure layer for institutional memory — a system where the act of doing work automatically builds a navigable, attributed, queryable, continuously learning record of how your organisation thinks and operates.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System in One Sentence:</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CCDDFF"/>
                <w:sz w:val="24"/>
                <w:szCs w:val="24"/>
              </w:rPr>
              <w:t xml:space="preserve">Individual tools feed a single institutional brain that learns continuously, makes every individual smarter through automatic context delivery, and ensures no organisation ever has to start from scratch again.</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2.1  What It Is Not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8F0FE" w:val="clear"/>
            <w:tcMar>
              <w:top w:type="dxa" w:w="160"/>
              <w:left w:type="dxa" w:w="200"/>
              <w:bottom w:type="dxa" w:w="160"/>
              <w:right w:type="dxa" w:w="200"/>
            </w:tcMar>
          </w:tcPr>
          <w:p>
            <w:pPr>
              <w:spacing w:after="80" w:before="60"/>
            </w:pPr>
            <w:r>
              <w:rPr>
                <w:rFonts w:ascii="Arial" w:cs="Arial" w:eastAsia="Arial" w:hAnsi="Arial"/>
                <w:b/>
                <w:bCs/>
                <w:color w:val="0D47A1"/>
                <w:sz w:val="22"/>
                <w:szCs w:val="22"/>
              </w:rPr>
              <w:t xml:space="preserve">What WorkPulse IS</w:t>
            </w:r>
          </w:p>
          <w:p>
            <w:pPr>
              <w:pStyle w:val="ListParagraph"/>
              <w:numPr>
                <w:ilvl w:val="0"/>
                <w:numId w:val="2"/>
              </w:numPr>
              <w:spacing w:after="40" w:before="40"/>
            </w:pPr>
            <w:r>
              <w:rPr>
                <w:rFonts w:ascii="Arial" w:cs="Arial" w:eastAsia="Arial" w:hAnsi="Arial"/>
                <w:color w:val="444444"/>
                <w:sz w:val="20"/>
                <w:szCs w:val="20"/>
              </w:rPr>
              <w:t xml:space="preserve">A personal AI working tool — conversational, active, daily</w:t>
            </w:r>
          </w:p>
          <w:p>
            <w:pPr>
              <w:pStyle w:val="ListParagraph"/>
              <w:numPr>
                <w:ilvl w:val="0"/>
                <w:numId w:val="2"/>
              </w:numPr>
              <w:spacing w:after="40" w:before="40"/>
            </w:pPr>
            <w:r>
              <w:rPr>
                <w:rFonts w:ascii="Arial" w:cs="Arial" w:eastAsia="Arial" w:hAnsi="Arial"/>
                <w:color w:val="444444"/>
                <w:sz w:val="20"/>
                <w:szCs w:val="20"/>
              </w:rPr>
              <w:t xml:space="preserve">Local-first — your data lives on your machine</w:t>
            </w:r>
          </w:p>
          <w:p>
            <w:pPr>
              <w:pStyle w:val="ListParagraph"/>
              <w:numPr>
                <w:ilvl w:val="0"/>
                <w:numId w:val="2"/>
              </w:numPr>
              <w:spacing w:after="40" w:before="40"/>
            </w:pPr>
            <w:r>
              <w:rPr>
                <w:rFonts w:ascii="Arial" w:cs="Arial" w:eastAsia="Arial" w:hAnsi="Arial"/>
                <w:color w:val="444444"/>
                <w:sz w:val="20"/>
                <w:szCs w:val="20"/>
              </w:rPr>
              <w:t xml:space="preserve">The entry point for all institutional intelligence</w:t>
            </w:r>
          </w:p>
          <w:p>
            <w:pPr>
              <w:pStyle w:val="ListParagraph"/>
              <w:numPr>
                <w:ilvl w:val="0"/>
                <w:numId w:val="2"/>
              </w:numPr>
              <w:spacing w:after="40" w:before="40"/>
            </w:pPr>
            <w:r>
              <w:rPr>
                <w:rFonts w:ascii="Arial" w:cs="Arial" w:eastAsia="Arial" w:hAnsi="Arial"/>
                <w:color w:val="444444"/>
                <w:sz w:val="20"/>
                <w:szCs w:val="20"/>
              </w:rPr>
              <w:t xml:space="preserve">Gets smarter as the Institution Brain grows</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after="80" w:before="60"/>
            </w:pPr>
            <w:r>
              <w:rPr>
                <w:rFonts w:ascii="Arial" w:cs="Arial" w:eastAsia="Arial" w:hAnsi="Arial"/>
                <w:b/>
                <w:bCs/>
                <w:color w:val="1B5E20"/>
                <w:sz w:val="22"/>
                <w:szCs w:val="22"/>
              </w:rPr>
              <w:t xml:space="preserve">What the Institution Brain IS</w:t>
            </w:r>
          </w:p>
          <w:p>
            <w:pPr>
              <w:pStyle w:val="ListParagraph"/>
              <w:numPr>
                <w:ilvl w:val="0"/>
                <w:numId w:val="2"/>
              </w:numPr>
              <w:spacing w:after="40" w:before="40"/>
            </w:pPr>
            <w:r>
              <w:rPr>
                <w:rFonts w:ascii="Arial" w:cs="Arial" w:eastAsia="Arial" w:hAnsi="Arial"/>
                <w:color w:val="444444"/>
                <w:sz w:val="20"/>
                <w:szCs w:val="20"/>
              </w:rPr>
              <w:t xml:space="preserve">A passive intelligence ledger — not a working tool</w:t>
            </w:r>
          </w:p>
          <w:p>
            <w:pPr>
              <w:pStyle w:val="ListParagraph"/>
              <w:numPr>
                <w:ilvl w:val="0"/>
                <w:numId w:val="2"/>
              </w:numPr>
              <w:spacing w:after="40" w:before="40"/>
            </w:pPr>
            <w:r>
              <w:rPr>
                <w:rFonts w:ascii="Arial" w:cs="Arial" w:eastAsia="Arial" w:hAnsi="Arial"/>
                <w:color w:val="444444"/>
                <w:sz w:val="20"/>
                <w:szCs w:val="20"/>
              </w:rPr>
              <w:t xml:space="preserve">One per organisation — not one per project</w:t>
            </w:r>
          </w:p>
          <w:p>
            <w:pPr>
              <w:pStyle w:val="ListParagraph"/>
              <w:numPr>
                <w:ilvl w:val="0"/>
                <w:numId w:val="2"/>
              </w:numPr>
              <w:spacing w:after="40" w:before="40"/>
            </w:pPr>
            <w:r>
              <w:rPr>
                <w:rFonts w:ascii="Arial" w:cs="Arial" w:eastAsia="Arial" w:hAnsi="Arial"/>
                <w:color w:val="444444"/>
                <w:sz w:val="20"/>
                <w:szCs w:val="20"/>
              </w:rPr>
              <w:t xml:space="preserve">No conversation interface — viewed and queried only</w:t>
            </w:r>
          </w:p>
          <w:p>
            <w:pPr>
              <w:pStyle w:val="ListParagraph"/>
              <w:numPr>
                <w:ilvl w:val="0"/>
                <w:numId w:val="2"/>
              </w:numPr>
              <w:spacing w:after="40" w:before="40"/>
            </w:pPr>
            <w:r>
              <w:rPr>
                <w:rFonts w:ascii="Arial" w:cs="Arial" w:eastAsia="Arial" w:hAnsi="Arial"/>
                <w:color w:val="444444"/>
                <w:sz w:val="20"/>
                <w:szCs w:val="20"/>
              </w:rPr>
              <w:t xml:space="preserve">Continuously learning — not manually managed</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3. System Architecture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has two distinct layers. They are fundamentally different kinds of tools that serve different purposes. Understanding the separation is critical to understanding how the system works.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3.1  Layer 1 — Individual WorkPulse</w:t>
      </w:r>
    </w:p>
    <w:p>
      <w:pPr>
        <w:spacing w:after="80" w:before="80"/>
      </w:pPr>
      <w:r>
        <w:rPr>
          <w:rFonts w:ascii="Arial" w:cs="Arial" w:eastAsia="Arial" w:hAnsi="Arial"/>
          <w:color w:val="444444"/>
          <w:sz w:val="22"/>
          <w:szCs w:val="22"/>
        </w:rPr>
        <w:t xml:space="preserve">The foundation. A personal AI working tool that runs locally on each person's machine. It is conversational, active, and used daily. It tracks:</w:t>
      </w:r>
    </w:p>
    <w:p>
      <w:pPr>
        <w:pStyle w:val="ListParagraph"/>
        <w:numPr>
          <w:ilvl w:val="0"/>
          <w:numId w:val="2"/>
        </w:numPr>
        <w:spacing w:after="60" w:before="60"/>
      </w:pPr>
      <w:r>
        <w:rPr>
          <w:rFonts w:ascii="Arial" w:cs="Arial" w:eastAsia="Arial" w:hAnsi="Arial"/>
          <w:color w:val="444444"/>
          <w:sz w:val="22"/>
          <w:szCs w:val="22"/>
        </w:rPr>
        <w:t xml:space="preserve">Window focus time by application and project</w:t>
      </w:r>
    </w:p>
    <w:p>
      <w:pPr>
        <w:pStyle w:val="ListParagraph"/>
        <w:numPr>
          <w:ilvl w:val="0"/>
          <w:numId w:val="2"/>
        </w:numPr>
        <w:spacing w:after="60" w:before="60"/>
      </w:pPr>
      <w:r>
        <w:rPr>
          <w:rFonts w:ascii="Arial" w:cs="Arial" w:eastAsia="Arial" w:hAnsi="Arial"/>
          <w:color w:val="444444"/>
          <w:sz w:val="22"/>
          <w:szCs w:val="22"/>
        </w:rPr>
        <w:t xml:space="preserve">File activity — creations, modifications, deletions — tagged to work streams</w:t>
      </w:r>
    </w:p>
    <w:p>
      <w:pPr>
        <w:pStyle w:val="ListParagraph"/>
        <w:numPr>
          <w:ilvl w:val="0"/>
          <w:numId w:val="2"/>
        </w:numPr>
        <w:spacing w:after="60" w:before="60"/>
      </w:pPr>
      <w:r>
        <w:rPr>
          <w:rFonts w:ascii="Arial" w:cs="Arial" w:eastAsia="Arial" w:hAnsi="Arial"/>
          <w:color w:val="444444"/>
          <w:sz w:val="22"/>
          <w:szCs w:val="22"/>
        </w:rPr>
        <w:t xml:space="preserve">AI session logs — topic, duration, output summary</w:t>
      </w:r>
    </w:p>
    <w:p>
      <w:pPr>
        <w:pStyle w:val="ListParagraph"/>
        <w:numPr>
          <w:ilvl w:val="0"/>
          <w:numId w:val="2"/>
        </w:numPr>
        <w:spacing w:after="60" w:before="60"/>
      </w:pPr>
      <w:r>
        <w:rPr>
          <w:rFonts w:ascii="Arial" w:cs="Arial" w:eastAsia="Arial" w:hAnsi="Arial"/>
          <w:color w:val="444444"/>
          <w:sz w:val="22"/>
          <w:szCs w:val="22"/>
        </w:rPr>
        <w:t xml:space="preserve">Behavioural patterns — focus scores, context switching, deep work periods</w:t>
      </w:r>
    </w:p>
    <w:p>
      <w:pPr>
        <w:spacing w:after="0" w:before="100"/>
      </w:pPr>
      <w:r>
        <w:t xml:space="preserve"/>
      </w:r>
    </w:p>
    <w:p>
      <w:pPr>
        <w:spacing w:after="80" w:before="80"/>
      </w:pPr>
      <w:r>
        <w:rPr>
          <w:rFonts w:ascii="Arial" w:cs="Arial" w:eastAsia="Arial" w:hAnsi="Arial"/>
          <w:color w:val="444444"/>
          <w:sz w:val="22"/>
          <w:szCs w:val="22"/>
        </w:rPr>
        <w:t xml:space="preserve">All data is local-first. The individual owns everything at this layer. The tool improves as the Institution Brain feeds it relevant organisational context — but the individual always experiences intelligence through their own personal tool. Nobody works in the Institution Brain directly. Not even the CEO.</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3.2  Layer 2 — Institution Brain</w:t>
      </w:r>
    </w:p>
    <w:p>
      <w:pPr>
        <w:spacing w:after="80" w:before="80"/>
      </w:pPr>
      <w:r>
        <w:rPr>
          <w:rFonts w:ascii="Arial" w:cs="Arial" w:eastAsia="Arial" w:hAnsi="Arial"/>
          <w:color w:val="444444"/>
          <w:sz w:val="22"/>
          <w:szCs w:val="22"/>
        </w:rPr>
        <w:t xml:space="preserve">One per organisation. Always on. Never a working tool. It receives fingerprints from all connected WorkPulses, learns continuously, and pushes relevant intelligence back to individuals automatically. It can be viewed and queried by authorised roles through a backend admin console — but nobody lives in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KEY 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Institution Brain is infrastructure — like a cloud environment. Individuals are endpoints. The Brain serves intelligence to endpoints. Endpoints feed data back to the Brain. The loop is continuous and automated. No human manages the flow day-to-day.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3.3  The Full System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Moves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 of contributed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opts a task 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Relevant organisational context, prior work, expertise signals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detects relevance automatically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learning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Scheduled intelligence briefings (e.g. monthly org summary to CEO)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Configured once in admin console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(one-time setup)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Admin Console → Brain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Governance actions — retract, validate, configure rules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Human decision required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Designated Brain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External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Scoped, time-limited intelligence on strict privilege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Explicit cross-org agreement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 governance layer</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4. The Institution Brain — Design</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ANALOGY</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Think of how CloudOps provisions a cloud environment for an institution. The institution does not live in the cloud console. The cloud runs silently. Administrators interact with it through a backend interface. It serves resources to endpoints on demand or on schedule. The Institution Brain works identically — it is infrastructure, not a workplace.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4.1  What the Brain Holds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summaries of opted-in work — approach, concepts, time, tools, outcome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Expertise map</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Who knows what, how deeply, how recently — continuously updated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Derived from fingerprints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graph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ideas, projects, and people connect across the organisation over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built by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Contribution quality scores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How each fingerprint has performed over time based on downstream outcomes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feedback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areas that are active but under-documented — flagged automatically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ledger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record of who contributed what and when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4.2  The Learning Engine</w:t>
      </w:r>
    </w:p>
    <w:p>
      <w:pPr>
        <w:spacing w:after="80" w:before="80"/>
      </w:pPr>
      <w:r>
        <w:rPr>
          <w:rFonts w:ascii="Arial" w:cs="Arial" w:eastAsia="Arial" w:hAnsi="Arial"/>
          <w:color w:val="444444"/>
          <w:sz w:val="22"/>
          <w:szCs w:val="22"/>
        </w:rPr>
        <w:t xml:space="preserve">The Brain is not a filing system. It is a continuously learning model of how the organisation knows and works. The learning engine runs autonomously within governance rules set at configuration:</w:t>
      </w:r>
    </w:p>
    <w:p>
      <w:pPr>
        <w:spacing w:after="0" w:before="100"/>
      </w:pPr>
      <w:r>
        <w:t xml:space="preserve"/>
      </w:r>
    </w:p>
    <w:p>
      <w:pPr>
        <w:pStyle w:val="ListParagraph"/>
        <w:numPr>
          <w:ilvl w:val="0"/>
          <w:numId w:val="2"/>
        </w:numPr>
        <w:spacing w:after="60" w:before="60"/>
      </w:pPr>
      <w:r>
        <w:rPr>
          <w:rFonts w:ascii="Arial" w:cs="Arial" w:eastAsia="Arial" w:hAnsi="Arial"/>
          <w:color w:val="444444"/>
          <w:sz w:val="22"/>
          <w:szCs w:val="22"/>
        </w:rPr>
        <w:t xml:space="preserve">Receives new fingerprints and integrates them into the knowledge graph</w:t>
      </w:r>
    </w:p>
    <w:p>
      <w:pPr>
        <w:pStyle w:val="ListParagraph"/>
        <w:numPr>
          <w:ilvl w:val="0"/>
          <w:numId w:val="2"/>
        </w:numPr>
        <w:spacing w:after="60" w:before="60"/>
      </w:pPr>
      <w:r>
        <w:rPr>
          <w:rFonts w:ascii="Arial" w:cs="Arial" w:eastAsia="Arial" w:hAnsi="Arial"/>
          <w:color w:val="444444"/>
          <w:sz w:val="22"/>
          <w:szCs w:val="22"/>
        </w:rPr>
        <w:t xml:space="preserve">Updates the expertise map every time a contribution arrives</w:t>
      </w:r>
    </w:p>
    <w:p>
      <w:pPr>
        <w:pStyle w:val="ListParagraph"/>
        <w:numPr>
          <w:ilvl w:val="0"/>
          <w:numId w:val="2"/>
        </w:numPr>
        <w:spacing w:after="60" w:before="60"/>
      </w:pPr>
      <w:r>
        <w:rPr>
          <w:rFonts w:ascii="Arial" w:cs="Arial" w:eastAsia="Arial" w:hAnsi="Arial"/>
          <w:color w:val="444444"/>
          <w:sz w:val="22"/>
          <w:szCs w:val="22"/>
        </w:rPr>
        <w:t xml:space="preserve">Detects when a new contribution connects to prior work — building lineage chains automatically</w:t>
      </w:r>
    </w:p>
    <w:p>
      <w:pPr>
        <w:pStyle w:val="ListParagraph"/>
        <w:numPr>
          <w:ilvl w:val="0"/>
          <w:numId w:val="2"/>
        </w:numPr>
        <w:spacing w:after="60" w:before="60"/>
      </w:pPr>
      <w:r>
        <w:rPr>
          <w:rFonts w:ascii="Arial" w:cs="Arial" w:eastAsia="Arial" w:hAnsi="Arial"/>
          <w:color w:val="444444"/>
          <w:sz w:val="22"/>
          <w:szCs w:val="22"/>
        </w:rPr>
        <w:t xml:space="preserve">Monitors outcome signals to update contribution quality scores over time</w:t>
      </w:r>
    </w:p>
    <w:p>
      <w:pPr>
        <w:pStyle w:val="ListParagraph"/>
        <w:numPr>
          <w:ilvl w:val="0"/>
          <w:numId w:val="2"/>
        </w:numPr>
        <w:spacing w:after="60" w:before="60"/>
      </w:pPr>
      <w:r>
        <w:rPr>
          <w:rFonts w:ascii="Arial" w:cs="Arial" w:eastAsia="Arial" w:hAnsi="Arial"/>
          <w:color w:val="444444"/>
          <w:sz w:val="22"/>
          <w:szCs w:val="22"/>
        </w:rPr>
        <w:t xml:space="preserve">Identifies knowledge gaps — active project areas with thin documentation</w:t>
      </w:r>
    </w:p>
    <w:p>
      <w:pPr>
        <w:pStyle w:val="ListParagraph"/>
        <w:numPr>
          <w:ilvl w:val="0"/>
          <w:numId w:val="2"/>
        </w:numPr>
        <w:spacing w:after="60" w:before="60"/>
      </w:pPr>
      <w:r>
        <w:rPr>
          <w:rFonts w:ascii="Arial" w:cs="Arial" w:eastAsia="Arial" w:hAnsi="Arial"/>
          <w:color w:val="444444"/>
          <w:sz w:val="22"/>
          <w:szCs w:val="22"/>
        </w:rPr>
        <w:t xml:space="preserve">Learns push relevance — what context to send to which individual and when, getting more precise over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 DISTINCTION</w:t>
            </w:r>
          </w:p>
        </w:tc>
        <w:tc>
          <w:tcPr>
            <w:tcW w:type="dxa" w:w="91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i/>
                <w:iCs/>
                <w:color w:val="1A1A2E"/>
                <w:sz w:val="20"/>
                <w:szCs w:val="20"/>
              </w:rPr>
              <w:t xml:space="preserve">The learning engine runs itself. It does not require a human to decide what to push, when, or to whom. It learns these patterns from the data. The admin console exists for governance and exceptions — not for managing the flow. A manually managed push system is a surveillance system. An automated learning engine is a colleague.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4.3  The Push Engine</w:t>
      </w:r>
    </w:p>
    <w:p>
      <w:pPr>
        <w:spacing w:after="80" w:before="80"/>
      </w:pPr>
      <w:r>
        <w:rPr>
          <w:rFonts w:ascii="Arial" w:cs="Arial" w:eastAsia="Arial" w:hAnsi="Arial"/>
          <w:color w:val="444444"/>
          <w:sz w:val="22"/>
          <w:szCs w:val="22"/>
        </w:rPr>
        <w:t xml:space="preserve">The push engine is what makes individual WorkPulses feel intelligent with organisational context. It operates on triggers, not schedules: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starts work in a 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detects context signal, searches for relevant prior work, pushes fingerprint to WorkPulse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George opens a carbon methodology — Brain pushes Jane's 2023 adjacent 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contribution arrives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checks for knowledge graph connections, notifies relevant individuals of related prior work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permitting work arrives — Brain flags connection to 2021 land tenure fingerprint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detected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flags to admin console and optionally to relevant team 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Three projects touch climate finance but no contributions exist — gap flagged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briefing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Configured once — Brain compiles and pushes org intelligence summary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Monthly org summary delivered to CEO's WorkPulse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Quality score change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updates push weight of affected fingerprints across all connected WorkPulses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Contribution consistently cited in successful outcomes — weight increases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5. Quality Control — Preventing Bad Intelligence Propagating</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Brain is only as good as what it holds. Poor work, wrong analysis, and bad decisions must not propagate into individual WorkPulses as if they were good signal. The quality gate operates at multiple levels: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5.1  Contribution Status Lifecycle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Feeds Back to WorkPulses?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received by Brain, unvalidated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held pending validation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Confirmed accurate and useful by peer review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Yes — enters the active knowledge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Superseded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Replaced by better work — kept for lineage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flagged in graph, not pushed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Retracted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Withdrawn — harmful or incorrect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 — kept as cautionary record only</w:t>
            </w:r>
          </w:p>
        </w:tc>
      </w:tr>
    </w:tbl>
    <w:p>
      <w:pPr>
        <w:spacing w:after="0" w:before="160"/>
      </w:pPr>
      <w:r>
        <w:t xml:space="preserve"/>
      </w:r>
    </w:p>
    <w:p>
      <w:pPr>
        <w:spacing w:after="80" w:before="80"/>
      </w:pPr>
      <w:r>
        <w:rPr>
          <w:rFonts w:ascii="Arial" w:cs="Arial" w:eastAsia="Arial" w:hAnsi="Arial"/>
          <w:color w:val="444444"/>
          <w:sz w:val="22"/>
          <w:szCs w:val="22"/>
        </w:rPr>
        <w:t xml:space="preserve">Only Validated contributions feed back into individual WorkPulses. Submitted work sits in the Brain but does not propagate until cleared. This is the firewall between intake and intelligence.</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5.2  Peer Review Layer</w:t>
      </w:r>
    </w:p>
    <w:p>
      <w:pPr>
        <w:spacing w:after="80" w:before="80"/>
      </w:pPr>
      <w:r>
        <w:rPr>
          <w:rFonts w:ascii="Arial" w:cs="Arial" w:eastAsia="Arial" w:hAnsi="Arial"/>
          <w:color w:val="444444"/>
          <w:sz w:val="22"/>
          <w:szCs w:val="22"/>
        </w:rPr>
        <w:t xml:space="preserve">Before a fingerprint is marked Validated, at least one other person in the relevant domain confirms it. This is not bureaucratic sign-off — it is a lightweight signal, like a merge approval in code review. The Brain learns peer review patterns over time and can flag high-confidence contributions for fast-track validation.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5.3  Outcome Feedback Loop</w:t>
      </w:r>
    </w:p>
    <w:p>
      <w:pPr>
        <w:spacing w:after="80" w:before="80"/>
      </w:pPr>
      <w:r>
        <w:rPr>
          <w:rFonts w:ascii="Arial" w:cs="Arial" w:eastAsia="Arial" w:hAnsi="Arial"/>
          <w:color w:val="444444"/>
          <w:sz w:val="22"/>
          <w:szCs w:val="22"/>
        </w:rPr>
        <w:t xml:space="preserve">Over time, if decisions made using a piece of work consistently produce poor outcomes, the Brain tracks it. The quality score of that contribution degrades automatically. It does not disappear — institutional memory of what not to do is valuable — but its weight in future recommendations drops until it no longer influences individual tools.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5.4  Retraction Without Deletion</w:t>
      </w:r>
    </w:p>
    <w:p>
      <w:pPr>
        <w:spacing w:after="80" w:before="80"/>
      </w:pPr>
      <w:r>
        <w:rPr>
          <w:rFonts w:ascii="Arial" w:cs="Arial" w:eastAsia="Arial" w:hAnsi="Arial"/>
          <w:color w:val="444444"/>
          <w:sz w:val="22"/>
          <w:szCs w:val="22"/>
        </w:rPr>
        <w:t xml:space="preserve">Bad work is never deleted. Deletion destroys institutional memory of failure. Retracted contributions are permanently flagged and kept as cautionary records — visible in the Brain's audit trail, excluded from all push activity, and marked clearly if ever encountered in a lineage chain.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5.5  Quality Signals Over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4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Downstream usage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many people built on this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linkage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Did decisions using this work succeed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Longevity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Still referenced across administrations or cohorts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Peer validation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experts confirmed it useful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Completeness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Captured full thinking, not just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investment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Depth of engagement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Low</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6. The Admin Console — Governance Not Management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admin console does not manage the flow of intelligence. The Brain manages its own flow. The admin console exists for governance, exceptions, configuration, and audit. Setting it up is largely a one-time activity. Day-to-day, the Brain runs itself.</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6.1  Console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Onboarding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Connect new WorkPulse instances, set contribution rules per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One-time per person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push config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 recurring intelligence briefings (e.g. monthly CEO summary)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One-time setup, adjust 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Cross-org connections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Establish scoped, time-limited links to external Brains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decision — infrequent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Validation review</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Review flagged contributions, approve or retract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Retraction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Remove harmful contributions from active propagation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handling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Audit trail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View what was pushed, when, to whom, and why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Review knowledge gaps flagged by the learning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Periodic — monthly or quarterly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override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Manually adjust quality scores where outcome signals are insufficient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Rare — exception only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6.2  What the Console Never Does</w:t>
      </w:r>
    </w:p>
    <w:p>
      <w:pPr>
        <w:pStyle w:val="ListParagraph"/>
        <w:numPr>
          <w:ilvl w:val="0"/>
          <w:numId w:val="2"/>
        </w:numPr>
        <w:spacing w:after="60" w:before="60"/>
      </w:pPr>
      <w:r>
        <w:rPr>
          <w:rFonts w:ascii="Arial" w:cs="Arial" w:eastAsia="Arial" w:hAnsi="Arial"/>
          <w:color w:val="444444"/>
          <w:sz w:val="22"/>
          <w:szCs w:val="22"/>
        </w:rPr>
        <w:t xml:space="preserve">Decide what context to push to which individual on a daily basis — the Brain does this</w:t>
      </w:r>
    </w:p>
    <w:p>
      <w:pPr>
        <w:pStyle w:val="ListParagraph"/>
        <w:numPr>
          <w:ilvl w:val="0"/>
          <w:numId w:val="2"/>
        </w:numPr>
        <w:spacing w:after="60" w:before="60"/>
      </w:pPr>
      <w:r>
        <w:rPr>
          <w:rFonts w:ascii="Arial" w:cs="Arial" w:eastAsia="Arial" w:hAnsi="Arial"/>
          <w:color w:val="444444"/>
          <w:sz w:val="22"/>
          <w:szCs w:val="22"/>
        </w:rPr>
        <w:t xml:space="preserve">Provide a bypass key or administrative override to access individual WorkPulse data</w:t>
      </w:r>
    </w:p>
    <w:p>
      <w:pPr>
        <w:pStyle w:val="ListParagraph"/>
        <w:numPr>
          <w:ilvl w:val="0"/>
          <w:numId w:val="2"/>
        </w:numPr>
        <w:spacing w:after="60" w:before="60"/>
      </w:pPr>
      <w:r>
        <w:rPr>
          <w:rFonts w:ascii="Arial" w:cs="Arial" w:eastAsia="Arial" w:hAnsi="Arial"/>
          <w:color w:val="444444"/>
          <w:sz w:val="22"/>
          <w:szCs w:val="22"/>
        </w:rPr>
        <w:t xml:space="preserve">Replace the Brain's autonomous learning with manual curation</w:t>
      </w:r>
    </w:p>
    <w:p>
      <w:pPr>
        <w:pStyle w:val="ListParagraph"/>
        <w:numPr>
          <w:ilvl w:val="0"/>
          <w:numId w:val="2"/>
        </w:numPr>
        <w:spacing w:after="60" w:before="60"/>
      </w:pPr>
      <w:r>
        <w:rPr>
          <w:rFonts w:ascii="Arial" w:cs="Arial" w:eastAsia="Arial" w:hAnsi="Arial"/>
          <w:color w:val="444444"/>
          <w:sz w:val="22"/>
          <w:szCs w:val="22"/>
        </w:rPr>
        <w:t xml:space="preserve">Give any administrator the ability to read individual WorkPulse raw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HARD RULE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The admin console cannot access individual WorkPulse data. It governs the Brain. The Brain holds fingerprints — not raw files, not personal activity, not AI conversation transcripts. The separation between individual data and institutional intelligence is architectural, not just policy.</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7. The Knowledge Fingerprint</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fingerprint is what flows from individual WorkPulse to Institution Brain. It is not the file. It is not the raw data. It is a structured semantic record generated locally when a user opts a task in for contribution: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Plain-language description of what was produced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Key concepts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terms, topics, and themes extracted from the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Thinking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approach taken — systems mapping, risk-first, iterative, etc.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and tools invested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Hours, sessions, applications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Outcome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Was this adopted, referenced, built upon — updated over time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hash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link to the author — permanent and unforgeable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Validation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 Validated, Superseded, or Retracted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score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Evolving score based on downstream usage and outcome signals</w:t>
            </w:r>
          </w:p>
        </w:tc>
      </w:tr>
    </w:tbl>
    <w:p>
      <w:pPr>
        <w:spacing w:after="0" w:before="160"/>
      </w:pPr>
      <w:r>
        <w:t xml:space="preserve"/>
      </w:r>
    </w:p>
    <w:p>
      <w:pPr>
        <w:spacing w:after="80" w:before="80"/>
      </w:pPr>
      <w:r>
        <w:rPr>
          <w:rFonts w:ascii="Arial" w:cs="Arial" w:eastAsia="Arial" w:hAnsi="Arial"/>
          <w:color w:val="444444"/>
          <w:sz w:val="22"/>
          <w:szCs w:val="22"/>
        </w:rPr>
        <w:t xml:space="preserve">The original file never leaves the machine. If a successor needs the source document, they contact the author directly — preserving both privacy and attribution leverage.</w:t>
      </w:r>
    </w:p>
    <w:p>
      <w:pPr>
        <w:spacing w:after="0" w:before="200"/>
      </w:pPr>
      <w:r>
        <w:t xml:space="preserve"/>
      </w:r>
    </w:p>
    <w:p>
      <w:pPr>
        <w:pStyle w:val="Heading1"/>
        <w:spacing w:after="160" w:before="400"/>
      </w:pPr>
      <w:r>
        <w:rPr>
          <w:rFonts w:ascii="Arial" w:cs="Arial" w:eastAsia="Arial" w:hAnsi="Arial"/>
          <w:b/>
          <w:bCs/>
          <w:color w:val="0D47A1"/>
          <w:sz w:val="36"/>
          <w:szCs w:val="36"/>
        </w:rPr>
        <w:t xml:space="preserve">8. Attribution, Provenance &amp; Value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Institution Brain is not just a knowledge archive. It is a knowledge economy. Every contribution has a traceable author. Every downstream use generates a signal. Over time this enables objective grading of knowledge work and — in future versions — fair compensation for it.</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8.1  Attribution Model</w:t>
      </w:r>
    </w:p>
    <w:p>
      <w:pPr>
        <w:pStyle w:val="ListParagraph"/>
        <w:numPr>
          <w:ilvl w:val="0"/>
          <w:numId w:val="2"/>
        </w:numPr>
        <w:spacing w:after="60" w:before="60"/>
      </w:pPr>
      <w:r>
        <w:rPr>
          <w:rFonts w:ascii="Arial" w:cs="Arial" w:eastAsia="Arial" w:hAnsi="Arial"/>
          <w:color w:val="444444"/>
          <w:sz w:val="22"/>
          <w:szCs w:val="22"/>
        </w:rPr>
        <w:t xml:space="preserve">Every fingerprint is cryptographically signed to its creator at the point of contribution.</w:t>
      </w:r>
    </w:p>
    <w:p>
      <w:pPr>
        <w:pStyle w:val="ListParagraph"/>
        <w:numPr>
          <w:ilvl w:val="0"/>
          <w:numId w:val="2"/>
        </w:numPr>
        <w:spacing w:after="60" w:before="60"/>
      </w:pPr>
      <w:r>
        <w:rPr>
          <w:rFonts w:ascii="Arial" w:cs="Arial" w:eastAsia="Arial" w:hAnsi="Arial"/>
          <w:color w:val="444444"/>
          <w:sz w:val="22"/>
          <w:szCs w:val="22"/>
        </w:rPr>
        <w:t xml:space="preserve">Lineage chains track when one piece of work builds on another — automatically, not manually declared.</w:t>
      </w:r>
    </w:p>
    <w:p>
      <w:pPr>
        <w:pStyle w:val="ListParagraph"/>
        <w:numPr>
          <w:ilvl w:val="0"/>
          <w:numId w:val="2"/>
        </w:numPr>
        <w:spacing w:after="60" w:before="60"/>
      </w:pPr>
      <w:r>
        <w:rPr>
          <w:rFonts w:ascii="Arial" w:cs="Arial" w:eastAsia="Arial" w:hAnsi="Arial"/>
          <w:color w:val="444444"/>
          <w:sz w:val="22"/>
          <w:szCs w:val="22"/>
        </w:rPr>
        <w:t xml:space="preserve">Authors retain the right to retract contributions, subject to institutional terms agreed at onboarding.</w:t>
      </w:r>
    </w:p>
    <w:p>
      <w:pPr>
        <w:pStyle w:val="ListParagraph"/>
        <w:numPr>
          <w:ilvl w:val="0"/>
          <w:numId w:val="2"/>
        </w:numPr>
        <w:spacing w:after="60" w:before="60"/>
      </w:pPr>
      <w:r>
        <w:rPr>
          <w:rFonts w:ascii="Arial" w:cs="Arial" w:eastAsia="Arial" w:hAnsi="Arial"/>
          <w:color w:val="444444"/>
          <w:sz w:val="22"/>
          <w:szCs w:val="22"/>
        </w:rPr>
        <w:t xml:space="preserve">The attribution ledger is permanent — even retracted contributions retain their authorship record.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8.2  Payment Architecture — Future</w:t>
      </w:r>
    </w:p>
    <w:p>
      <w:pPr>
        <w:spacing w:after="80" w:before="80"/>
      </w:pPr>
      <w:r>
        <w:rPr>
          <w:rFonts w:ascii="Arial" w:cs="Arial" w:eastAsia="Arial" w:hAnsi="Arial"/>
          <w:color w:val="444444"/>
          <w:sz w:val="22"/>
          <w:szCs w:val="22"/>
        </w:rPr>
        <w:t xml:space="preserve">When institutional users query or build upon a contribution, a micro-attribution event is logged. Accumulated events trigger payment to the original contributor according to terms agreed at contribution. This creates an incentive for individuals to contribute high-quality, well-documented work. This is a future build — the attribution infrastructure being laid now is what makes it possible.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9. Consent &amp; Privacy Architecture</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individual is always the source of trust. The institution is always the beneficiary — never the controller — of individual data. No bypass key exists. No administrative override exists. The separation between personal data and institutional intelligence is enforced at the architectural level.</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9.1  Contribution Modes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Flows</w:t>
            </w:r>
          </w:p>
        </w:tc>
        <w:tc>
          <w:tcPr>
            <w:tcW w:type="dxa" w:w="3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Institutional deliverables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Collaborative projects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Sensitive personal matters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bl>
    <w:p>
      <w:pPr>
        <w:spacing w:after="0" w:before="160"/>
      </w:pPr>
      <w:r>
        <w:t xml:space="preserve"/>
      </w:r>
    </w:p>
    <w:p>
      <w:pPr>
        <w:spacing w:after="80" w:before="80"/>
      </w:pPr>
      <w:r>
        <w:rPr>
          <w:rFonts w:ascii="Arial" w:cs="Arial" w:eastAsia="Arial" w:hAnsi="Arial"/>
          <w:color w:val="444444"/>
          <w:sz w:val="22"/>
          <w:szCs w:val="22"/>
        </w:rPr>
        <w:t xml:space="preserve">Note: The default contribution behaviour for institutional work (opt-out rather than opt-in) is a design position that must be agreed in the institutional social contract at onboarding. Pure opt-in risks empty Brain syndrome — if everyone opts out, institutional memory is not captured. The social contract must resolve this tension through incentive design, not just policy.</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9.2  What the Institution Never Gets</w:t>
      </w:r>
    </w:p>
    <w:p>
      <w:pPr>
        <w:pStyle w:val="ListParagraph"/>
        <w:numPr>
          <w:ilvl w:val="0"/>
          <w:numId w:val="2"/>
        </w:numPr>
        <w:spacing w:after="60" w:before="60"/>
      </w:pPr>
      <w:r>
        <w:rPr>
          <w:rFonts w:ascii="Arial" w:cs="Arial" w:eastAsia="Arial" w:hAnsi="Arial"/>
          <w:color w:val="444444"/>
          <w:sz w:val="22"/>
          <w:szCs w:val="22"/>
        </w:rPr>
        <w:t xml:space="preserve">Raw files, documents, or source materials — fingerprints only</w:t>
      </w:r>
    </w:p>
    <w:p>
      <w:pPr>
        <w:pStyle w:val="ListParagraph"/>
        <w:numPr>
          <w:ilvl w:val="0"/>
          <w:numId w:val="2"/>
        </w:numPr>
        <w:spacing w:after="60" w:before="60"/>
      </w:pPr>
      <w:r>
        <w:rPr>
          <w:rFonts w:ascii="Arial" w:cs="Arial" w:eastAsia="Arial" w:hAnsi="Arial"/>
          <w:color w:val="444444"/>
          <w:sz w:val="22"/>
          <w:szCs w:val="22"/>
        </w:rPr>
        <w:t xml:space="preserve">Personal browsing or activity unrelated to work</w:t>
      </w:r>
    </w:p>
    <w:p>
      <w:pPr>
        <w:pStyle w:val="ListParagraph"/>
        <w:numPr>
          <w:ilvl w:val="0"/>
          <w:numId w:val="2"/>
        </w:numPr>
        <w:spacing w:after="60" w:before="60"/>
      </w:pPr>
      <w:r>
        <w:rPr>
          <w:rFonts w:ascii="Arial" w:cs="Arial" w:eastAsia="Arial" w:hAnsi="Arial"/>
          <w:color w:val="444444"/>
          <w:sz w:val="22"/>
          <w:szCs w:val="22"/>
        </w:rPr>
        <w:t xml:space="preserve">AI session transcripts — only metadata: topic, duration, output summary</w:t>
      </w:r>
    </w:p>
    <w:p>
      <w:pPr>
        <w:pStyle w:val="ListParagraph"/>
        <w:numPr>
          <w:ilvl w:val="0"/>
          <w:numId w:val="2"/>
        </w:numPr>
        <w:spacing w:after="60" w:before="60"/>
      </w:pPr>
      <w:r>
        <w:rPr>
          <w:rFonts w:ascii="Arial" w:cs="Arial" w:eastAsia="Arial" w:hAnsi="Arial"/>
          <w:color w:val="444444"/>
          <w:sz w:val="22"/>
          <w:szCs w:val="22"/>
        </w:rPr>
        <w:t xml:space="preserve">Access via bypass key or administrative override — this is architecturally impossible, not just against policy</w:t>
      </w:r>
    </w:p>
    <w:p>
      <w:pPr>
        <w:pStyle w:val="ListParagraph"/>
        <w:numPr>
          <w:ilvl w:val="0"/>
          <w:numId w:val="2"/>
        </w:numPr>
        <w:spacing w:after="60" w:before="60"/>
      </w:pPr>
      <w:r>
        <w:rPr>
          <w:rFonts w:ascii="Arial" w:cs="Arial" w:eastAsia="Arial" w:hAnsi="Arial"/>
          <w:color w:val="444444"/>
          <w:sz w:val="22"/>
          <w:szCs w:val="22"/>
        </w:rPr>
        <w:t xml:space="preserve">Real-time surveillance of individual activity — the Brain receives contributions, not a live feed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9.3  Data Sovereignty</w:t>
      </w:r>
    </w:p>
    <w:p>
      <w:pPr>
        <w:spacing w:after="80" w:before="80"/>
      </w:pPr>
      <w:r>
        <w:rPr>
          <w:rFonts w:ascii="Arial" w:cs="Arial" w:eastAsia="Arial" w:hAnsi="Arial"/>
          <w:color w:val="444444"/>
          <w:sz w:val="22"/>
          <w:szCs w:val="22"/>
        </w:rPr>
        <w:t xml:space="preserve">For government and public sector deployments, the Institution Brain must be deployable on-premises or within national cloud infrastructure. No sensitive institutional intelligence is held on third-party servers without explicit data residency agreements. This is a hard requirement for the target market — not an optional feature.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10. The Learning Flywheel</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is designed to compound. No behaviour change is required. The intelligence emerges from work that was happening anyway.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Continuous Loop:</w:t>
            </w:r>
          </w:p>
          <w:p>
            <w:pPr>
              <w:spacing w:after="60" w:before="60"/>
            </w:pPr>
            <w:r>
              <w:rPr>
                <w:rFonts w:ascii="Arial" w:cs="Arial" w:eastAsia="Arial" w:hAnsi="Arial"/>
                <w:sz w:val="8"/>
                <w:szCs w:val="8"/>
              </w:rPr>
              <w:t xml:space="preserve"/>
            </w:r>
          </w:p>
          <w:p>
            <w:pPr>
              <w:spacing w:after="60" w:before="60"/>
            </w:pPr>
            <w:r>
              <w:rPr>
                <w:rFonts w:ascii="Arial" w:cs="Arial" w:eastAsia="Arial" w:hAnsi="Arial"/>
                <w:color w:val="CCDDFF"/>
                <w:sz w:val="20"/>
                <w:szCs w:val="20"/>
              </w:rPr>
              <w:t xml:space="preserve">More contributions  →  Brain learns more</w:t>
            </w:r>
          </w:p>
          <w:p>
            <w:pPr>
              <w:spacing w:after="60" w:before="60"/>
            </w:pPr>
            <w:r>
              <w:rPr>
                <w:rFonts w:ascii="Arial" w:cs="Arial" w:eastAsia="Arial" w:hAnsi="Arial"/>
                <w:color w:val="CCDDFF"/>
                <w:sz w:val="20"/>
                <w:szCs w:val="20"/>
              </w:rPr>
              <w:t xml:space="preserve">Brain learns more  →  Better context pushed to individuals</w:t>
            </w:r>
          </w:p>
          <w:p>
            <w:pPr>
              <w:spacing w:after="60" w:before="60"/>
            </w:pPr>
            <w:r>
              <w:rPr>
                <w:rFonts w:ascii="Arial" w:cs="Arial" w:eastAsia="Arial" w:hAnsi="Arial"/>
                <w:color w:val="CCDDFF"/>
                <w:sz w:val="20"/>
                <w:szCs w:val="20"/>
              </w:rPr>
              <w:t xml:space="preserve">Better context  →  Individuals do higher quality work</w:t>
            </w:r>
          </w:p>
          <w:p>
            <w:pPr>
              <w:spacing w:after="60" w:before="60"/>
            </w:pPr>
            <w:r>
              <w:rPr>
                <w:rFonts w:ascii="Arial" w:cs="Arial" w:eastAsia="Arial" w:hAnsi="Arial"/>
                <w:color w:val="CCDDFF"/>
                <w:sz w:val="20"/>
                <w:szCs w:val="20"/>
              </w:rPr>
              <w:t xml:space="preserve">Higher quality work  →  Higher quality contributions</w:t>
            </w:r>
          </w:p>
          <w:p>
            <w:pPr>
              <w:spacing w:after="60" w:before="60"/>
            </w:pPr>
            <w:r>
              <w:rPr>
                <w:rFonts w:ascii="Arial" w:cs="Arial" w:eastAsia="Arial" w:hAnsi="Arial"/>
                <w:color w:val="CCDDFF"/>
                <w:sz w:val="20"/>
                <w:szCs w:val="20"/>
              </w:rPr>
              <w:t xml:space="preserve">Higher quality contributions  →  Brain gets smarter</w:t>
            </w:r>
          </w:p>
          <w:p>
            <w:pPr>
              <w:spacing w:after="60" w:before="60"/>
            </w:pPr>
            <w:r>
              <w:rPr>
                <w:rFonts w:ascii="Arial" w:cs="Arial" w:eastAsia="Arial" w:hAnsi="Arial"/>
                <w:color w:val="CCDDFF"/>
                <w:sz w:val="20"/>
                <w:szCs w:val="20"/>
              </w:rPr>
              <w:t xml:space="preserve">Smarter Brain  →  Even better context pushed</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FFFFFF"/>
                <w:sz w:val="22"/>
                <w:szCs w:val="22"/>
              </w:rPr>
              <w:t xml:space="preserve">Organisation gets measurably smarter over time as a direct function of people simply doing their work.</w:t>
            </w:r>
          </w:p>
        </w:tc>
      </w:tr>
    </w:tbl>
    <w:p>
      <w:pPr>
        <w:spacing w:after="0" w:before="200"/>
      </w:pPr>
      <w:r>
        <w:t xml:space="preserve"/>
      </w:r>
    </w:p>
    <w:p>
      <w:pPr>
        <w:pStyle w:val="Heading1"/>
        <w:spacing w:after="160" w:before="400"/>
      </w:pPr>
      <w:r>
        <w:rPr>
          <w:rFonts w:ascii="Arial" w:cs="Arial" w:eastAsia="Arial" w:hAnsi="Arial"/>
          <w:b/>
          <w:bCs/>
          <w:color w:val="0D47A1"/>
          <w:sz w:val="36"/>
          <w:szCs w:val="36"/>
        </w:rPr>
        <w:t xml:space="preserve">11. Target Market &amp; Use Cases</w:t>
      </w:r>
    </w:p>
    <w:p>
      <w:pPr>
        <w:pBdr>
          <w:bottom w:val="single" w:color="E8F0FE" w:sz="4" w:space="1"/>
        </w:pBdr>
        <w:spacing w:after="160" w:before="1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The Pain</w:t>
            </w:r>
          </w:p>
        </w:tc>
        <w:tc>
          <w:tcPr>
            <w:tcW w:type="dxa" w:w="4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the System Solves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Government Ministries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Policy knowledge lost across administrations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institutional memory with full attribution across political cycles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Development Organisations &amp; NGOs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 consultant turnover, repeated baseline work</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Consultant knowledge stays and remains attributed after contract 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Universities &amp; Research Institutions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Research continuity lost across cohorts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Dissertation and project knowledge preserved, queryable, and built upon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Professional Services Firms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Client context siloed in departing staff</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Project intelligence retained, onboarding time cut, lineage chains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Corporate Enterprises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silos, slow onboarding, expertise hidden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Expertise mapping emerges automatically, new staff get immediate context</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11.1  Flagship Use Case — Government</w:t>
      </w:r>
    </w:p>
    <w:p>
      <w:pPr>
        <w:spacing w:after="80" w:before="80"/>
      </w:pPr>
      <w:r>
        <w:rPr>
          <w:rFonts w:ascii="Arial" w:cs="Arial" w:eastAsia="Arial" w:hAnsi="Arial"/>
          <w:color w:val="444444"/>
          <w:sz w:val="22"/>
          <w:szCs w:val="22"/>
        </w:rPr>
        <w:t xml:space="preserve">A Ministry of Energy installs WorkPulse across its technical team. Each officer contributes fingerprints of key deliverables — policy briefs, regulatory frameworks, stakeholder maps. When a new administration takes over, the incoming technical team queries the Institution Brain. They find the 2021 process map for artisanal mining permitting — authored by an officer who has since left — with full context on the approach taken, tradeoffs considered, and outcome delivered. They build on it rather than starting from scratch. The original officer receives attribution and a future micro-payment when her work is accessed. Three administrations of institutional memory — preserved.</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12. Build Roadmap</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follows a deliberate, foundation-first build philosophy. Each phase reaches stability before the next begins. The skyscraper follows the foundation.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Core Deliverable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Tracker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Window focus, file activity, project tagging, AI session logging, focus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 Progress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Intelligent Briefings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Daily/weekly summaries plus pattern-detected coaching observations — improvement, not just monitoring. See §12.1.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fingerprinting of opted-in tasks, local storage, attribution 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 Brain — Core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Single Brain instance per org, intake pipeline, knowledge graph, admin console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Learning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Automatic expertise mapping, push engine, gap detection, quality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signing, lineage chains, full provenance ledger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Payment 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Micro-attribution events, contributor compensation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Cross-Institutional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Scoped privilege connections between Brain instances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Long-term</w:t>
            </w:r>
          </w:p>
        </w:tc>
      </w:tr>
    </w:tbl>
    <w:p>
      <w:pPr>
        <w:spacing w:after="0" w:before="200"/>
      </w:pPr>
      <w:r>
        <w:t xml:space="preserve"/>
      </w:r>
    </w:p>
    <w:p>
      <w:pPr>
        <w:pStyle w:val="Heading1"/>
        <w:spacing w:after="160" w:before="400"/>
      </w:pPr>
      <w:r>
        <w:rPr>
          <w:rFonts w:ascii="Arial" w:cs="Arial" w:eastAsia="Arial" w:hAnsi="Arial"/>
          <w:b/>
          <w:bCs/>
          <w:color w:val="0D47A1"/>
          <w:sz w:val="32"/>
          <w:szCs w:val="32"/>
        </w:rPr>
        <w:t xml:space="preserve">12.1  WorkPulse as Coach — v2 unpacking note (added v1.2)</w:t>
      </w:r>
    </w:p>
    <w:p>
      <w:pPr>
        <w:spacing w:after="100" w:before="100"/>
      </w:pPr>
      <w:r>
        <w:rPr>
          <w:rFonts w:ascii="Arial" w:cs="Arial" w:eastAsia="Arial" w:hAnsi="Arial"/>
          <w:i/>
          <w:iCs/>
          <w:color w:val="555555"/>
          <w:sz w:val="22"/>
          <w:szCs w:val="22"/>
        </w:rPr>
        <w:t xml:space="preserve">Captured during v1 build (May 2026). Detailed design to be expanded when v2 work begins.</w:t>
      </w:r>
    </w:p>
    <w:p>
      <w:pPr>
        <w:spacing w:after="120" w:before="120"/>
      </w:pPr>
      <w:r>
        <w:rPr>
          <w:rFonts w:ascii="Arial" w:cs="Arial" w:eastAsia="Arial" w:hAnsi="Arial"/>
          <w:sz w:val="22"/>
          <w:szCs w:val="22"/>
        </w:rPr>
        <w:t xml:space="preserve">A passive tracker is not enough. The Personal WorkPulse must coach — surface specific, observed-from-your-own-data improvements that make the individual measurably better at their craft. This is what distinguishes WorkPulse from a screen-time logger and is the user-felt manifestation of the Learning Flywheel (§10).</w:t>
      </w:r>
    </w:p>
    <w:p>
      <w:pPr>
        <w:spacing w:after="120" w:before="160"/>
      </w:pPr>
      <w:r>
        <w:rPr>
          <w:rFonts w:ascii="Arial" w:cs="Arial" w:eastAsia="Arial" w:hAnsi="Arial"/>
          <w:b/>
          <w:bCs/>
          <w:color w:val="0D47A1"/>
          <w:sz w:val="24"/>
          <w:szCs w:val="24"/>
        </w:rPr>
        <w:t xml:space="preserve">Two layers</w:t>
      </w:r>
    </w:p>
    <w:p>
      <w:pPr>
        <w:spacing w:after="120" w:before="60"/>
      </w:pPr>
      <w:r>
        <w:rPr>
          <w:rFonts w:ascii="Arial" w:cs="Arial" w:eastAsia="Arial" w:hAnsi="Arial"/>
          <w:sz w:val="22"/>
          <w:szCs w:val="22"/>
        </w:rPr>
        <w:t xml:space="preserve">Layer 1 — Deterministic detectors. A library of small, rule-based functions that read the individual’s own logs and emit structured insights. No API key required. Always on. Examples: context-switch alerts, stream droughts, late-night drift, best-window-of-day, untagged-time growth, stream/app mismatch, streak signals.</w:t>
      </w:r>
    </w:p>
    <w:p>
      <w:pPr>
        <w:spacing w:after="120" w:before="60"/>
      </w:pPr>
      <w:r>
        <w:rPr>
          <w:rFonts w:ascii="Arial" w:cs="Arial" w:eastAsia="Arial" w:hAnsi="Arial"/>
          <w:sz w:val="22"/>
          <w:szCs w:val="22"/>
        </w:rPr>
        <w:t xml:space="preserve">Layer 2 — LLM-coached commentary. The deterministic snapshot is summarised by the LLM into 1–3 sentences of plain-language coaching. Activates only when an API key is configured; degrades gracefully without one. Cached aggressively (max one call per hour per surface).</w:t>
      </w:r>
    </w:p>
    <w:p>
      <w:pPr>
        <w:spacing w:after="120" w:before="160"/>
      </w:pPr>
      <w:r>
        <w:rPr>
          <w:rFonts w:ascii="Arial" w:cs="Arial" w:eastAsia="Arial" w:hAnsi="Arial"/>
          <w:b/>
          <w:bCs/>
          <w:color w:val="0D47A1"/>
          <w:sz w:val="24"/>
          <w:szCs w:val="24"/>
        </w:rPr>
        <w:t xml:space="preserve">Three surfaces, increasing intrusiveness</w:t>
      </w:r>
    </w:p>
    <w:p>
      <w:pPr>
        <w:spacing w:after="60" w:before="60"/>
      </w:pPr>
      <w:r>
        <w:rPr>
          <w:rFonts w:ascii="Arial" w:cs="Arial" w:eastAsia="Arial" w:hAnsi="Arial"/>
          <w:sz w:val="22"/>
          <w:szCs w:val="22"/>
        </w:rPr>
        <w:t xml:space="preserve">1. Dashboard Coach card — always visible, refreshes with the dashboard. Top 2–4 insights for the day plus optional LLM commentary.</w:t>
      </w:r>
    </w:p>
    <w:p>
      <w:pPr>
        <w:spacing w:after="60" w:before="60"/>
      </w:pPr>
      <w:r>
        <w:rPr>
          <w:rFonts w:ascii="Arial" w:cs="Arial" w:eastAsia="Arial" w:hAnsi="Arial"/>
          <w:sz w:val="22"/>
          <w:szCs w:val="22"/>
        </w:rPr>
        <w:t xml:space="preserve">2. Daily / weekly report — emailed if SMTP is configured; written to disk regardless. Full insight digest plus narrative weekly trend summary.</w:t>
      </w:r>
    </w:p>
    <w:p>
      <w:pPr>
        <w:spacing w:after="120" w:before="60"/>
      </w:pPr>
      <w:r>
        <w:rPr>
          <w:rFonts w:ascii="Arial" w:cs="Arial" w:eastAsia="Arial" w:hAnsi="Arial"/>
          <w:sz w:val="22"/>
          <w:szCs w:val="22"/>
        </w:rPr>
        <w:t xml:space="preserve">3. Tray popup — only for high-severity, time-sensitive nudges: context-switch storms, broken-streak warnings, late-night drift in progress. Dismissible. Snoozable. Off by default; opt in.</w:t>
      </w:r>
    </w:p>
    <w:p>
      <w:pPr>
        <w:spacing w:after="120" w:before="160"/>
      </w:pPr>
      <w:r>
        <w:rPr>
          <w:rFonts w:ascii="Arial" w:cs="Arial" w:eastAsia="Arial" w:hAnsi="Arial"/>
          <w:b/>
          <w:bCs/>
          <w:color w:val="0D47A1"/>
          <w:sz w:val="24"/>
          <w:szCs w:val="24"/>
        </w:rPr>
        <w:t xml:space="preserve">Architectural alignment</w:t>
      </w:r>
    </w:p>
    <w:p>
      <w:pPr>
        <w:spacing w:after="120" w:before="60"/>
      </w:pPr>
      <w:r>
        <w:rPr>
          <w:rFonts w:ascii="Arial" w:cs="Arial" w:eastAsia="Arial" w:hAnsi="Arial"/>
          <w:sz w:val="22"/>
          <w:szCs w:val="22"/>
        </w:rPr>
        <w:t xml:space="preserve">Coaching insights are strictly local. They are not fingerprints (§7) and never flow to an Institution Brain. They are personal — a behavioural-pattern feedback loop for the individual only. Per §9.2, behavioural observations remain at the endpoint. This separation is enforced architecturally, not just by policy.</w:t>
      </w:r>
    </w:p>
    <w:p>
      <w:pPr>
        <w:spacing w:after="120" w:before="60"/>
      </w:pPr>
      <w:r>
        <w:rPr>
          <w:rFonts w:ascii="Arial" w:cs="Arial" w:eastAsia="Arial" w:hAnsi="Arial"/>
          <w:sz w:val="22"/>
          <w:szCs w:val="22"/>
        </w:rPr>
        <w:t xml:space="preserve">Build sequence note: the deterministic detector layer ships first (works for every user, no API dependency). LLM commentary is added on top. Tray popups come last, only after the dashboard surface has been used long enough to know which insights deserve interruption.</w:t>
      </w:r>
    </w:p>
    <w:p>
      <w:pPr>
        <w:spacing w:after="0" w:before="200"/>
      </w:pPr>
      <w:r>
        <w:t xml:space="preserve"/>
      </w:r>
    </w:p>
    <w:p>
      <w:pPr>
        <w:pStyle w:val="Heading1"/>
        <w:spacing w:after="160" w:before="400"/>
      </w:pPr>
      <w:r>
        <w:rPr>
          <w:rFonts w:ascii="Arial" w:cs="Arial" w:eastAsia="Arial" w:hAnsi="Arial"/>
          <w:b/>
          <w:bCs/>
          <w:color w:val="0D47A1"/>
          <w:sz w:val="32"/>
          <w:szCs w:val="32"/>
        </w:rPr>
        <w:t xml:space="preserve">12.2  WorkPulse as Coach, sharpened — Jobs and AI-lift (added v1.3)</w:t>
      </w:r>
    </w:p>
    <w:p>
      <w:pPr>
        <w:spacing w:after="100" w:before="100"/>
      </w:pPr>
      <w:r>
        <w:rPr>
          <w:rFonts w:ascii="Arial" w:cs="Arial" w:eastAsia="Arial" w:hAnsi="Arial"/>
          <w:i/>
          <w:iCs/>
          <w:color w:val="555555"/>
          <w:sz w:val="22"/>
          <w:szCs w:val="22"/>
        </w:rPr>
        <w:t xml:space="preserve">Sharpening captured June 2026 during continued v1 work. Supersedes the detector-list framing in §12.1.</w:t>
      </w:r>
    </w:p>
    <w:p>
      <w:pPr>
        <w:spacing w:after="120" w:before="120"/>
      </w:pPr>
      <w:r>
        <w:rPr>
          <w:rFonts w:ascii="Arial" w:cs="Arial" w:eastAsia="Arial" w:hAnsi="Arial"/>
          <w:sz w:val="22"/>
          <w:szCs w:val="22"/>
        </w:rPr>
        <w:t xml:space="preserve">§12.1 framed coaching as behavioural detectors (context-switch alerts, late-night drift, etc.). This framing is wrong for WorkPulse. The user does not want behavioural correction — they want to see how they execute work, and where AI can lift specific pieces of it.</w:t>
      </w:r>
    </w:p>
    <w:p>
      <w:pPr>
        <w:spacing w:after="120" w:before="160"/>
      </w:pPr>
      <w:r>
        <w:rPr>
          <w:rFonts w:ascii="Arial" w:cs="Arial" w:eastAsia="Arial" w:hAnsi="Arial"/>
          <w:b/>
          <w:bCs/>
          <w:color w:val="0D47A1"/>
          <w:sz w:val="24"/>
          <w:szCs w:val="24"/>
        </w:rPr>
        <w:t xml:space="preserve">Unit of analysis: the Job</w:t>
      </w:r>
    </w:p>
    <w:p>
      <w:pPr>
        <w:spacing w:after="120" w:before="60"/>
      </w:pPr>
      <w:r>
        <w:rPr>
          <w:rFonts w:ascii="Arial" w:cs="Arial" w:eastAsia="Arial" w:hAnsi="Arial"/>
          <w:sz w:val="22"/>
          <w:szCs w:val="22"/>
        </w:rPr>
        <w:t xml:space="preserve">A Job is a coherent unit of work spanning multiple sessions, sometimes multiple days, that the user would describe as a single thing (“the NKCC Q3 report”, “Chapter 3 lit review”, “Verst Carbon Q3 reforecast”). Jobs live inside Streams but are more specific. The Job — not the Session and not the Stream — is the unit the coaching surface anchors on.</w:t>
      </w:r>
    </w:p>
    <w:p>
      <w:pPr>
        <w:spacing w:after="120" w:before="60"/>
      </w:pPr>
      <w:r>
        <w:rPr>
          <w:rFonts w:ascii="Arial" w:cs="Arial" w:eastAsia="Arial" w:hAnsi="Arial"/>
          <w:sz w:val="22"/>
          <w:szCs w:val="22"/>
        </w:rPr>
        <w:t xml:space="preserve">Job acquisition follows the same pattern as window tagging (Loop A + Loop B in v1): the user declares jobs manually in v1.1, the LLM infers them passively in v1.2 with user-correction, and after a few weeks of use jobs land without explicit declaration.</w:t>
      </w:r>
    </w:p>
    <w:p>
      <w:pPr>
        <w:spacing w:after="120" w:before="160"/>
      </w:pPr>
      <w:r>
        <w:rPr>
          <w:rFonts w:ascii="Arial" w:cs="Arial" w:eastAsia="Arial" w:hAnsi="Arial"/>
          <w:b/>
          <w:bCs/>
          <w:color w:val="0D47A1"/>
          <w:sz w:val="24"/>
          <w:szCs w:val="24"/>
        </w:rPr>
        <w:t xml:space="preserve">Value surface: AI-lift detection per Job</w:t>
      </w:r>
    </w:p>
    <w:p>
      <w:pPr>
        <w:spacing w:after="120" w:before="60"/>
      </w:pPr>
      <w:r>
        <w:rPr>
          <w:rFonts w:ascii="Arial" w:cs="Arial" w:eastAsia="Arial" w:hAnsi="Arial"/>
          <w:sz w:val="22"/>
          <w:szCs w:val="22"/>
        </w:rPr>
        <w:t xml:space="preserve">Within each Job, WorkPulse surfaces specific points where AI would accelerate the work the user is actually doing — grounded in the session data of that Job, not generic productivity advice. Initial detector set:</w:t>
      </w:r>
    </w:p>
    <w:p>
      <w:pPr>
        <w:spacing w:after="60" w:before="60"/>
      </w:pPr>
      <w:r>
        <w:rPr>
          <w:rFonts w:ascii="Arial" w:cs="Arial" w:eastAsia="Arial" w:hAnsi="Arial"/>
          <w:sz w:val="22"/>
          <w:szCs w:val="22"/>
        </w:rPr>
        <w:t xml:space="preserve">• Long Excel cell-edit sessions → one-shot Claude script for the transform.</w:t>
      </w:r>
    </w:p>
    <w:p>
      <w:pPr>
        <w:spacing w:after="60" w:before="60"/>
      </w:pPr>
      <w:r>
        <w:rPr>
          <w:rFonts w:ascii="Arial" w:cs="Arial" w:eastAsia="Arial" w:hAnsi="Arial"/>
          <w:sz w:val="22"/>
          <w:szCs w:val="22"/>
        </w:rPr>
        <w:t xml:space="preserve">• Many-tab Brave/Edge research on one topic → single research-summary prompt.</w:t>
      </w:r>
    </w:p>
    <w:p>
      <w:pPr>
        <w:spacing w:after="60" w:before="60"/>
      </w:pPr>
      <w:r>
        <w:rPr>
          <w:rFonts w:ascii="Arial" w:cs="Arial" w:eastAsia="Arial" w:hAnsi="Arial"/>
          <w:sz w:val="22"/>
          <w:szCs w:val="22"/>
        </w:rPr>
        <w:t xml:space="preserve">• Long Word sessions with low text-volume velocity → first-pass draft from Claude; user edits instead of writes.</w:t>
      </w:r>
    </w:p>
    <w:p>
      <w:pPr>
        <w:spacing w:after="60" w:before="60"/>
      </w:pPr>
      <w:r>
        <w:rPr>
          <w:rFonts w:ascii="Arial" w:cs="Arial" w:eastAsia="Arial" w:hAnsi="Arial"/>
          <w:sz w:val="22"/>
          <w:szCs w:val="22"/>
        </w:rPr>
        <w:t xml:space="preserve">• Multiple Gmail compose windows with similar subjects → templated draft prompt.</w:t>
      </w:r>
    </w:p>
    <w:p>
      <w:pPr>
        <w:spacing w:after="60" w:before="60"/>
      </w:pPr>
      <w:r>
        <w:rPr>
          <w:rFonts w:ascii="Arial" w:cs="Arial" w:eastAsia="Arial" w:hAnsi="Arial"/>
          <w:sz w:val="22"/>
          <w:szCs w:val="22"/>
        </w:rPr>
        <w:t xml:space="preserve">• Long Protected-View .docx/.pdf read → summarise + Q&amp;A via Claude.</w:t>
      </w:r>
    </w:p>
    <w:p>
      <w:pPr>
        <w:spacing w:after="120" w:before="60"/>
      </w:pPr>
      <w:r>
        <w:rPr>
          <w:rFonts w:ascii="Arial" w:cs="Arial" w:eastAsia="Arial" w:hAnsi="Arial"/>
          <w:sz w:val="22"/>
          <w:szCs w:val="22"/>
        </w:rPr>
        <w:t xml:space="preserve">• 90+ min PowerPoint shape-placement → Mermaid or Claude-generated SmartArt skips manual layout.</w:t>
      </w:r>
    </w:p>
    <w:p>
      <w:pPr>
        <w:spacing w:after="120" w:before="160"/>
      </w:pPr>
      <w:r>
        <w:rPr>
          <w:rFonts w:ascii="Arial" w:cs="Arial" w:eastAsia="Arial" w:hAnsi="Arial"/>
          <w:b/>
          <w:bCs/>
          <w:color w:val="0D47A1"/>
          <w:sz w:val="24"/>
          <w:szCs w:val="24"/>
        </w:rPr>
        <w:t xml:space="preserve">Coach card under this sharpening</w:t>
      </w:r>
    </w:p>
    <w:p>
      <w:pPr>
        <w:spacing w:after="120" w:before="60"/>
      </w:pPr>
      <w:r>
        <w:rPr>
          <w:rFonts w:ascii="Arial" w:cs="Arial" w:eastAsia="Arial" w:hAnsi="Arial"/>
          <w:sz w:val="22"/>
          <w:szCs w:val="22"/>
        </w:rPr>
        <w:t xml:space="preserve">The Coach card on the dashboard becomes a “Jobs in flight” view. Each card shows: the Job’s session rollup (apps, durations, day breakdown), the Job’s total time, and the AI-lift opportunities the detector found inside that Job. Paused Jobs surface with their last-touched time so they don’t fall off the radar.</w:t>
      </w:r>
    </w:p>
    <w:p>
      <w:pPr>
        <w:spacing w:after="120" w:before="160"/>
      </w:pPr>
      <w:r>
        <w:rPr>
          <w:rFonts w:ascii="Arial" w:cs="Arial" w:eastAsia="Arial" w:hAnsi="Arial"/>
          <w:b/>
          <w:bCs/>
          <w:color w:val="0D47A1"/>
          <w:sz w:val="24"/>
          <w:szCs w:val="24"/>
        </w:rPr>
        <w:t xml:space="preserve">Build slices</w:t>
      </w:r>
    </w:p>
    <w:p>
      <w:pPr>
        <w:spacing w:after="60" w:before="60"/>
      </w:pPr>
      <w:r>
        <w:rPr>
          <w:rFonts w:ascii="Arial" w:cs="Arial" w:eastAsia="Arial" w:hAnsi="Arial"/>
          <w:sz w:val="22"/>
          <w:szCs w:val="22"/>
        </w:rPr>
        <w:t xml:space="preserve">v1.1a — Job data model (jobs.py, JSONL storage), manual Start-Job / End-Job from the dashboard, per-session AI-lift detector with 4–6 deterministic heuristics, Coach card showing Jobs in flight with their lift opportunities.</w:t>
      </w:r>
    </w:p>
    <w:p>
      <w:pPr>
        <w:spacing w:after="60" w:before="60"/>
      </w:pPr>
      <w:r>
        <w:rPr>
          <w:rFonts w:ascii="Arial" w:cs="Arial" w:eastAsia="Arial" w:hAnsi="Arial"/>
          <w:sz w:val="22"/>
          <w:szCs w:val="22"/>
        </w:rPr>
        <w:t xml:space="preserve">v1.2 — Inferred Job names via LLM, auto-close on stream switch &gt;30 min, per-Job exportable report (markdown digest a user can hand to a client or supervisor).</w:t>
      </w:r>
    </w:p>
    <w:p>
      <w:pPr>
        <w:spacing w:after="120" w:before="60"/>
      </w:pPr>
      <w:r>
        <w:rPr>
          <w:rFonts w:ascii="Arial" w:cs="Arial" w:eastAsia="Arial" w:hAnsi="Arial"/>
          <w:sz w:val="22"/>
          <w:szCs w:val="22"/>
        </w:rPr>
        <w:t xml:space="preserve">v1.6 — macOS port (independent of the Coach work; benefits from it automatically since Jobs and AI-lift detectors are platform-agnostic).</w:t>
      </w:r>
    </w:p>
    <w:p>
      <w:pPr>
        <w:spacing w:after="120" w:before="160"/>
      </w:pPr>
      <w:r>
        <w:rPr>
          <w:rFonts w:ascii="Arial" w:cs="Arial" w:eastAsia="Arial" w:hAnsi="Arial"/>
          <w:b/>
          <w:bCs/>
          <w:color w:val="0D47A1"/>
          <w:sz w:val="24"/>
          <w:szCs w:val="24"/>
        </w:rPr>
        <w:t xml:space="preserve">Detectors retired under this sharpening</w:t>
      </w:r>
    </w:p>
    <w:p>
      <w:pPr>
        <w:spacing w:after="120" w:before="60"/>
      </w:pPr>
      <w:r>
        <w:rPr>
          <w:rFonts w:ascii="Arial" w:cs="Arial" w:eastAsia="Arial" w:hAnsi="Arial"/>
          <w:sz w:val="22"/>
          <w:szCs w:val="22"/>
        </w:rPr>
        <w:t xml:space="preserve">The detectors named in §12.1 that are behavioural-correction in disguise are NOT to be built: context-switch alerts (switching is the workflow, not the failure), late-night drift (late work is just work), best-window-of-day (implies the rest are worse), streak signals (guilt mechanic). Descriptive views such as per-stream durations and app constellations remain useful and are absorbed into the Job-anchored views above.</w:t>
      </w:r>
    </w:p>
    <w:p>
      <w:pPr>
        <w:spacing w:after="0" w:before="200"/>
      </w:pPr>
      <w:r>
        <w:t xml:space="preserve"/>
      </w:r>
    </w:p>
    <w:p>
      <w:pPr>
        <w:pStyle w:val="Heading1"/>
        <w:spacing w:after="160" w:before="400"/>
      </w:pPr>
      <w:r>
        <w:rPr>
          <w:rFonts w:ascii="Arial" w:cs="Arial" w:eastAsia="Arial" w:hAnsi="Arial"/>
          <w:b/>
          <w:bCs/>
          <w:color w:val="0D47A1"/>
          <w:sz w:val="36"/>
          <w:szCs w:val="36"/>
        </w:rPr>
        <w:t xml:space="preserve">13. Hard Problems — First Class Design Challenges</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These are not afterthoughts. They are structural challenges that must be addressed in the architecture before they become expensive to fix.</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13.1  The Contribution Incentive Problem</w:t>
      </w:r>
    </w:p>
    <w:p>
      <w:pPr>
        <w:spacing w:after="80" w:before="80"/>
      </w:pPr>
      <w:r>
        <w:rPr>
          <w:rFonts w:ascii="Arial" w:cs="Arial" w:eastAsia="Arial" w:hAnsi="Arial"/>
          <w:color w:val="444444"/>
          <w:sz w:val="22"/>
          <w:szCs w:val="22"/>
        </w:rPr>
        <w:t xml:space="preserve">Pure opt-in produces empty Brains. The system must make contributing more valuable than hoarding. The social contract between individual and institution — what is expected, what remains private, what the individual receives — must be defined at onboarding. This is unresolved and requires careful design before institutional deployments.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13.2  Preventing Gaming of Quality Signals</w:t>
      </w:r>
    </w:p>
    <w:p>
      <w:pPr>
        <w:spacing w:after="80" w:before="80"/>
      </w:pPr>
      <w:r>
        <w:rPr>
          <w:rFonts w:ascii="Arial" w:cs="Arial" w:eastAsia="Arial" w:hAnsi="Arial"/>
          <w:color w:val="444444"/>
          <w:sz w:val="22"/>
          <w:szCs w:val="22"/>
        </w:rPr>
        <w:t xml:space="preserve">If quality scores drive payment, people will optimise for signals rather than quality. The system must rely on outcome signals — did this work actually get used and succeed — rather than input signals like apparent effort or frequency of contribution.</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13.3  The Bypass Key Temptation</w:t>
      </w:r>
    </w:p>
    <w:p>
      <w:pPr>
        <w:spacing w:after="80" w:before="80"/>
      </w:pPr>
      <w:r>
        <w:rPr>
          <w:rFonts w:ascii="Arial" w:cs="Arial" w:eastAsia="Arial" w:hAnsi="Arial"/>
          <w:color w:val="444444"/>
          <w:sz w:val="22"/>
          <w:szCs w:val="22"/>
        </w:rPr>
        <w:t xml:space="preserve">Institutions will ask for administrative override access to individual data. This must be architecturally impossible — not just against policy. The moment a bypass key exists, even with good intentions, it becomes a surveillance tool and destroys the authentic behavioural signal that makes the Brain valuable.</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13.4  Governance at Scale</w:t>
      </w:r>
    </w:p>
    <w:p>
      <w:pPr>
        <w:spacing w:after="80" w:before="80"/>
      </w:pPr>
      <w:r>
        <w:rPr>
          <w:rFonts w:ascii="Arial" w:cs="Arial" w:eastAsia="Arial" w:hAnsi="Arial"/>
          <w:color w:val="444444"/>
          <w:sz w:val="22"/>
          <w:szCs w:val="22"/>
        </w:rPr>
        <w:t xml:space="preserve">Who sets the access rules? Who arbitrates attribution disputes? Who governs cross-institutional connections? WorkPulse needs a governance framework — not just a technical architecture — before institutional deployments can be trusted at the scale of governments and large organisations.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13.5  Data Sovereignty for Governments</w:t>
      </w:r>
    </w:p>
    <w:p>
      <w:pPr>
        <w:spacing w:after="80" w:before="80"/>
      </w:pPr>
      <w:r>
        <w:rPr>
          <w:rFonts w:ascii="Arial" w:cs="Arial" w:eastAsia="Arial" w:hAnsi="Arial"/>
          <w:color w:val="444444"/>
          <w:sz w:val="22"/>
          <w:szCs w:val="22"/>
        </w:rPr>
        <w:t xml:space="preserve">Government clients will not put national institutional memory on third-party cloud infrastructure. On-premises and national cloud deployment must be a first-class option from v4 onwards, not a retrofit.</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14. Closing Statement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WorkPulse is not a productivity app.</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It is infrastructure for how human knowledge gets captured, attributed, valued, and preserved — at the individual level first, and at the institutional level by design.</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Individual WorkPulse is the child — a personal AI working tool, conversational, daily, always improving.</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Institution Brain is the parent — a silent, continuously learning intelligence engine that makes every child smarter and ensures the organisation never forgets.</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They are one system. The parent never speaks directly. The children carry the intelligence forward.</w:t>
            </w:r>
          </w:p>
          <w:p>
            <w:pPr>
              <w:spacing w:after="60" w:before="60"/>
            </w:pPr>
            <w:r>
              <w:rPr>
                <w:rFonts w:ascii="Arial" w:cs="Arial" w:eastAsia="Arial" w:hAnsi="Arial"/>
                <w:sz w:val="10"/>
                <w:szCs w:val="10"/>
              </w:rPr>
              <w:t xml:space="preserve"/>
            </w:r>
          </w:p>
          <w:p>
            <w:pPr>
              <w:spacing w:after="60" w:before="60"/>
            </w:pPr>
            <w:r>
              <w:rPr>
                <w:rFonts w:ascii="Arial" w:cs="Arial" w:eastAsia="Arial" w:hAnsi="Arial"/>
                <w:b/>
                <w:bCs/>
                <w:i/>
                <w:iCs/>
                <w:color w:val="FFFFFF"/>
                <w:sz w:val="24"/>
                <w:szCs w:val="24"/>
              </w:rPr>
              <w:t xml:space="preserve">Build the foundation first. The skyscraper follows.</w:t>
            </w:r>
          </w:p>
        </w:tc>
      </w:tr>
    </w:tbl>
    <w:p>
      <w:pPr>
        <w:spacing w:after="0" w:before="300"/>
      </w:pPr>
      <w:r>
        <w:t xml:space="preserve"/>
      </w:r>
    </w:p>
    <w:p>
      <w:pPr>
        <w:spacing w:after="80" w:before="80"/>
      </w:pPr>
      <w:r>
        <w:rPr>
          <w:rFonts w:ascii="Arial" w:cs="Arial" w:eastAsia="Arial" w:hAnsi="Arial"/>
          <w:i/>
          <w:iCs/>
          <w:color w:val="AAAAAA"/>
          <w:sz w:val="22"/>
          <w:szCs w:val="22"/>
        </w:rPr>
        <w:t xml:space="preserve">Document version: v1.3  |  Updated: June 2026</w:t>
      </w:r>
    </w:p>
    <w:p>
      <w:pPr>
        <w:spacing w:after="80" w:before="80"/>
      </w:pPr>
      <w:r>
        <w:rPr>
          <w:rFonts w:ascii="Arial" w:cs="Arial" w:eastAsia="Arial" w:hAnsi="Arial"/>
          <w:i/>
          <w:iCs/>
          <w:color w:val="AAAAAA"/>
          <w:sz w:val="22"/>
          <w:szCs w:val="22"/>
        </w:rPr>
        <w:t xml:space="preserve">Author: George Kamau Kibuku</w:t>
      </w:r>
    </w:p>
    <w:p>
      <w:pPr>
        <w:spacing w:after="80" w:before="80"/>
      </w:pPr>
      <w:r>
        <w:rPr>
          <w:rFonts w:ascii="Arial" w:cs="Arial" w:eastAsia="Arial" w:hAnsi="Arial"/>
          <w:i/>
          <w:iCs/>
          <w:color w:val="AAAAAA"/>
          <w:sz w:val="22"/>
          <w:szCs w:val="22"/>
        </w:rPr>
        <w:t xml:space="preserve">Status: Living Document — v1.3 adds §12.2 (Jobs + AI-lift) sharpening the v2 Coach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2026-04-26T19:41:56.583Z</dcterms:created>
  <dcterms:modified xsi:type="dcterms:W3CDTF">2026-04-26T19:41:56.584Z</dcterms:modified>
</cp:coreProperties>
</file>

<file path=docProps/custom.xml><?xml version="1.0" encoding="utf-8"?>
<Properties xmlns="http://schemas.openxmlformats.org/officeDocument/2006/custom-properties" xmlns:vt="http://schemas.openxmlformats.org/officeDocument/2006/docPropsVTypes"/>
</file>