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color w:val="677784"/>
          <w:sz w:val="16"/>
        </w:rPr>
        <w:t>JEU ORIGINAL • DOCUMENT DE RÉFÉRENCE</w:t>
      </w:r>
    </w:p>
    <w:p>
      <w:bookmarkStart w:id="0" w:name="section_00"/>
      <w:pPr>
        <w:pStyle w:val="Heading1"/>
      </w:pPr>
      <w:r>
        <w:rPr>
          <w:sz w:val="60"/>
        </w:rPr>
        <w:t>LES ORIGINES</w:t>
      </w:r>
      <w:bookmarkEnd w:id="0"/>
    </w:p>
    <w:p>
      <w:pPr>
        <w:pStyle w:val="Subtitle"/>
      </w:pPr>
      <w:r>
        <w:rPr>
          <w:rFonts w:ascii="Arial" w:hAnsi="Arial"/>
          <w:b w:val="0"/>
        </w:rPr>
        <w:t>Bible narrative</w:t>
      </w:r>
    </w:p>
    <w:p>
      <w:pPr>
        <w:pStyle w:val="Subtitle"/>
      </w:pPr>
      <w:r>
        <w:rPr>
          <w:rFonts w:ascii="Arial" w:hAnsi="Arial"/>
          <w:b w:val="0"/>
        </w:rPr>
        <w:t>Proposition complète — version 1.0</w:t>
      </w:r>
    </w:p>
    <w:p/>
    <w:p>
      <w:r>
        <w:rPr>
          <w:rFonts w:ascii="Arial" w:hAnsi="Arial"/>
          <w:b/>
        </w:rPr>
        <w:t>Un monde qui existait avant nous.</w:t>
        <w:br/>
        <w:t>Un passé qui ne nous appartient pas tout entier.</w:t>
        <w:br/>
        <w:t>Un avenir que personne ne devrait pouvoir confisquer.</w:t>
      </w:r>
    </w:p>
    <w:p/>
    <w:p>
      <w:r>
        <w:rPr>
          <w:rFonts w:ascii="Arial" w:hAnsi="Arial"/>
          <w:b w:val="0"/>
        </w:rPr>
        <w:t>Refonte intégrale de l’aide-mémoire narratif v0.1. Cette version propose une histoire complète, ses règles de fonctionnement, ses personnages structurants, ses régions, son système de recrutement et le déroulement de ses chapitres.</w:t>
      </w:r>
    </w:p>
    <w:p>
      <w:r>
        <w:rPr>
          <w:rFonts w:ascii="Arial" w:hAnsi="Arial"/>
          <w:b/>
        </w:rPr>
        <w:t>Statut : proposition de travail, et non canon approuvé.</w:t>
      </w:r>
      <w:r>
        <w:rPr>
          <w:rFonts w:ascii="Arial" w:hAnsi="Arial"/>
          <w:b w:val="0"/>
        </w:rPr>
        <w:t xml:space="preserve"> Les nouveaux noms, les durées et les solutions narratives sont des choix de conception destinés à être discutés et adaptés. « Les Origines » est un intitulé de dossier, pas un titre commercial arrêté.</w:t>
      </w:r>
    </w:p>
    <w:p>
      <w:r>
        <w:rPr>
          <w:rFonts w:ascii="Arial" w:hAnsi="Arial"/>
          <w:b/>
        </w:rPr>
        <w:t>Divulgâchage intégral.</w:t>
      </w:r>
      <w:r>
        <w:rPr>
          <w:rFonts w:ascii="Arial" w:hAnsi="Arial"/>
          <w:b w:val="0"/>
        </w:rPr>
        <w:t xml:space="preserve"> Ce document distingue ce qui s’est réellement produit de ce que le joueur apprend progressivement.</w:t>
      </w:r>
    </w:p>
    <w:p>
      <w:pPr>
        <w:pStyle w:val="Heading2"/>
      </w:pPr>
      <w:r>
        <w:t>La décision centrale</w:t>
      </w:r>
    </w:p>
    <w:p>
      <w:r>
        <w:rPr>
          <w:rFonts w:ascii="Arial" w:hAnsi="Arial"/>
          <w:b w:val="0"/>
        </w:rPr>
        <w:t xml:space="preserve">Le héros est envoyé sur une véritable planète fondatrice du même univers : </w:t>
      </w:r>
      <w:r>
        <w:rPr>
          <w:rFonts w:ascii="Arial" w:hAnsi="Arial"/>
          <w:b/>
        </w:rPr>
        <w:t>Orthe, le Monde des Origines</w:t>
      </w:r>
      <w:r>
        <w:rPr>
          <w:rFonts w:ascii="Arial" w:hAnsi="Arial"/>
          <w:b w:val="0"/>
        </w:rPr>
        <w:t>. Il n’a pas créé cette planète et ses habitants ne sont ni des figurants d’une simulation ni des ressources conçues pour son salut personnel.</w:t>
      </w:r>
    </w:p>
    <w:p>
      <w:pPr>
        <w:pStyle w:val="Heading2"/>
      </w:pPr>
      <w:r>
        <w:t>Le changement temporel à accepter</w:t>
      </w:r>
    </w:p>
    <w:p>
      <w:r>
        <w:rPr>
          <w:rFonts w:ascii="Arial" w:hAnsi="Arial"/>
          <w:b w:val="0"/>
        </w:rPr>
        <w:t xml:space="preserve">La technologie ne réécrit pas l’univers. Elle peut ouvrir une </w:t>
      </w:r>
      <w:r>
        <w:rPr>
          <w:rFonts w:ascii="Arial" w:hAnsi="Arial"/>
          <w:b/>
        </w:rPr>
        <w:t>bifurcation locale réelle</w:t>
      </w:r>
      <w:r>
        <w:rPr>
          <w:rFonts w:ascii="Arial" w:hAnsi="Arial"/>
          <w:b w:val="0"/>
        </w:rPr>
        <w:t>, limitée à un lieu et à un ancien instant enregistré. L’histoire-source reste acquise ; une nouvelle continuité peut en sortir. Ce choix assume plusieurs versions d’une personne, mais pas plusieurs univers complets.</w:t>
      </w:r>
    </w:p>
    <w:p>
      <w:pPr>
        <w:pStyle w:val="Heading2"/>
      </w:pPr>
      <w:r>
        <w:t>Périmètre</w:t>
      </w:r>
    </w:p>
    <w:p>
      <w:r>
        <w:rPr>
          <w:rFonts w:ascii="Arial" w:hAnsi="Arial"/>
          <w:b w:val="0"/>
        </w:rPr>
        <w:t>Un arc principal fermé, dix-huit chapitres ou séquences numérotés de 0 à 17, six grandes régions, une capitale finale et un après-histoire durable. Les quêtes secondaires et les futurs arcs planétaires restent extensibles.</w:t>
      </w:r>
    </w:p>
    <w:p>
      <w:pPr>
        <w:pStyle w:val="Caption"/>
      </w:pPr>
      <w:r>
        <w:rPr>
          <w:rFonts w:ascii="Arial" w:hAnsi="Arial"/>
          <w:b w:val="0"/>
        </w:rPr>
        <w:t>Base de travail : idées de l’utilisateur, aide-mémoire v0.1 du 27 août 2026 et demandes de refonte. Les inspirations citées par l’utilisateur sont Genshin Impact, Honkai: Star Rail, Zenless Zone Zero et Wuthering Waves ; aucun de leurs éléments de lore n’est nécessaire au fonctionnement de cette proposition.</w:t>
      </w:r>
    </w:p>
    <w:p>
      <w:r>
        <w:br w:type="page"/>
      </w:r>
    </w:p>
    <w:p>
      <w:pPr>
        <w:spacing w:after="60"/>
      </w:pPr>
      <w:r>
        <w:rPr>
          <w:rFonts w:ascii="Arial" w:hAnsi="Arial"/>
          <w:b/>
          <w:color w:val="677784"/>
          <w:sz w:val="16"/>
        </w:rPr>
        <w:t>SOMMAIRE</w:t>
      </w:r>
    </w:p>
    <w:p>
      <w:bookmarkStart w:id="1" w:name="section_01"/>
      <w:pPr>
        <w:pStyle w:val="Heading1"/>
      </w:pPr>
      <w:r>
        <w:t>Repères de lecture</w:t>
      </w:r>
      <w:bookmarkEnd w:id="1"/>
    </w:p>
    <w:p>
      <w:r>
        <w:rPr>
          <w:rFonts w:ascii="Arial" w:hAnsi="Arial"/>
          <w:b w:val="0"/>
        </w:rPr>
        <w:t>Le document se lit comme une proposition complète. Pour une première lecture, commencer par la vue d’ensemble, les règles temporelles et la chronologie ; les chapitres montrent ensuite comment ces informations deviennent une aventure.</w:t>
      </w:r>
    </w:p>
    <w:tbl>
      <w:tblPr>
        <w:tblW w:type="auto" w:w="0"/>
        <w:jc w:val="center"/>
        <w:tblLayout w:type="fixed"/>
        <w:tblLook w:firstColumn="1" w:firstRow="1" w:lastColumn="0" w:lastRow="0" w:noHBand="0" w:noVBand="1" w:val="04A0"/>
      </w:tblPr>
      <w:tblGrid>
        <w:gridCol w:w="8050"/>
        <w:gridCol w:w="1814"/>
      </w:tblGrid>
      <w:tr>
        <w:trPr>
          <w:tblHeader/>
        </w:trPr>
        <w:tc>
          <w:tcPr>
            <w:tcW w:type="dxa" w:w="8050"/>
            <w:vAlign w:val="center"/>
            <w:shd w:fill="253A52"/>
            <w:tcMar>
              <w:top w:w="65" w:type="dxa"/>
              <w:left w:w="95" w:type="dxa"/>
              <w:bottom w:w="65" w:type="dxa"/>
              <w:right w:w="95" w:type="dxa"/>
            </w:tcMar>
          </w:tcPr>
          <w:p>
            <w:pPr>
              <w:pStyle w:val="TableText"/>
            </w:pPr>
            <w:r>
              <w:rPr>
                <w:rFonts w:ascii="Arial" w:hAnsi="Arial"/>
                <w:b/>
                <w:color w:val="FFFFFF"/>
              </w:rPr>
              <w:t>Bloc</w:t>
            </w:r>
          </w:p>
        </w:tc>
        <w:tc>
          <w:tcPr>
            <w:tcW w:type="dxa" w:w="1814"/>
            <w:vAlign w:val="center"/>
            <w:shd w:fill="253A52"/>
            <w:tcMar>
              <w:top w:w="65" w:type="dxa"/>
              <w:left w:w="95" w:type="dxa"/>
              <w:bottom w:w="65" w:type="dxa"/>
              <w:right w:w="95" w:type="dxa"/>
            </w:tcMar>
          </w:tcPr>
          <w:p>
            <w:pPr>
              <w:pStyle w:val="TableText"/>
            </w:pPr>
            <w:r>
              <w:rPr>
                <w:rFonts w:ascii="Arial" w:hAnsi="Arial"/>
                <w:b/>
                <w:color w:val="FFFFFF"/>
              </w:rPr>
              <w:t>Pages</w:t>
            </w:r>
          </w:p>
        </w:tc>
      </w:tr>
      <w:tr>
        <w:trPr>
          <w:cantSplit/>
        </w:trPr>
        <w:tc>
          <w:tcPr>
            <w:tcW w:type="dxa" w:w="8050"/>
            <w:vAlign w:val="top"/>
            <w:shd w:fill="F1F5F7"/>
            <w:tcMar>
              <w:top w:w="65" w:type="dxa"/>
              <w:left w:w="95" w:type="dxa"/>
              <w:bottom w:w="65" w:type="dxa"/>
              <w:right w:w="95" w:type="dxa"/>
            </w:tcMar>
          </w:tcPr>
          <w:p>
            <w:pPr>
              <w:pStyle w:val="TableText"/>
            </w:pPr>
            <w:r>
              <w:rPr>
                <w:rFonts w:ascii="Arial" w:hAnsi="Arial"/>
                <w:b w:val="0"/>
              </w:rPr>
              <w:t>Vue d’ensemble et décisions : ce que cette version garde ou modifie</w:t>
            </w:r>
          </w:p>
        </w:tc>
        <w:tc>
          <w:tcPr>
            <w:tcW w:type="dxa" w:w="1814"/>
            <w:vAlign w:val="top"/>
            <w:shd w:fill="F1F5F7"/>
            <w:tcMar>
              <w:top w:w="65" w:type="dxa"/>
              <w:left w:w="95" w:type="dxa"/>
              <w:bottom w:w="65" w:type="dxa"/>
              <w:right w:w="95" w:type="dxa"/>
            </w:tcMar>
          </w:tcPr>
          <w:p>
            <w:pPr>
              <w:pStyle w:val="TableText"/>
            </w:pPr>
            <w:r>
              <w:rPr>
                <w:rFonts w:ascii="Arial" w:hAnsi="Arial"/>
                <w:b w:val="0"/>
              </w:rPr>
              <w:t>3–4</w:t>
            </w:r>
          </w:p>
        </w:tc>
      </w:tr>
      <w:tr>
        <w:trPr>
          <w:cantSplit/>
        </w:trPr>
        <w:tc>
          <w:tcPr>
            <w:tcW w:type="dxa" w:w="8050"/>
            <w:vAlign w:val="top"/>
            <w:shd w:fill="FFFFFF"/>
            <w:tcMar>
              <w:top w:w="65" w:type="dxa"/>
              <w:left w:w="95" w:type="dxa"/>
              <w:bottom w:w="65" w:type="dxa"/>
              <w:right w:w="95" w:type="dxa"/>
            </w:tcMar>
          </w:tcPr>
          <w:p>
            <w:pPr>
              <w:pStyle w:val="TableText"/>
            </w:pPr>
            <w:r>
              <w:rPr>
                <w:rFonts w:ascii="Arial" w:hAnsi="Arial"/>
                <w:b w:val="0"/>
              </w:rPr>
              <w:t>Orthe, sa cosmologie, les pouvoirs et la graine du protagoniste</w:t>
            </w:r>
          </w:p>
        </w:tc>
        <w:tc>
          <w:tcPr>
            <w:tcW w:type="dxa" w:w="1814"/>
            <w:vAlign w:val="top"/>
            <w:shd w:fill="FFFFFF"/>
            <w:tcMar>
              <w:top w:w="65" w:type="dxa"/>
              <w:left w:w="95" w:type="dxa"/>
              <w:bottom w:w="65" w:type="dxa"/>
              <w:right w:w="95" w:type="dxa"/>
            </w:tcMar>
          </w:tcPr>
          <w:p>
            <w:pPr>
              <w:pStyle w:val="TableText"/>
            </w:pPr>
            <w:r>
              <w:rPr>
                <w:rFonts w:ascii="Arial" w:hAnsi="Arial"/>
                <w:b w:val="0"/>
              </w:rPr>
              <w:t>5–6</w:t>
            </w:r>
          </w:p>
        </w:tc>
      </w:tr>
      <w:tr>
        <w:trPr>
          <w:cantSplit/>
        </w:trPr>
        <w:tc>
          <w:tcPr>
            <w:tcW w:type="dxa" w:w="8050"/>
            <w:vAlign w:val="top"/>
            <w:shd w:fill="F1F5F7"/>
            <w:tcMar>
              <w:top w:w="65" w:type="dxa"/>
              <w:left w:w="95" w:type="dxa"/>
              <w:bottom w:w="65" w:type="dxa"/>
              <w:right w:w="95" w:type="dxa"/>
            </w:tcMar>
          </w:tcPr>
          <w:p>
            <w:pPr>
              <w:pStyle w:val="TableText"/>
            </w:pPr>
            <w:r>
              <w:rPr>
                <w:rFonts w:ascii="Arial" w:hAnsi="Arial"/>
                <w:b w:val="0"/>
              </w:rPr>
              <w:t>Fonctionnement de la temporalité et limites de la machine</w:t>
            </w:r>
          </w:p>
        </w:tc>
        <w:tc>
          <w:tcPr>
            <w:tcW w:type="dxa" w:w="1814"/>
            <w:vAlign w:val="top"/>
            <w:shd w:fill="F1F5F7"/>
            <w:tcMar>
              <w:top w:w="65" w:type="dxa"/>
              <w:left w:w="95" w:type="dxa"/>
              <w:bottom w:w="65" w:type="dxa"/>
              <w:right w:w="95" w:type="dxa"/>
            </w:tcMar>
          </w:tcPr>
          <w:p>
            <w:pPr>
              <w:pStyle w:val="TableText"/>
            </w:pPr>
            <w:r>
              <w:rPr>
                <w:rFonts w:ascii="Arial" w:hAnsi="Arial"/>
                <w:b w:val="0"/>
              </w:rPr>
              <w:t>7–8</w:t>
            </w:r>
          </w:p>
        </w:tc>
      </w:tr>
      <w:tr>
        <w:trPr>
          <w:cantSplit/>
        </w:trPr>
        <w:tc>
          <w:tcPr>
            <w:tcW w:type="dxa" w:w="8050"/>
            <w:vAlign w:val="top"/>
            <w:shd w:fill="FFFFFF"/>
            <w:tcMar>
              <w:top w:w="65" w:type="dxa"/>
              <w:left w:w="95" w:type="dxa"/>
              <w:bottom w:w="65" w:type="dxa"/>
              <w:right w:w="95" w:type="dxa"/>
            </w:tcMar>
          </w:tcPr>
          <w:p>
            <w:pPr>
              <w:pStyle w:val="TableText"/>
            </w:pPr>
            <w:r>
              <w:rPr>
                <w:rFonts w:ascii="Arial" w:hAnsi="Arial"/>
                <w:b w:val="0"/>
              </w:rPr>
              <w:t>Chronologie complète : origines, histoire-source, parcours joué</w:t>
            </w:r>
          </w:p>
        </w:tc>
        <w:tc>
          <w:tcPr>
            <w:tcW w:type="dxa" w:w="1814"/>
            <w:vAlign w:val="top"/>
            <w:shd w:fill="FFFFFF"/>
            <w:tcMar>
              <w:top w:w="65" w:type="dxa"/>
              <w:left w:w="95" w:type="dxa"/>
              <w:bottom w:w="65" w:type="dxa"/>
              <w:right w:w="95" w:type="dxa"/>
            </w:tcMar>
          </w:tcPr>
          <w:p>
            <w:pPr>
              <w:pStyle w:val="TableText"/>
            </w:pPr>
            <w:r>
              <w:rPr>
                <w:rFonts w:ascii="Arial" w:hAnsi="Arial"/>
                <w:b w:val="0"/>
              </w:rPr>
              <w:t>9–11</w:t>
            </w:r>
          </w:p>
        </w:tc>
      </w:tr>
      <w:tr>
        <w:trPr>
          <w:cantSplit/>
        </w:trPr>
        <w:tc>
          <w:tcPr>
            <w:tcW w:type="dxa" w:w="8050"/>
            <w:vAlign w:val="top"/>
            <w:shd w:fill="F1F5F7"/>
            <w:tcMar>
              <w:top w:w="65" w:type="dxa"/>
              <w:left w:w="95" w:type="dxa"/>
              <w:bottom w:w="65" w:type="dxa"/>
              <w:right w:w="95" w:type="dxa"/>
            </w:tcMar>
          </w:tcPr>
          <w:p>
            <w:pPr>
              <w:pStyle w:val="TableText"/>
            </w:pPr>
            <w:r>
              <w:rPr>
                <w:rFonts w:ascii="Arial" w:hAnsi="Arial"/>
                <w:b w:val="0"/>
              </w:rPr>
              <w:t>Protagoniste, antagoniste, partenaire, IA et personnages structurants</w:t>
            </w:r>
          </w:p>
        </w:tc>
        <w:tc>
          <w:tcPr>
            <w:tcW w:type="dxa" w:w="1814"/>
            <w:vAlign w:val="top"/>
            <w:shd w:fill="F1F5F7"/>
            <w:tcMar>
              <w:top w:w="65" w:type="dxa"/>
              <w:left w:w="95" w:type="dxa"/>
              <w:bottom w:w="65" w:type="dxa"/>
              <w:right w:w="95" w:type="dxa"/>
            </w:tcMar>
          </w:tcPr>
          <w:p>
            <w:pPr>
              <w:pStyle w:val="TableText"/>
            </w:pPr>
            <w:r>
              <w:rPr>
                <w:rFonts w:ascii="Arial" w:hAnsi="Arial"/>
                <w:b w:val="0"/>
              </w:rPr>
              <w:t>12–16</w:t>
            </w:r>
          </w:p>
        </w:tc>
      </w:tr>
      <w:tr>
        <w:trPr>
          <w:cantSplit/>
        </w:trPr>
        <w:tc>
          <w:tcPr>
            <w:tcW w:type="dxa" w:w="8050"/>
            <w:vAlign w:val="top"/>
            <w:shd w:fill="FFFFFF"/>
            <w:tcMar>
              <w:top w:w="65" w:type="dxa"/>
              <w:left w:w="95" w:type="dxa"/>
              <w:bottom w:w="65" w:type="dxa"/>
              <w:right w:w="95" w:type="dxa"/>
            </w:tcMar>
          </w:tcPr>
          <w:p>
            <w:pPr>
              <w:pStyle w:val="TableText"/>
            </w:pPr>
            <w:r>
              <w:rPr>
                <w:rFonts w:ascii="Arial" w:hAnsi="Arial"/>
                <w:b w:val="0"/>
              </w:rPr>
              <w:t>Six régions : enjeux, concepts, intrigues et conséquences durables</w:t>
            </w:r>
          </w:p>
        </w:tc>
        <w:tc>
          <w:tcPr>
            <w:tcW w:type="dxa" w:w="1814"/>
            <w:vAlign w:val="top"/>
            <w:shd w:fill="FFFFFF"/>
            <w:tcMar>
              <w:top w:w="65" w:type="dxa"/>
              <w:left w:w="95" w:type="dxa"/>
              <w:bottom w:w="65" w:type="dxa"/>
              <w:right w:w="95" w:type="dxa"/>
            </w:tcMar>
          </w:tcPr>
          <w:p>
            <w:pPr>
              <w:pStyle w:val="TableText"/>
            </w:pPr>
            <w:r>
              <w:rPr>
                <w:rFonts w:ascii="Arial" w:hAnsi="Arial"/>
                <w:b w:val="0"/>
              </w:rPr>
              <w:t>17–20</w:t>
            </w:r>
          </w:p>
        </w:tc>
      </w:tr>
      <w:tr>
        <w:trPr>
          <w:cantSplit/>
        </w:trPr>
        <w:tc>
          <w:tcPr>
            <w:tcW w:type="dxa" w:w="8050"/>
            <w:vAlign w:val="top"/>
            <w:shd w:fill="F1F5F7"/>
            <w:tcMar>
              <w:top w:w="65" w:type="dxa"/>
              <w:left w:w="95" w:type="dxa"/>
              <w:bottom w:w="65" w:type="dxa"/>
              <w:right w:w="95" w:type="dxa"/>
            </w:tcMar>
          </w:tcPr>
          <w:p>
            <w:pPr>
              <w:pStyle w:val="TableText"/>
            </w:pPr>
            <w:r>
              <w:rPr>
                <w:rFonts w:ascii="Arial" w:hAnsi="Arial"/>
                <w:b w:val="0"/>
              </w:rPr>
              <w:t>Gacha : sens des tirages, éligibilité et règles de progression</w:t>
            </w:r>
          </w:p>
        </w:tc>
        <w:tc>
          <w:tcPr>
            <w:tcW w:type="dxa" w:w="1814"/>
            <w:vAlign w:val="top"/>
            <w:shd w:fill="F1F5F7"/>
            <w:tcMar>
              <w:top w:w="65" w:type="dxa"/>
              <w:left w:w="95" w:type="dxa"/>
              <w:bottom w:w="65" w:type="dxa"/>
              <w:right w:w="95" w:type="dxa"/>
            </w:tcMar>
          </w:tcPr>
          <w:p>
            <w:pPr>
              <w:pStyle w:val="TableText"/>
            </w:pPr>
            <w:r>
              <w:rPr>
                <w:rFonts w:ascii="Arial" w:hAnsi="Arial"/>
                <w:b w:val="0"/>
              </w:rPr>
              <w:t>21–22</w:t>
            </w:r>
          </w:p>
        </w:tc>
      </w:tr>
      <w:tr>
        <w:trPr>
          <w:cantSplit/>
        </w:trPr>
        <w:tc>
          <w:tcPr>
            <w:tcW w:type="dxa" w:w="8050"/>
            <w:vAlign w:val="top"/>
            <w:shd w:fill="FFFFFF"/>
            <w:tcMar>
              <w:top w:w="65" w:type="dxa"/>
              <w:left w:w="95" w:type="dxa"/>
              <w:bottom w:w="65" w:type="dxa"/>
              <w:right w:w="95" w:type="dxa"/>
            </w:tcMar>
          </w:tcPr>
          <w:p>
            <w:pPr>
              <w:pStyle w:val="TableText"/>
            </w:pPr>
            <w:r>
              <w:rPr>
                <w:rFonts w:ascii="Arial" w:hAnsi="Arial"/>
                <w:b w:val="0"/>
              </w:rPr>
              <w:t>Dix-huit chapitres et séquences : du prologue au jeu continu</w:t>
            </w:r>
          </w:p>
        </w:tc>
        <w:tc>
          <w:tcPr>
            <w:tcW w:type="dxa" w:w="1814"/>
            <w:vAlign w:val="top"/>
            <w:shd w:fill="FFFFFF"/>
            <w:tcMar>
              <w:top w:w="65" w:type="dxa"/>
              <w:left w:w="95" w:type="dxa"/>
              <w:bottom w:w="65" w:type="dxa"/>
              <w:right w:w="95" w:type="dxa"/>
            </w:tcMar>
          </w:tcPr>
          <w:p>
            <w:pPr>
              <w:pStyle w:val="TableText"/>
            </w:pPr>
            <w:r>
              <w:rPr>
                <w:rFonts w:ascii="Arial" w:hAnsi="Arial"/>
                <w:b w:val="0"/>
              </w:rPr>
              <w:t>23–26</w:t>
            </w:r>
          </w:p>
        </w:tc>
      </w:tr>
      <w:tr>
        <w:trPr>
          <w:cantSplit/>
        </w:trPr>
        <w:tc>
          <w:tcPr>
            <w:tcW w:type="dxa" w:w="8050"/>
            <w:vAlign w:val="top"/>
            <w:shd w:fill="F1F5F7"/>
            <w:tcMar>
              <w:top w:w="65" w:type="dxa"/>
              <w:left w:w="95" w:type="dxa"/>
              <w:bottom w:w="65" w:type="dxa"/>
              <w:right w:w="95" w:type="dxa"/>
            </w:tcMar>
          </w:tcPr>
          <w:p>
            <w:pPr>
              <w:pStyle w:val="TableText"/>
            </w:pPr>
            <w:r>
              <w:rPr>
                <w:rFonts w:ascii="Arial" w:hAnsi="Arial"/>
                <w:b w:val="0"/>
              </w:rPr>
              <w:t>Ordre des révélations et indices à préparer</w:t>
            </w:r>
          </w:p>
        </w:tc>
        <w:tc>
          <w:tcPr>
            <w:tcW w:type="dxa" w:w="1814"/>
            <w:vAlign w:val="top"/>
            <w:shd w:fill="F1F5F7"/>
            <w:tcMar>
              <w:top w:w="65" w:type="dxa"/>
              <w:left w:w="95" w:type="dxa"/>
              <w:bottom w:w="65" w:type="dxa"/>
              <w:right w:w="95" w:type="dxa"/>
            </w:tcMar>
          </w:tcPr>
          <w:p>
            <w:pPr>
              <w:pStyle w:val="TableText"/>
            </w:pPr>
            <w:r>
              <w:rPr>
                <w:rFonts w:ascii="Arial" w:hAnsi="Arial"/>
                <w:b w:val="0"/>
              </w:rPr>
              <w:t>27</w:t>
            </w:r>
          </w:p>
        </w:tc>
      </w:tr>
      <w:tr>
        <w:trPr>
          <w:cantSplit/>
        </w:trPr>
        <w:tc>
          <w:tcPr>
            <w:tcW w:type="dxa" w:w="8050"/>
            <w:vAlign w:val="top"/>
            <w:shd w:fill="FFFFFF"/>
            <w:tcMar>
              <w:top w:w="65" w:type="dxa"/>
              <w:left w:w="95" w:type="dxa"/>
              <w:bottom w:w="65" w:type="dxa"/>
              <w:right w:w="95" w:type="dxa"/>
            </w:tcMar>
          </w:tcPr>
          <w:p>
            <w:pPr>
              <w:pStyle w:val="TableText"/>
            </w:pPr>
            <w:r>
              <w:rPr>
                <w:rFonts w:ascii="Arial" w:hAnsi="Arial"/>
                <w:b w:val="0"/>
              </w:rPr>
              <w:t>Audits : paradoxes temporels, motivations et crédibilité</w:t>
            </w:r>
          </w:p>
        </w:tc>
        <w:tc>
          <w:tcPr>
            <w:tcW w:type="dxa" w:w="1814"/>
            <w:vAlign w:val="top"/>
            <w:shd w:fill="FFFFFF"/>
            <w:tcMar>
              <w:top w:w="65" w:type="dxa"/>
              <w:left w:w="95" w:type="dxa"/>
              <w:bottom w:w="65" w:type="dxa"/>
              <w:right w:w="95" w:type="dxa"/>
            </w:tcMar>
          </w:tcPr>
          <w:p>
            <w:pPr>
              <w:pStyle w:val="TableText"/>
            </w:pPr>
            <w:r>
              <w:rPr>
                <w:rFonts w:ascii="Arial" w:hAnsi="Arial"/>
                <w:b w:val="0"/>
              </w:rPr>
              <w:t>28–30</w:t>
            </w:r>
          </w:p>
        </w:tc>
      </w:tr>
      <w:tr>
        <w:trPr>
          <w:cantSplit/>
        </w:trPr>
        <w:tc>
          <w:tcPr>
            <w:tcW w:type="dxa" w:w="8050"/>
            <w:vAlign w:val="top"/>
            <w:shd w:fill="F1F5F7"/>
            <w:tcMar>
              <w:top w:w="65" w:type="dxa"/>
              <w:left w:w="95" w:type="dxa"/>
              <w:bottom w:w="65" w:type="dxa"/>
              <w:right w:w="95" w:type="dxa"/>
            </w:tcMar>
          </w:tcPr>
          <w:p>
            <w:pPr>
              <w:pStyle w:val="TableText"/>
            </w:pPr>
            <w:r>
              <w:rPr>
                <w:rFonts w:ascii="Arial" w:hAnsi="Arial"/>
                <w:b w:val="0"/>
              </w:rPr>
              <w:t>Fin et après-histoire</w:t>
            </w:r>
          </w:p>
        </w:tc>
        <w:tc>
          <w:tcPr>
            <w:tcW w:type="dxa" w:w="1814"/>
            <w:vAlign w:val="top"/>
            <w:shd w:fill="F1F5F7"/>
            <w:tcMar>
              <w:top w:w="65" w:type="dxa"/>
              <w:left w:w="95" w:type="dxa"/>
              <w:bottom w:w="65" w:type="dxa"/>
              <w:right w:w="95" w:type="dxa"/>
            </w:tcMar>
          </w:tcPr>
          <w:p>
            <w:pPr>
              <w:pStyle w:val="TableText"/>
            </w:pPr>
            <w:r>
              <w:rPr>
                <w:rFonts w:ascii="Arial" w:hAnsi="Arial"/>
                <w:b w:val="0"/>
              </w:rPr>
              <w:t>31</w:t>
            </w:r>
          </w:p>
        </w:tc>
      </w:tr>
      <w:tr>
        <w:trPr>
          <w:cantSplit/>
        </w:trPr>
        <w:tc>
          <w:tcPr>
            <w:tcW w:type="dxa" w:w="8050"/>
            <w:vAlign w:val="top"/>
            <w:shd w:fill="FFFFFF"/>
            <w:tcMar>
              <w:top w:w="65" w:type="dxa"/>
              <w:left w:w="95" w:type="dxa"/>
              <w:bottom w:w="65" w:type="dxa"/>
              <w:right w:w="95" w:type="dxa"/>
            </w:tcMar>
          </w:tcPr>
          <w:p>
            <w:pPr>
              <w:pStyle w:val="TableText"/>
            </w:pPr>
            <w:r>
              <w:rPr>
                <w:rFonts w:ascii="Arial" w:hAnsi="Arial"/>
                <w:b w:val="0"/>
              </w:rPr>
              <w:t>Variables adaptables, glossaire et résumé à mémoriser</w:t>
            </w:r>
          </w:p>
        </w:tc>
        <w:tc>
          <w:tcPr>
            <w:tcW w:type="dxa" w:w="1814"/>
            <w:vAlign w:val="top"/>
            <w:shd w:fill="FFFFFF"/>
            <w:tcMar>
              <w:top w:w="65" w:type="dxa"/>
              <w:left w:w="95" w:type="dxa"/>
              <w:bottom w:w="65" w:type="dxa"/>
              <w:right w:w="95" w:type="dxa"/>
            </w:tcMar>
          </w:tcPr>
          <w:p>
            <w:pPr>
              <w:pStyle w:val="TableText"/>
            </w:pPr>
            <w:r>
              <w:rPr>
                <w:rFonts w:ascii="Arial" w:hAnsi="Arial"/>
                <w:b w:val="0"/>
              </w:rPr>
              <w:t>32–33</w:t>
            </w:r>
          </w:p>
        </w:tc>
      </w:tr>
    </w:tbl>
    <w:p>
      <w:pPr>
        <w:spacing w:after="0"/>
      </w:pPr>
    </w:p>
    <w:p>
      <w:pPr>
        <w:pStyle w:val="Heading2"/>
      </w:pPr>
      <w:r>
        <w:t>Trois niveaux à ne pas confondre</w:t>
      </w:r>
    </w:p>
    <w:p>
      <w:r>
        <w:rPr>
          <w:rFonts w:ascii="Arial" w:hAnsi="Arial"/>
          <w:b/>
        </w:rPr>
        <w:t>Les bases utilisateur</w:t>
      </w:r>
      <w:r>
        <w:rPr>
          <w:rFonts w:ascii="Arial" w:hAnsi="Arial"/>
          <w:b w:val="0"/>
        </w:rPr>
        <w:t xml:space="preserve"> définissent la direction : le vrai Monde des Origines, le couple, le choix miroir, l’IA, les personnages rencontrés avant les tirages et l’espoir de sauver le partenaire.</w:t>
      </w:r>
    </w:p>
    <w:p>
      <w:r>
        <w:rPr>
          <w:rFonts w:ascii="Arial" w:hAnsi="Arial"/>
          <w:b/>
        </w:rPr>
        <w:t>Les solutions proposées</w:t>
      </w:r>
      <w:r>
        <w:rPr>
          <w:rFonts w:ascii="Arial" w:hAnsi="Arial"/>
          <w:b w:val="0"/>
        </w:rPr>
        <w:t xml:space="preserve"> ferment les zones d’ombre : la bifurcation locale, le Régent distinct du héros, les accords consentis, la sauvegarde limitée du noyau de C et le partage du pouvoir final.</w:t>
      </w:r>
    </w:p>
    <w:p>
      <w:r>
        <w:rPr>
          <w:rFonts w:ascii="Arial" w:hAnsi="Arial"/>
          <w:b/>
        </w:rPr>
        <w:t>Les paramètres ajustables</w:t>
      </w:r>
      <w:r>
        <w:rPr>
          <w:rFonts w:ascii="Arial" w:hAnsi="Arial"/>
          <w:b w:val="0"/>
        </w:rPr>
        <w:t xml:space="preserve"> comprennent les noms, les durées, la forme des lieux, les rangs de personnages et l’équilibrage. Ils peuvent changer sans réinventer toute la causalité.</w:t>
      </w:r>
    </w:p>
    <w:p>
      <w:pPr>
        <w:pStyle w:val="Heading2"/>
      </w:pPr>
      <w:r>
        <w:t>Navigation dans Word</w:t>
      </w:r>
    </w:p>
    <w:p>
      <w:r>
        <w:rPr>
          <w:rFonts w:ascii="Arial" w:hAnsi="Arial"/>
          <w:b w:val="0"/>
        </w:rPr>
        <w:t>Les titres utilisent les styles hiérarchiques du document. Le volet de navigation permet de passer directement d’une section à l’autre. Les numéros de pages ci-dessus correspondent à cette version mise en page.</w:t>
      </w:r>
    </w:p>
    <w:p>
      <w:r>
        <w:br w:type="page"/>
      </w:r>
    </w:p>
    <w:p>
      <w:pPr>
        <w:spacing w:after="60"/>
      </w:pPr>
      <w:r>
        <w:rPr>
          <w:rFonts w:ascii="Arial" w:hAnsi="Arial"/>
          <w:b/>
          <w:color w:val="677784"/>
          <w:sz w:val="16"/>
        </w:rPr>
        <w:t>LECTURE RAPIDE</w:t>
      </w:r>
    </w:p>
    <w:p>
      <w:bookmarkStart w:id="2" w:name="section_02"/>
      <w:pPr>
        <w:pStyle w:val="Heading1"/>
      </w:pPr>
      <w:r>
        <w:t>01 — Vue d’ensemble</w:t>
      </w:r>
      <w:bookmarkEnd w:id="2"/>
    </w:p>
    <w:p>
      <w:r>
        <w:rPr>
          <w:rFonts w:ascii="Arial" w:hAnsi="Arial"/>
          <w:b w:val="0"/>
        </w:rPr>
        <w:t>Un couple de chercheurs travaille sur un vestige inconnu. Une créature armurée surgit, vise le protagoniste et frappe mortellement son partenaire qui s’interpose. Le héros disparaît avec une petite IA et se réveille sur Orthe, quatorze années plus tard. Plusieurs habitants reconnaissent en lui un scientifique qui les a aidés… puis a participé à leur mise sous tutelle.</w:t>
      </w:r>
    </w:p>
    <w:p>
      <w:r>
        <w:rPr>
          <w:rFonts w:ascii="Arial" w:hAnsi="Arial"/>
          <w:b w:val="0"/>
        </w:rPr>
        <w:t>Le héros veut retrouver la personne qu’il a perdue. Pour y parvenir, il doit apprendre à rétablir les pouvoirs bridés des habitants, reconstruire les capacités de son IA et comprendre pourquoi son autre vie a pris une direction si dangereuse. Les peuples qu’il rencontre refusent cependant d’être les moyens de son projet personnel.</w:t>
      </w:r>
    </w:p>
    <w:p>
      <w:r>
        <w:rPr>
          <w:rFonts w:ascii="Arial" w:hAnsi="Arial"/>
          <w:b w:val="0"/>
        </w:rPr>
        <w:t>Leur adversaire, Séveran, a confisqué les anciens pouvoirs pour empêcher les catastrophes et les conflits. Il prépare maintenant une immobilisation autoritaire du devenir : un monde dans lequel rien ne peut arriver sans son autorisation. Le futur scientifique a rendu cette entreprise techniquement possible avant de s’y opposer trop tard.</w:t>
      </w:r>
    </w:p>
    <w:p>
      <w:r>
        <w:rPr>
          <w:rFonts w:ascii="Arial" w:hAnsi="Arial"/>
          <w:b w:val="0"/>
        </w:rPr>
        <w:t xml:space="preserve">La résolution permet de sauver le partenaire </w:t>
      </w:r>
      <w:r>
        <w:rPr>
          <w:rFonts w:ascii="Arial" w:hAnsi="Arial"/>
          <w:b/>
        </w:rPr>
        <w:t>de la scène réellement vécue au prologue</w:t>
      </w:r>
      <w:r>
        <w:rPr>
          <w:rFonts w:ascii="Arial" w:hAnsi="Arial"/>
          <w:b w:val="0"/>
        </w:rPr>
        <w:t>, sans remplacer cette personne par son double plus âgé et sans effacer les morts de l’histoire-source. Le héros gagne en renonçant à devenir le nouveau propriétaire du monde.</w:t>
      </w:r>
    </w:p>
    <w:tbl>
      <w:tblPr>
        <w:tblW w:type="auto" w:w="0"/>
        <w:jc w:val="center"/>
        <w:tblLayout w:type="fixed"/>
        <w:tblLook w:firstColumn="1" w:firstRow="1" w:lastColumn="0" w:lastRow="0" w:noHBand="0" w:noVBand="1" w:val="04A0"/>
      </w:tblPr>
      <w:tblGrid>
        <w:gridCol w:w="1814"/>
        <w:gridCol w:w="8050"/>
      </w:tblGrid>
      <w:tr>
        <w:trPr>
          <w:tblHeader/>
        </w:trPr>
        <w:tc>
          <w:tcPr>
            <w:tcW w:type="dxa" w:w="1814"/>
            <w:vAlign w:val="center"/>
            <w:shd w:fill="253A52"/>
            <w:tcMar>
              <w:top w:w="65" w:type="dxa"/>
              <w:left w:w="95" w:type="dxa"/>
              <w:bottom w:w="65" w:type="dxa"/>
              <w:right w:w="95" w:type="dxa"/>
            </w:tcMar>
          </w:tcPr>
          <w:p>
            <w:pPr>
              <w:pStyle w:val="TableText"/>
            </w:pPr>
            <w:r>
              <w:rPr>
                <w:rFonts w:ascii="Arial" w:hAnsi="Arial"/>
                <w:b/>
                <w:color w:val="FFFFFF"/>
              </w:rPr>
              <w:t>Repère</w:t>
            </w:r>
          </w:p>
        </w:tc>
        <w:tc>
          <w:tcPr>
            <w:tcW w:type="dxa" w:w="8050"/>
            <w:vAlign w:val="center"/>
            <w:shd w:fill="253A52"/>
            <w:tcMar>
              <w:top w:w="65" w:type="dxa"/>
              <w:left w:w="95" w:type="dxa"/>
              <w:bottom w:w="65" w:type="dxa"/>
              <w:right w:w="95" w:type="dxa"/>
            </w:tcMar>
          </w:tcPr>
          <w:p>
            <w:pPr>
              <w:pStyle w:val="TableText"/>
            </w:pPr>
            <w:r>
              <w:rPr>
                <w:rFonts w:ascii="Arial" w:hAnsi="Arial"/>
                <w:b/>
                <w:color w:val="FFFFFF"/>
              </w:rPr>
              <w:t>Définition retenue</w:t>
            </w:r>
          </w:p>
        </w:tc>
      </w:tr>
      <w:tr>
        <w:trPr>
          <w:cantSplit/>
        </w:trPr>
        <w:tc>
          <w:tcPr>
            <w:tcW w:type="dxa" w:w="1814"/>
            <w:vAlign w:val="top"/>
            <w:shd w:fill="F1F5F7"/>
            <w:tcMar>
              <w:top w:w="65" w:type="dxa"/>
              <w:left w:w="95" w:type="dxa"/>
              <w:bottom w:w="65" w:type="dxa"/>
              <w:right w:w="95" w:type="dxa"/>
            </w:tcMar>
          </w:tcPr>
          <w:p>
            <w:pPr>
              <w:pStyle w:val="TableText"/>
            </w:pPr>
            <w:r>
              <w:rPr>
                <w:rFonts w:ascii="Arial" w:hAnsi="Arial"/>
                <w:b/>
              </w:rPr>
              <w:t>A</w:t>
            </w:r>
          </w:p>
        </w:tc>
        <w:tc>
          <w:tcPr>
            <w:tcW w:type="dxa" w:w="8050"/>
            <w:vAlign w:val="top"/>
            <w:shd w:fill="F1F5F7"/>
            <w:tcMar>
              <w:top w:w="65" w:type="dxa"/>
              <w:left w:w="95" w:type="dxa"/>
              <w:bottom w:w="65" w:type="dxa"/>
              <w:right w:w="95" w:type="dxa"/>
            </w:tcMar>
          </w:tcPr>
          <w:p>
            <w:pPr>
              <w:pStyle w:val="TableText"/>
            </w:pPr>
            <w:r>
              <w:rPr>
                <w:rFonts w:ascii="Arial" w:hAnsi="Arial"/>
                <w:b w:val="0"/>
              </w:rPr>
              <w:t>Date de l’expérience du couple sur Sélis. Dans l’histoire-source, aucune attaque ne survient ce jour-là.</w:t>
            </w:r>
          </w:p>
        </w:tc>
      </w:tr>
      <w:tr>
        <w:trPr>
          <w:cantSplit/>
        </w:trPr>
        <w:tc>
          <w:tcPr>
            <w:tcW w:type="dxa" w:w="1814"/>
            <w:vAlign w:val="top"/>
            <w:shd w:fill="FFFFFF"/>
            <w:tcMar>
              <w:top w:w="65" w:type="dxa"/>
              <w:left w:w="95" w:type="dxa"/>
              <w:bottom w:w="65" w:type="dxa"/>
              <w:right w:w="95" w:type="dxa"/>
            </w:tcMar>
          </w:tcPr>
          <w:p>
            <w:pPr>
              <w:pStyle w:val="TableText"/>
            </w:pPr>
            <w:r>
              <w:rPr>
                <w:rFonts w:ascii="Arial" w:hAnsi="Arial"/>
                <w:b/>
              </w:rPr>
              <w:t>A₁</w:t>
            </w:r>
          </w:p>
        </w:tc>
        <w:tc>
          <w:tcPr>
            <w:tcW w:type="dxa" w:w="8050"/>
            <w:vAlign w:val="top"/>
            <w:shd w:fill="FFFFFF"/>
            <w:tcMar>
              <w:top w:w="65" w:type="dxa"/>
              <w:left w:w="95" w:type="dxa"/>
              <w:bottom w:w="65" w:type="dxa"/>
              <w:right w:w="95" w:type="dxa"/>
            </w:tcMar>
          </w:tcPr>
          <w:p>
            <w:pPr>
              <w:pStyle w:val="TableText"/>
            </w:pPr>
            <w:r>
              <w:rPr>
                <w:rFonts w:ascii="Arial" w:hAnsi="Arial"/>
                <w:b w:val="0"/>
              </w:rPr>
              <w:t>Continuation locale de cet instant, ouverte en Z. C’est ici qu’a lieu le prologue joué : attaque, sacrifice, extraction du héros.</w:t>
            </w:r>
          </w:p>
        </w:tc>
      </w:tr>
      <w:tr>
        <w:trPr>
          <w:cantSplit/>
        </w:trPr>
        <w:tc>
          <w:tcPr>
            <w:tcW w:type="dxa" w:w="1814"/>
            <w:vAlign w:val="top"/>
            <w:shd w:fill="F1F5F7"/>
            <w:tcMar>
              <w:top w:w="65" w:type="dxa"/>
              <w:left w:w="95" w:type="dxa"/>
              <w:bottom w:w="65" w:type="dxa"/>
              <w:right w:w="95" w:type="dxa"/>
            </w:tcMar>
          </w:tcPr>
          <w:p>
            <w:pPr>
              <w:pStyle w:val="TableText"/>
            </w:pPr>
            <w:r>
              <w:rPr>
                <w:rFonts w:ascii="Arial" w:hAnsi="Arial"/>
                <w:b/>
              </w:rPr>
              <w:t>G = A + 4 ans</w:t>
            </w:r>
          </w:p>
        </w:tc>
        <w:tc>
          <w:tcPr>
            <w:tcW w:type="dxa" w:w="8050"/>
            <w:vAlign w:val="top"/>
            <w:shd w:fill="F1F5F7"/>
            <w:tcMar>
              <w:top w:w="65" w:type="dxa"/>
              <w:left w:w="95" w:type="dxa"/>
              <w:bottom w:w="65" w:type="dxa"/>
              <w:right w:w="95" w:type="dxa"/>
            </w:tcMar>
          </w:tcPr>
          <w:p>
            <w:pPr>
              <w:pStyle w:val="TableText"/>
            </w:pPr>
            <w:r>
              <w:rPr>
                <w:rFonts w:ascii="Arial" w:hAnsi="Arial"/>
                <w:b w:val="0"/>
              </w:rPr>
              <w:t>Le scientifique de l’histoire-source découvre Orthe et s’engage auprès de ses habitants.</w:t>
            </w:r>
          </w:p>
        </w:tc>
      </w:tr>
      <w:tr>
        <w:trPr>
          <w:cantSplit/>
        </w:trPr>
        <w:tc>
          <w:tcPr>
            <w:tcW w:type="dxa" w:w="1814"/>
            <w:vAlign w:val="top"/>
            <w:shd w:fill="FFFFFF"/>
            <w:tcMar>
              <w:top w:w="65" w:type="dxa"/>
              <w:left w:w="95" w:type="dxa"/>
              <w:bottom w:w="65" w:type="dxa"/>
              <w:right w:w="95" w:type="dxa"/>
            </w:tcMar>
          </w:tcPr>
          <w:p>
            <w:pPr>
              <w:pStyle w:val="TableText"/>
            </w:pPr>
            <w:r>
              <w:rPr>
                <w:rFonts w:ascii="Arial" w:hAnsi="Arial"/>
                <w:b/>
              </w:rPr>
              <w:t>Z = A + 14 ans</w:t>
            </w:r>
          </w:p>
        </w:tc>
        <w:tc>
          <w:tcPr>
            <w:tcW w:type="dxa" w:w="8050"/>
            <w:vAlign w:val="top"/>
            <w:shd w:fill="FFFFFF"/>
            <w:tcMar>
              <w:top w:w="65" w:type="dxa"/>
              <w:left w:w="95" w:type="dxa"/>
              <w:bottom w:w="65" w:type="dxa"/>
              <w:right w:w="95" w:type="dxa"/>
            </w:tcMar>
          </w:tcPr>
          <w:p>
            <w:pPr>
              <w:pStyle w:val="TableText"/>
            </w:pPr>
            <w:r>
              <w:rPr>
                <w:rFonts w:ascii="Arial" w:hAnsi="Arial"/>
                <w:b w:val="0"/>
              </w:rPr>
              <w:t>Le scientifique est assassiné ; Séveran prend sa machine et ouvre la fenêtre vers A₁.</w:t>
            </w:r>
          </w:p>
        </w:tc>
      </w:tr>
      <w:tr>
        <w:trPr>
          <w:cantSplit/>
        </w:trPr>
        <w:tc>
          <w:tcPr>
            <w:tcW w:type="dxa" w:w="1814"/>
            <w:vAlign w:val="top"/>
            <w:shd w:fill="F1F5F7"/>
            <w:tcMar>
              <w:top w:w="65" w:type="dxa"/>
              <w:left w:w="95" w:type="dxa"/>
              <w:bottom w:w="65" w:type="dxa"/>
              <w:right w:w="95" w:type="dxa"/>
            </w:tcMar>
          </w:tcPr>
          <w:p>
            <w:pPr>
              <w:pStyle w:val="TableText"/>
            </w:pPr>
            <w:r>
              <w:rPr>
                <w:rFonts w:ascii="Arial" w:hAnsi="Arial"/>
                <w:b/>
              </w:rPr>
              <w:t>J = Z à Z + 9 mois</w:t>
            </w:r>
          </w:p>
        </w:tc>
        <w:tc>
          <w:tcPr>
            <w:tcW w:type="dxa" w:w="8050"/>
            <w:vAlign w:val="top"/>
            <w:shd w:fill="F1F5F7"/>
            <w:tcMar>
              <w:top w:w="65" w:type="dxa"/>
              <w:left w:w="95" w:type="dxa"/>
              <w:bottom w:w="65" w:type="dxa"/>
              <w:right w:w="95" w:type="dxa"/>
            </w:tcMar>
          </w:tcPr>
          <w:p>
            <w:pPr>
              <w:pStyle w:val="TableText"/>
            </w:pPr>
            <w:r>
              <w:rPr>
                <w:rFonts w:ascii="Arial" w:hAnsi="Arial"/>
                <w:b w:val="0"/>
              </w:rPr>
              <w:t>Temps indicatif de l’aventure jouée sur Orthe. La durée exacte reste ajustable.</w:t>
            </w:r>
          </w:p>
        </w:tc>
      </w:tr>
      <w:tr>
        <w:trPr>
          <w:cantSplit/>
        </w:trPr>
        <w:tc>
          <w:tcPr>
            <w:tcW w:type="dxa" w:w="1814"/>
            <w:vAlign w:val="top"/>
            <w:shd w:fill="FFFFFF"/>
            <w:tcMar>
              <w:top w:w="65" w:type="dxa"/>
              <w:left w:w="95" w:type="dxa"/>
              <w:bottom w:w="65" w:type="dxa"/>
              <w:right w:w="95" w:type="dxa"/>
            </w:tcMar>
          </w:tcPr>
          <w:p>
            <w:pPr>
              <w:pStyle w:val="TableText"/>
            </w:pPr>
            <w:r>
              <w:rPr>
                <w:rFonts w:ascii="Arial" w:hAnsi="Arial"/>
                <w:b/>
              </w:rPr>
              <w:t>H₀ / H₁</w:t>
            </w:r>
          </w:p>
        </w:tc>
        <w:tc>
          <w:tcPr>
            <w:tcW w:type="dxa" w:w="8050"/>
            <w:vAlign w:val="top"/>
            <w:shd w:fill="FFFFFF"/>
            <w:tcMar>
              <w:top w:w="65" w:type="dxa"/>
              <w:left w:w="95" w:type="dxa"/>
              <w:bottom w:w="65" w:type="dxa"/>
              <w:right w:w="95" w:type="dxa"/>
            </w:tcMar>
          </w:tcPr>
          <w:p>
            <w:pPr>
              <w:pStyle w:val="TableText"/>
            </w:pPr>
            <w:r>
              <w:rPr>
                <w:rFonts w:ascii="Arial" w:hAnsi="Arial"/>
                <w:b w:val="0"/>
              </w:rPr>
              <w:t>H₀ est le scientifique de l’histoire-source, mort en Z. H₁ est le protagoniste joué, issu de A₁.</w:t>
            </w:r>
          </w:p>
        </w:tc>
      </w:tr>
      <w:tr>
        <w:trPr>
          <w:cantSplit/>
        </w:trPr>
        <w:tc>
          <w:tcPr>
            <w:tcW w:type="dxa" w:w="1814"/>
            <w:vAlign w:val="top"/>
            <w:shd w:fill="F1F5F7"/>
            <w:tcMar>
              <w:top w:w="65" w:type="dxa"/>
              <w:left w:w="95" w:type="dxa"/>
              <w:bottom w:w="65" w:type="dxa"/>
              <w:right w:w="95" w:type="dxa"/>
            </w:tcMar>
          </w:tcPr>
          <w:p>
            <w:pPr>
              <w:pStyle w:val="TableText"/>
            </w:pPr>
            <w:r>
              <w:rPr>
                <w:rFonts w:ascii="Arial" w:hAnsi="Arial"/>
                <w:b/>
              </w:rPr>
              <w:t>C₀ / C₁</w:t>
            </w:r>
          </w:p>
        </w:tc>
        <w:tc>
          <w:tcPr>
            <w:tcW w:type="dxa" w:w="8050"/>
            <w:vAlign w:val="top"/>
            <w:shd w:fill="F1F5F7"/>
            <w:tcMar>
              <w:top w:w="65" w:type="dxa"/>
              <w:left w:w="95" w:type="dxa"/>
              <w:bottom w:w="65" w:type="dxa"/>
              <w:right w:w="95" w:type="dxa"/>
            </w:tcMar>
          </w:tcPr>
          <w:p>
            <w:pPr>
              <w:pStyle w:val="TableText"/>
            </w:pPr>
            <w:r>
              <w:rPr>
                <w:rFonts w:ascii="Arial" w:hAnsi="Arial"/>
                <w:b w:val="0"/>
              </w:rPr>
              <w:t>C₀ est le partenaire de l’histoire-source, mort avant Z. C₁ est le partenaire du prologue, que l’on cherche à sauver.</w:t>
            </w:r>
          </w:p>
        </w:tc>
      </w:tr>
    </w:tbl>
    <w:p>
      <w:pPr>
        <w:spacing w:after="0"/>
      </w:pPr>
    </w:p>
    <w:p>
      <w:r>
        <w:rPr>
          <w:rFonts w:ascii="Arial" w:hAnsi="Arial"/>
          <w:b w:val="0"/>
        </w:rPr>
        <w:t xml:space="preserve">Le choix homme/femme s’applique aux </w:t>
      </w:r>
      <w:r>
        <w:rPr>
          <w:rFonts w:ascii="Arial" w:hAnsi="Arial"/>
          <w:b/>
        </w:rPr>
        <w:t>rôles</w:t>
      </w:r>
      <w:r>
        <w:rPr>
          <w:rFonts w:ascii="Arial" w:hAnsi="Arial"/>
          <w:b w:val="0"/>
        </w:rPr>
        <w:t>, pas à deux intrigues : le personnage choisi est toujours H ; l’autre personnage du couple est toujours C. Toutes les versions temporelles respectent ce choix.</w:t>
      </w:r>
    </w:p>
    <w:p>
      <w:r>
        <w:br w:type="page"/>
      </w:r>
    </w:p>
    <w:p>
      <w:pPr>
        <w:spacing w:after="60"/>
      </w:pPr>
      <w:r>
        <w:rPr>
          <w:rFonts w:ascii="Arial" w:hAnsi="Arial"/>
          <w:b/>
          <w:color w:val="677784"/>
          <w:sz w:val="16"/>
        </w:rPr>
        <w:t>REGISTRE DES DÉCISIONS PROPOSÉES</w:t>
      </w:r>
    </w:p>
    <w:p>
      <w:bookmarkStart w:id="3" w:name="section_03"/>
      <w:pPr>
        <w:pStyle w:val="Heading1"/>
      </w:pPr>
      <w:r>
        <w:t>02 — Bases conservées et changements</w:t>
      </w:r>
      <w:bookmarkEnd w:id="3"/>
    </w:p>
    <w:tbl>
      <w:tblPr>
        <w:tblW w:type="auto" w:w="0"/>
        <w:jc w:val="center"/>
        <w:tblLayout w:type="fixed"/>
        <w:tblLook w:firstColumn="1" w:firstRow="1" w:lastColumn="0" w:lastRow="0" w:noHBand="0" w:noVBand="1" w:val="04A0"/>
      </w:tblPr>
      <w:tblGrid>
        <w:gridCol w:w="2353"/>
        <w:gridCol w:w="7512"/>
      </w:tblGrid>
      <w:tr>
        <w:trPr>
          <w:tblHeader/>
        </w:trPr>
        <w:tc>
          <w:tcPr>
            <w:tcW w:type="dxa" w:w="2353"/>
            <w:vAlign w:val="center"/>
            <w:shd w:fill="253A52"/>
            <w:tcMar>
              <w:top w:w="65" w:type="dxa"/>
              <w:left w:w="95" w:type="dxa"/>
              <w:bottom w:w="65" w:type="dxa"/>
              <w:right w:w="95" w:type="dxa"/>
            </w:tcMar>
          </w:tcPr>
          <w:p>
            <w:pPr>
              <w:pStyle w:val="TableText"/>
            </w:pPr>
            <w:r>
              <w:rPr>
                <w:rFonts w:ascii="Arial" w:hAnsi="Arial"/>
                <w:b/>
                <w:color w:val="FFFFFF"/>
              </w:rPr>
              <w:t>Élément</w:t>
            </w:r>
          </w:p>
        </w:tc>
        <w:tc>
          <w:tcPr>
            <w:tcW w:type="dxa" w:w="7512"/>
            <w:vAlign w:val="center"/>
            <w:shd w:fill="253A52"/>
            <w:tcMar>
              <w:top w:w="65" w:type="dxa"/>
              <w:left w:w="95" w:type="dxa"/>
              <w:bottom w:w="65" w:type="dxa"/>
              <w:right w:w="95" w:type="dxa"/>
            </w:tcMar>
          </w:tcPr>
          <w:p>
            <w:pPr>
              <w:pStyle w:val="TableText"/>
            </w:pPr>
            <w:r>
              <w:rPr>
                <w:rFonts w:ascii="Arial" w:hAnsi="Arial"/>
                <w:b/>
                <w:color w:val="FFFFFF"/>
              </w:rPr>
              <w:t>Traitement de la version 1.0</w:t>
            </w:r>
          </w:p>
        </w:tc>
      </w:tr>
      <w:tr>
        <w:trPr>
          <w:cantSplit/>
        </w:trPr>
        <w:tc>
          <w:tcPr>
            <w:tcW w:type="dxa" w:w="2353"/>
            <w:vAlign w:val="top"/>
            <w:shd w:fill="F1F5F7"/>
            <w:tcMar>
              <w:top w:w="65" w:type="dxa"/>
              <w:left w:w="95" w:type="dxa"/>
              <w:bottom w:w="65" w:type="dxa"/>
              <w:right w:w="95" w:type="dxa"/>
            </w:tcMar>
          </w:tcPr>
          <w:p>
            <w:pPr>
              <w:pStyle w:val="TableText"/>
            </w:pPr>
            <w:r>
              <w:rPr>
                <w:rFonts w:ascii="Arial" w:hAnsi="Arial"/>
                <w:b w:val="0"/>
              </w:rPr>
              <w:t>Monde des Origines</w:t>
            </w:r>
          </w:p>
        </w:tc>
        <w:tc>
          <w:tcPr>
            <w:tcW w:type="dxa" w:w="7512"/>
            <w:vAlign w:val="top"/>
            <w:shd w:fill="F1F5F7"/>
            <w:tcMar>
              <w:top w:w="65" w:type="dxa"/>
              <w:left w:w="95" w:type="dxa"/>
              <w:bottom w:w="65" w:type="dxa"/>
              <w:right w:w="95" w:type="dxa"/>
            </w:tcMar>
          </w:tcPr>
          <w:p>
            <w:pPr>
              <w:pStyle w:val="TableText"/>
            </w:pPr>
            <w:r>
              <w:rPr>
                <w:rFonts w:ascii="Arial" w:hAnsi="Arial"/>
                <w:b w:val="0"/>
              </w:rPr>
              <w:t>Conservé et central. Une planète réelle, avec des peuples, une histoire antérieure au héros et des conflits autonomes.</w:t>
            </w:r>
          </w:p>
        </w:tc>
      </w:tr>
      <w:tr>
        <w:trPr>
          <w:cantSplit/>
        </w:trPr>
        <w:tc>
          <w:tcPr>
            <w:tcW w:type="dxa" w:w="2353"/>
            <w:vAlign w:val="top"/>
            <w:shd w:fill="FFFFFF"/>
            <w:tcMar>
              <w:top w:w="65" w:type="dxa"/>
              <w:left w:w="95" w:type="dxa"/>
              <w:bottom w:w="65" w:type="dxa"/>
              <w:right w:w="95" w:type="dxa"/>
            </w:tcMar>
          </w:tcPr>
          <w:p>
            <w:pPr>
              <w:pStyle w:val="TableText"/>
            </w:pPr>
            <w:r>
              <w:rPr>
                <w:rFonts w:ascii="Arial" w:hAnsi="Arial"/>
                <w:b w:val="0"/>
              </w:rPr>
              <w:t>Un seul univers</w:t>
            </w:r>
          </w:p>
        </w:tc>
        <w:tc>
          <w:tcPr>
            <w:tcW w:type="dxa" w:w="7512"/>
            <w:vAlign w:val="top"/>
            <w:shd w:fill="FFFFFF"/>
            <w:tcMar>
              <w:top w:w="65" w:type="dxa"/>
              <w:left w:w="95" w:type="dxa"/>
              <w:bottom w:w="65" w:type="dxa"/>
              <w:right w:w="95" w:type="dxa"/>
            </w:tcMar>
          </w:tcPr>
          <w:p>
            <w:pPr>
              <w:pStyle w:val="TableText"/>
            </w:pPr>
            <w:r>
              <w:rPr>
                <w:rFonts w:ascii="Arial" w:hAnsi="Arial"/>
                <w:b w:val="0"/>
              </w:rPr>
              <w:t>Conservé. Sélis, Orthe et les autres destinations sont des mondes du même cosmos. Les fenêtres temporelles ne sont pas des univers supplémentaires.</w:t>
            </w:r>
          </w:p>
        </w:tc>
      </w:tr>
      <w:tr>
        <w:trPr>
          <w:cantSplit/>
        </w:trPr>
        <w:tc>
          <w:tcPr>
            <w:tcW w:type="dxa" w:w="2353"/>
            <w:vAlign w:val="top"/>
            <w:shd w:fill="F1F5F7"/>
            <w:tcMar>
              <w:top w:w="65" w:type="dxa"/>
              <w:left w:w="95" w:type="dxa"/>
              <w:bottom w:w="65" w:type="dxa"/>
              <w:right w:w="95" w:type="dxa"/>
            </w:tcMar>
          </w:tcPr>
          <w:p>
            <w:pPr>
              <w:pStyle w:val="TableText"/>
            </w:pPr>
            <w:r>
              <w:rPr>
                <w:rFonts w:ascii="Arial" w:hAnsi="Arial"/>
                <w:b w:val="0"/>
              </w:rPr>
              <w:t>Couple déjà formé en A</w:t>
            </w:r>
          </w:p>
        </w:tc>
        <w:tc>
          <w:tcPr>
            <w:tcW w:type="dxa" w:w="7512"/>
            <w:vAlign w:val="top"/>
            <w:shd w:fill="F1F5F7"/>
            <w:tcMar>
              <w:top w:w="65" w:type="dxa"/>
              <w:left w:w="95" w:type="dxa"/>
              <w:bottom w:w="65" w:type="dxa"/>
              <w:right w:w="95" w:type="dxa"/>
            </w:tcMar>
          </w:tcPr>
          <w:p>
            <w:pPr>
              <w:pStyle w:val="TableText"/>
            </w:pPr>
            <w:r>
              <w:rPr>
                <w:rFonts w:ascii="Arial" w:hAnsi="Arial"/>
                <w:b w:val="0"/>
              </w:rPr>
              <w:t>Conservé. Le prologue doit montrer une relation vécue, pas annoncer uniquement qu’un personnage sera triste après une mort.</w:t>
            </w:r>
          </w:p>
        </w:tc>
      </w:tr>
      <w:tr>
        <w:trPr>
          <w:cantSplit/>
        </w:trPr>
        <w:tc>
          <w:tcPr>
            <w:tcW w:type="dxa" w:w="2353"/>
            <w:vAlign w:val="top"/>
            <w:shd w:fill="FFFFFF"/>
            <w:tcMar>
              <w:top w:w="65" w:type="dxa"/>
              <w:left w:w="95" w:type="dxa"/>
              <w:bottom w:w="65" w:type="dxa"/>
              <w:right w:w="95" w:type="dxa"/>
            </w:tcMar>
          </w:tcPr>
          <w:p>
            <w:pPr>
              <w:pStyle w:val="TableText"/>
            </w:pPr>
            <w:r>
              <w:rPr>
                <w:rFonts w:ascii="Arial" w:hAnsi="Arial"/>
                <w:b w:val="0"/>
              </w:rPr>
              <w:t>Partenaire qui s’interpose</w:t>
            </w:r>
          </w:p>
        </w:tc>
        <w:tc>
          <w:tcPr>
            <w:tcW w:type="dxa" w:w="7512"/>
            <w:vAlign w:val="top"/>
            <w:shd w:fill="FFFFFF"/>
            <w:tcMar>
              <w:top w:w="65" w:type="dxa"/>
              <w:left w:w="95" w:type="dxa"/>
              <w:bottom w:w="65" w:type="dxa"/>
              <w:right w:w="95" w:type="dxa"/>
            </w:tcMar>
          </w:tcPr>
          <w:p>
            <w:pPr>
              <w:pStyle w:val="TableText"/>
            </w:pPr>
            <w:r>
              <w:rPr>
                <w:rFonts w:ascii="Arial" w:hAnsi="Arial"/>
                <w:b w:val="0"/>
              </w:rPr>
              <w:t>Conservé. L’ennemi vise H ; C fait un choix actif et utilise une défense limitée avant d’être frappé.</w:t>
            </w:r>
          </w:p>
        </w:tc>
      </w:tr>
      <w:tr>
        <w:trPr>
          <w:cantSplit/>
        </w:trPr>
        <w:tc>
          <w:tcPr>
            <w:tcW w:type="dxa" w:w="2353"/>
            <w:vAlign w:val="top"/>
            <w:shd w:fill="F1F5F7"/>
            <w:tcMar>
              <w:top w:w="65" w:type="dxa"/>
              <w:left w:w="95" w:type="dxa"/>
              <w:bottom w:w="65" w:type="dxa"/>
              <w:right w:w="95" w:type="dxa"/>
            </w:tcMar>
          </w:tcPr>
          <w:p>
            <w:pPr>
              <w:pStyle w:val="TableText"/>
            </w:pPr>
            <w:r>
              <w:rPr>
                <w:rFonts w:ascii="Arial" w:hAnsi="Arial"/>
                <w:b w:val="0"/>
              </w:rPr>
              <w:t>Envoyé des Origines</w:t>
            </w:r>
          </w:p>
        </w:tc>
        <w:tc>
          <w:tcPr>
            <w:tcW w:type="dxa" w:w="7512"/>
            <w:vAlign w:val="top"/>
            <w:shd w:fill="F1F5F7"/>
            <w:tcMar>
              <w:top w:w="65" w:type="dxa"/>
              <w:left w:w="95" w:type="dxa"/>
              <w:bottom w:w="65" w:type="dxa"/>
              <w:right w:w="95" w:type="dxa"/>
            </w:tcMar>
          </w:tcPr>
          <w:p>
            <w:pPr>
              <w:pStyle w:val="TableText"/>
            </w:pPr>
            <w:r>
              <w:rPr>
                <w:rFonts w:ascii="Arial" w:hAnsi="Arial"/>
                <w:b w:val="0"/>
              </w:rPr>
              <w:t>Conservé pour C. Sa mission antérieure est réelle. La relation amoureuse commence entre adultes, après une rencontre personnelle distincte de la mission.</w:t>
            </w:r>
          </w:p>
        </w:tc>
      </w:tr>
      <w:tr>
        <w:trPr>
          <w:cantSplit/>
        </w:trPr>
        <w:tc>
          <w:tcPr>
            <w:tcW w:type="dxa" w:w="2353"/>
            <w:vAlign w:val="top"/>
            <w:shd w:fill="FFFFFF"/>
            <w:tcMar>
              <w:top w:w="65" w:type="dxa"/>
              <w:left w:w="95" w:type="dxa"/>
              <w:bottom w:w="65" w:type="dxa"/>
              <w:right w:w="95" w:type="dxa"/>
            </w:tcMar>
          </w:tcPr>
          <w:p>
            <w:pPr>
              <w:pStyle w:val="TableText"/>
            </w:pPr>
            <w:r>
              <w:rPr>
                <w:rFonts w:ascii="Arial" w:hAnsi="Arial"/>
                <w:b w:val="0"/>
              </w:rPr>
              <w:t>Habitants qui connaissent H</w:t>
            </w:r>
          </w:p>
        </w:tc>
        <w:tc>
          <w:tcPr>
            <w:tcW w:type="dxa" w:w="7512"/>
            <w:vAlign w:val="top"/>
            <w:shd w:fill="FFFFFF"/>
            <w:tcMar>
              <w:top w:w="65" w:type="dxa"/>
              <w:left w:w="95" w:type="dxa"/>
              <w:bottom w:w="65" w:type="dxa"/>
              <w:right w:w="95" w:type="dxa"/>
            </w:tcMar>
          </w:tcPr>
          <w:p>
            <w:pPr>
              <w:pStyle w:val="TableText"/>
            </w:pPr>
            <w:r>
              <w:rPr>
                <w:rFonts w:ascii="Arial" w:hAnsi="Arial"/>
                <w:b w:val="0"/>
              </w:rPr>
              <w:t>Conservé. Ils ont connu H₀ entre G et Z. Cette information est donnée tôt ; seule l’histoire complète de ses choix reste à découvrir.</w:t>
            </w:r>
          </w:p>
        </w:tc>
      </w:tr>
      <w:tr>
        <w:trPr>
          <w:cantSplit/>
        </w:trPr>
        <w:tc>
          <w:tcPr>
            <w:tcW w:type="dxa" w:w="2353"/>
            <w:vAlign w:val="top"/>
            <w:shd w:fill="F1F5F7"/>
            <w:tcMar>
              <w:top w:w="65" w:type="dxa"/>
              <w:left w:w="95" w:type="dxa"/>
              <w:bottom w:w="65" w:type="dxa"/>
              <w:right w:w="95" w:type="dxa"/>
            </w:tcMar>
          </w:tcPr>
          <w:p>
            <w:pPr>
              <w:pStyle w:val="TableText"/>
            </w:pPr>
            <w:r>
              <w:rPr>
                <w:rFonts w:ascii="Arial" w:hAnsi="Arial"/>
                <w:b w:val="0"/>
              </w:rPr>
              <w:t>Gacha par restitution des pouvoirs</w:t>
            </w:r>
          </w:p>
        </w:tc>
        <w:tc>
          <w:tcPr>
            <w:tcW w:type="dxa" w:w="7512"/>
            <w:vAlign w:val="top"/>
            <w:shd w:fill="F1F5F7"/>
            <w:tcMar>
              <w:top w:w="65" w:type="dxa"/>
              <w:left w:w="95" w:type="dxa"/>
              <w:bottom w:w="65" w:type="dxa"/>
              <w:right w:w="95" w:type="dxa"/>
            </w:tcMar>
          </w:tcPr>
          <w:p>
            <w:pPr>
              <w:pStyle w:val="TableText"/>
            </w:pPr>
            <w:r>
              <w:rPr>
                <w:rFonts w:ascii="Arial" w:hAnsi="Arial"/>
                <w:b w:val="0"/>
              </w:rPr>
              <w:t>Conservé, mais séparé du sauvetage narratif : on restaure des alliés dans l’histoire ; les tirages stabilisent leur accord de combat.</w:t>
            </w:r>
          </w:p>
        </w:tc>
      </w:tr>
      <w:tr>
        <w:trPr>
          <w:cantSplit/>
        </w:trPr>
        <w:tc>
          <w:tcPr>
            <w:tcW w:type="dxa" w:w="2353"/>
            <w:vAlign w:val="top"/>
            <w:shd w:fill="FFFFFF"/>
            <w:tcMar>
              <w:top w:w="65" w:type="dxa"/>
              <w:left w:w="95" w:type="dxa"/>
              <w:bottom w:w="65" w:type="dxa"/>
              <w:right w:w="95" w:type="dxa"/>
            </w:tcMar>
          </w:tcPr>
          <w:p>
            <w:pPr>
              <w:pStyle w:val="TableText"/>
            </w:pPr>
            <w:r>
              <w:rPr>
                <w:rFonts w:ascii="Arial" w:hAnsi="Arial"/>
                <w:b w:val="0"/>
              </w:rPr>
              <w:t>IA à reconstruire</w:t>
            </w:r>
          </w:p>
        </w:tc>
        <w:tc>
          <w:tcPr>
            <w:tcW w:type="dxa" w:w="7512"/>
            <w:vAlign w:val="top"/>
            <w:shd w:fill="FFFFFF"/>
            <w:tcMar>
              <w:top w:w="65" w:type="dxa"/>
              <w:left w:w="95" w:type="dxa"/>
              <w:bottom w:w="65" w:type="dxa"/>
              <w:right w:w="95" w:type="dxa"/>
            </w:tcMar>
          </w:tcPr>
          <w:p>
            <w:pPr>
              <w:pStyle w:val="TableText"/>
            </w:pPr>
            <w:r>
              <w:rPr>
                <w:rFonts w:ascii="Arial" w:hAnsi="Arial"/>
                <w:b w:val="0"/>
              </w:rPr>
              <w:t>Conservé. Nacre possède un noyau intact et des modules réellement endommagés. Elle ne cache pas volontairement ce qu’elle sait.</w:t>
            </w:r>
          </w:p>
        </w:tc>
      </w:tr>
      <w:tr>
        <w:trPr>
          <w:cantSplit/>
        </w:trPr>
        <w:tc>
          <w:tcPr>
            <w:tcW w:type="dxa" w:w="2353"/>
            <w:vAlign w:val="top"/>
            <w:shd w:fill="F1F5F7"/>
            <w:tcMar>
              <w:top w:w="65" w:type="dxa"/>
              <w:left w:w="95" w:type="dxa"/>
              <w:bottom w:w="65" w:type="dxa"/>
              <w:right w:w="95" w:type="dxa"/>
            </w:tcMar>
          </w:tcPr>
          <w:p>
            <w:pPr>
              <w:pStyle w:val="TableText"/>
            </w:pPr>
            <w:r>
              <w:rPr>
                <w:rFonts w:ascii="Arial" w:hAnsi="Arial"/>
                <w:b w:val="0"/>
              </w:rPr>
              <w:t>Univers détruit puis recréé</w:t>
            </w:r>
          </w:p>
        </w:tc>
        <w:tc>
          <w:tcPr>
            <w:tcW w:type="dxa" w:w="7512"/>
            <w:vAlign w:val="top"/>
            <w:shd w:fill="F1F5F7"/>
            <w:tcMar>
              <w:top w:w="65" w:type="dxa"/>
              <w:left w:w="95" w:type="dxa"/>
              <w:bottom w:w="65" w:type="dxa"/>
              <w:right w:w="95" w:type="dxa"/>
            </w:tcMar>
          </w:tcPr>
          <w:p>
            <w:pPr>
              <w:pStyle w:val="TableText"/>
            </w:pPr>
            <w:r>
              <w:rPr>
                <w:rFonts w:ascii="Arial" w:hAnsi="Arial"/>
                <w:b w:val="0"/>
              </w:rPr>
              <w:t>Retiré de cet arc. L’enjeu final devient empêcher la confiscation du futur. La conclusion ne réinitialise ni les peuples ni les conséquences de la guerre.</w:t>
            </w:r>
          </w:p>
        </w:tc>
      </w:tr>
      <w:tr>
        <w:trPr>
          <w:cantSplit/>
        </w:trPr>
        <w:tc>
          <w:tcPr>
            <w:tcW w:type="dxa" w:w="2353"/>
            <w:vAlign w:val="top"/>
            <w:shd w:fill="FFFFFF"/>
            <w:tcMar>
              <w:top w:w="65" w:type="dxa"/>
              <w:left w:w="95" w:type="dxa"/>
              <w:bottom w:w="65" w:type="dxa"/>
              <w:right w:w="95" w:type="dxa"/>
            </w:tcMar>
          </w:tcPr>
          <w:p>
            <w:pPr>
              <w:pStyle w:val="TableText"/>
            </w:pPr>
            <w:r>
              <w:rPr>
                <w:rFonts w:ascii="Arial" w:hAnsi="Arial"/>
                <w:b w:val="0"/>
              </w:rPr>
              <w:t>Héros-monstre du futur</w:t>
            </w:r>
          </w:p>
        </w:tc>
        <w:tc>
          <w:tcPr>
            <w:tcW w:type="dxa" w:w="7512"/>
            <w:vAlign w:val="top"/>
            <w:shd w:fill="FFFFFF"/>
            <w:tcMar>
              <w:top w:w="65" w:type="dxa"/>
              <w:left w:w="95" w:type="dxa"/>
              <w:bottom w:w="65" w:type="dxa"/>
              <w:right w:w="95" w:type="dxa"/>
            </w:tcMar>
          </w:tcPr>
          <w:p>
            <w:pPr>
              <w:pStyle w:val="TableText"/>
            </w:pPr>
            <w:r>
              <w:rPr>
                <w:rFonts w:ascii="Arial" w:hAnsi="Arial"/>
                <w:b w:val="0"/>
              </w:rPr>
              <w:t>Non retenu comme identité de l’ennemi principal. H₀ a toutefois compromis ses idéaux et contribué à l’empire : on garde la responsabilité morale sans ajouter un troisième futur.</w:t>
            </w:r>
          </w:p>
        </w:tc>
      </w:tr>
      <w:tr>
        <w:trPr>
          <w:cantSplit/>
        </w:trPr>
        <w:tc>
          <w:tcPr>
            <w:tcW w:type="dxa" w:w="2353"/>
            <w:vAlign w:val="top"/>
            <w:shd w:fill="F1F5F7"/>
            <w:tcMar>
              <w:top w:w="65" w:type="dxa"/>
              <w:left w:w="95" w:type="dxa"/>
              <w:bottom w:w="65" w:type="dxa"/>
              <w:right w:w="95" w:type="dxa"/>
            </w:tcMar>
          </w:tcPr>
          <w:p>
            <w:pPr>
              <w:pStyle w:val="TableText"/>
            </w:pPr>
            <w:r>
              <w:rPr>
                <w:rFonts w:ascii="Arial" w:hAnsi="Arial"/>
                <w:b w:val="0"/>
              </w:rPr>
              <w:t>Mort imposée du futur H</w:t>
            </w:r>
          </w:p>
        </w:tc>
        <w:tc>
          <w:tcPr>
            <w:tcW w:type="dxa" w:w="7512"/>
            <w:vAlign w:val="top"/>
            <w:shd w:fill="F1F5F7"/>
            <w:tcMar>
              <w:top w:w="65" w:type="dxa"/>
              <w:left w:w="95" w:type="dxa"/>
              <w:bottom w:w="65" w:type="dxa"/>
              <w:right w:w="95" w:type="dxa"/>
            </w:tcMar>
          </w:tcPr>
          <w:p>
            <w:pPr>
              <w:pStyle w:val="TableText"/>
            </w:pPr>
            <w:r>
              <w:rPr>
                <w:rFonts w:ascii="Arial" w:hAnsi="Arial"/>
                <w:b w:val="0"/>
              </w:rPr>
              <w:t>H₀ est déjà mort. On n’affirme pas que H₁ doit le laisser mourir pour exister : les événements de l’histoire-source ne sont pas réécrits.</w:t>
            </w:r>
          </w:p>
        </w:tc>
      </w:tr>
      <w:tr>
        <w:trPr>
          <w:cantSplit/>
        </w:trPr>
        <w:tc>
          <w:tcPr>
            <w:tcW w:type="dxa" w:w="2353"/>
            <w:vAlign w:val="top"/>
            <w:shd w:fill="FFFFFF"/>
            <w:tcMar>
              <w:top w:w="65" w:type="dxa"/>
              <w:left w:w="95" w:type="dxa"/>
              <w:bottom w:w="65" w:type="dxa"/>
              <w:right w:w="95" w:type="dxa"/>
            </w:tcMar>
          </w:tcPr>
          <w:p>
            <w:pPr>
              <w:pStyle w:val="TableText"/>
            </w:pPr>
            <w:r>
              <w:rPr>
                <w:rFonts w:ascii="Arial" w:hAnsi="Arial"/>
                <w:b w:val="0"/>
              </w:rPr>
              <w:t>Héros maître du monde</w:t>
            </w:r>
          </w:p>
        </w:tc>
        <w:tc>
          <w:tcPr>
            <w:tcW w:type="dxa" w:w="7512"/>
            <w:vAlign w:val="top"/>
            <w:shd w:fill="FFFFFF"/>
            <w:tcMar>
              <w:top w:w="65" w:type="dxa"/>
              <w:left w:w="95" w:type="dxa"/>
              <w:bottom w:w="65" w:type="dxa"/>
              <w:right w:w="95" w:type="dxa"/>
            </w:tcMar>
          </w:tcPr>
          <w:p>
            <w:pPr>
              <w:pStyle w:val="TableText"/>
            </w:pPr>
            <w:r>
              <w:rPr>
                <w:rFonts w:ascii="Arial" w:hAnsi="Arial"/>
                <w:b w:val="0"/>
              </w:rPr>
              <w:t>Remplacé par un rôle de gardien des passages sous contrôle partagé. Il refuse un pouvoir souverain qui reproduirait celui de l’ennemi.</w:t>
            </w:r>
          </w:p>
        </w:tc>
      </w:tr>
    </w:tbl>
    <w:p>
      <w:pPr>
        <w:spacing w:after="0"/>
      </w:pPr>
    </w:p>
    <w:p>
      <w:r>
        <w:rPr>
          <w:rFonts w:ascii="Arial" w:hAnsi="Arial"/>
          <w:b/>
        </w:rPr>
        <w:t>Pourquoi ces écarts ?</w:t>
      </w:r>
      <w:r>
        <w:rPr>
          <w:rFonts w:ascii="Arial" w:hAnsi="Arial"/>
          <w:b w:val="0"/>
        </w:rPr>
        <w:t xml:space="preserve"> Une intrigue unique gagne ici en lisibilité : sauver une personne sans nier les autres, apprendre à aider sans posséder, puis distinguer l’identité héritée des choix réellement accomplis.</w:t>
      </w:r>
    </w:p>
    <w:p>
      <w:r>
        <w:br w:type="page"/>
      </w:r>
    </w:p>
    <w:p>
      <w:pPr>
        <w:spacing w:after="60"/>
      </w:pPr>
      <w:r>
        <w:rPr>
          <w:rFonts w:ascii="Arial" w:hAnsi="Arial"/>
          <w:b/>
          <w:color w:val="677784"/>
          <w:sz w:val="16"/>
        </w:rPr>
        <w:t>COSMOLOGIE ET HISTOIRE LONGUE</w:t>
      </w:r>
    </w:p>
    <w:p>
      <w:bookmarkStart w:id="4" w:name="section_04"/>
      <w:pPr>
        <w:pStyle w:val="Heading1"/>
      </w:pPr>
      <w:r>
        <w:t>03 — Le monde avant le héros</w:t>
      </w:r>
      <w:bookmarkEnd w:id="4"/>
    </w:p>
    <w:p>
      <w:pPr>
        <w:pStyle w:val="Heading2"/>
      </w:pPr>
      <w:r>
        <w:t>Orthe : origine, pas annexe</w:t>
      </w:r>
    </w:p>
    <w:p>
      <w:r>
        <w:rPr>
          <w:rFonts w:ascii="Arial" w:hAnsi="Arial"/>
          <w:b w:val="0"/>
        </w:rPr>
        <w:t>Dans la cosmologie fictive du jeu, l’univers s’est développé à partir d’un germe primordial. Les premières consciences ont stabilisé ce germe et ouvert ses possibilités d’expansion. Le reste matériel de cette structure est devenu Orthe. Les « Créateurs » ne vivaient donc pas sur une planète flottant dans un autre univers : Orthe est la transformation du berceau du cosmos en monde habitable.</w:t>
      </w:r>
    </w:p>
    <w:p>
      <w:r>
        <w:rPr>
          <w:rFonts w:ascii="Arial" w:hAnsi="Arial"/>
          <w:b w:val="0"/>
        </w:rPr>
        <w:t>Les civilisations actuelles n’ont pas tout créé elles-mêmes. Elles héritent de connaissances, d’infrastructures et de lignées provenant des premiers fondateurs. Les récits religieux simplifient souvent cette histoire ; les découvertes archéologiques en montrent les conflits et les erreurs.</w:t>
      </w:r>
    </w:p>
    <w:p>
      <w:pPr>
        <w:pStyle w:val="Heading2"/>
      </w:pPr>
      <w:r>
        <w:t>Deux héritages, aucune supériorité morale</w:t>
      </w:r>
    </w:p>
    <w:p>
      <w:r>
        <w:rPr>
          <w:rFonts w:ascii="Arial" w:hAnsi="Arial"/>
          <w:b w:val="0"/>
        </w:rPr>
        <w:t xml:space="preserve">Les humains ordinaires et les </w:t>
      </w:r>
      <w:r>
        <w:rPr>
          <w:rFonts w:ascii="Arial" w:hAnsi="Arial"/>
          <w:b/>
        </w:rPr>
        <w:t>Porteurs</w:t>
      </w:r>
      <w:r>
        <w:rPr>
          <w:rFonts w:ascii="Arial" w:hAnsi="Arial"/>
          <w:b w:val="0"/>
        </w:rPr>
        <w:t xml:space="preserve"> ont longtemps coexisté. Certains Porteurs peuvent interagir avec les lois locales grâce à un noyau biologique primordial. Leur corps ne vieillit plus après sa maturité, mais ils peuvent être blessés et tués. La mémoire, le consentement et la dignité ne sont pas réservés aux Porteurs.</w:t>
      </w:r>
    </w:p>
    <w:p>
      <w:r>
        <w:rPr>
          <w:rFonts w:ascii="Arial" w:hAnsi="Arial"/>
          <w:b w:val="0"/>
        </w:rPr>
        <w:t>Des migrations anciennes ont peuplé d’autres planètes. La majorité des descendants a perdu ou n’a jamais possédé de capacités de fondation. Le souvenir d’Orthe subsiste dans des langues, des contes, des symboles et quelques vestiges matériels. Ces traces permettent une enquête, pas une prophétie annonçant nécessairement H.</w:t>
      </w:r>
    </w:p>
    <w:p>
      <w:pPr>
        <w:pStyle w:val="Heading2"/>
      </w:pPr>
      <w:r>
        <w:t>La rupture politique</w:t>
      </w:r>
    </w:p>
    <w:p>
      <w:r>
        <w:rPr>
          <w:rFonts w:ascii="Arial" w:hAnsi="Arial"/>
          <w:b w:val="0"/>
        </w:rPr>
        <w:t xml:space="preserve">Après une guerre entre détenteurs de pouvoirs, Séveran revient de colonies extérieures avec le Concordat. Ancien régulateur, il promet une sécurité commune. Il obtient l’accès au réseau des Porteurs, puis transforme son dispositif de protection en système de confiscation : </w:t>
      </w:r>
      <w:r>
        <w:rPr>
          <w:rFonts w:ascii="Arial" w:hAnsi="Arial"/>
          <w:b/>
        </w:rPr>
        <w:t>le Grand Bâillon</w:t>
      </w:r>
      <w:r>
        <w:rPr>
          <w:rFonts w:ascii="Arial" w:hAnsi="Arial"/>
          <w:b w:val="0"/>
        </w:rPr>
        <w:t>.</w:t>
      </w:r>
    </w:p>
    <w:p>
      <w:r>
        <w:rPr>
          <w:rFonts w:ascii="Arial" w:hAnsi="Arial"/>
          <w:b w:val="0"/>
        </w:rPr>
        <w:t>Le Bâillon bloque l’usage actif des pouvoirs enregistrés. Il laisse subsister les fonctions vitales minimales, notamment la stabilité biologique. Les anciens immortels ne meurent donc pas simplement de vieillesse ; leur longue existence devient une dépendance à une infrastructure que l’empire contrôle.</w:t>
      </w:r>
    </w:p>
    <w:p>
      <w:pPr>
        <w:pStyle w:val="Heading2"/>
      </w:pPr>
      <w:r>
        <w:t>Un monde encore vivant</w:t>
      </w:r>
    </w:p>
    <w:p>
      <w:r>
        <w:rPr>
          <w:rFonts w:ascii="Arial" w:hAnsi="Arial"/>
          <w:b w:val="0"/>
        </w:rPr>
        <w:t>Orthe n’est pas uniformément ruiné. Des ports prospèrent, des fêtes continuent, des artistes inventent, des familles se forment. Le déclin est inégal : routes fermées, archives modifiées, fonctions vitales rationnées, régions rendues dépendantes. Certaines personnes préfèrent sincèrement l’ordre impérial au souvenir des guerres divines.</w:t>
      </w:r>
    </w:p>
    <w:p>
      <w:r>
        <w:rPr>
          <w:rFonts w:ascii="Arial" w:hAnsi="Arial"/>
          <w:b/>
        </w:rPr>
        <w:t>Test d’écriture :</w:t>
      </w:r>
      <w:r>
        <w:rPr>
          <w:rFonts w:ascii="Arial" w:hAnsi="Arial"/>
          <w:b w:val="0"/>
        </w:rPr>
        <w:t xml:space="preserve"> chaque région doit avoir un problème qui existerait même si H n’y venait jamais. Sa solution ne doit pas se réduire à remettre une récompense au protagoniste.</w:t>
      </w:r>
    </w:p>
    <w:p>
      <w:r>
        <w:br w:type="page"/>
      </w:r>
    </w:p>
    <w:p>
      <w:pPr>
        <w:spacing w:after="60"/>
      </w:pPr>
      <w:r>
        <w:rPr>
          <w:rFonts w:ascii="Arial" w:hAnsi="Arial"/>
          <w:b/>
          <w:color w:val="677784"/>
          <w:sz w:val="16"/>
        </w:rPr>
        <w:t>RÈGLES DU MERVEILLEUX</w:t>
      </w:r>
    </w:p>
    <w:p>
      <w:bookmarkStart w:id="5" w:name="section_05"/>
      <w:pPr>
        <w:pStyle w:val="Heading1"/>
      </w:pPr>
      <w:r>
        <w:t>04 — Pouvoirs, graine et restitution</w:t>
      </w:r>
      <w:bookmarkEnd w:id="5"/>
    </w:p>
    <w:tbl>
      <w:tblPr>
        <w:tblW w:type="auto" w:w="0"/>
        <w:jc w:val="center"/>
        <w:tblLayout w:type="fixed"/>
        <w:tblLook w:firstColumn="1" w:firstRow="1" w:lastColumn="0" w:lastRow="0" w:noHBand="0" w:noVBand="1" w:val="04A0"/>
      </w:tblPr>
      <w:tblGrid>
        <w:gridCol w:w="1984"/>
        <w:gridCol w:w="7880"/>
      </w:tblGrid>
      <w:tr>
        <w:trPr>
          <w:tblHeader/>
        </w:trPr>
        <w:tc>
          <w:tcPr>
            <w:tcW w:type="dxa" w:w="1984"/>
            <w:vAlign w:val="center"/>
            <w:shd w:fill="253A52"/>
            <w:tcMar>
              <w:top w:w="65" w:type="dxa"/>
              <w:left w:w="95" w:type="dxa"/>
              <w:bottom w:w="65" w:type="dxa"/>
              <w:right w:w="95" w:type="dxa"/>
            </w:tcMar>
          </w:tcPr>
          <w:p>
            <w:pPr>
              <w:pStyle w:val="TableText"/>
            </w:pPr>
            <w:r>
              <w:rPr>
                <w:rFonts w:ascii="Arial" w:hAnsi="Arial"/>
                <w:b/>
                <w:color w:val="FFFFFF"/>
              </w:rPr>
              <w:t>Notion</w:t>
            </w:r>
          </w:p>
        </w:tc>
        <w:tc>
          <w:tcPr>
            <w:tcW w:type="dxa" w:w="7880"/>
            <w:vAlign w:val="center"/>
            <w:shd w:fill="253A52"/>
            <w:tcMar>
              <w:top w:w="65" w:type="dxa"/>
              <w:left w:w="95" w:type="dxa"/>
              <w:bottom w:w="65" w:type="dxa"/>
              <w:right w:w="95" w:type="dxa"/>
            </w:tcMar>
          </w:tcPr>
          <w:p>
            <w:pPr>
              <w:pStyle w:val="TableText"/>
            </w:pPr>
            <w:r>
              <w:rPr>
                <w:rFonts w:ascii="Arial" w:hAnsi="Arial"/>
                <w:b/>
                <w:color w:val="FFFFFF"/>
              </w:rPr>
              <w:t>Fonctionnement proposé</w:t>
            </w:r>
          </w:p>
        </w:tc>
      </w:tr>
      <w:tr>
        <w:trPr>
          <w:cantSplit/>
        </w:trPr>
        <w:tc>
          <w:tcPr>
            <w:tcW w:type="dxa" w:w="1984"/>
            <w:vAlign w:val="top"/>
            <w:shd w:fill="F1F5F7"/>
            <w:tcMar>
              <w:top w:w="65" w:type="dxa"/>
              <w:left w:w="95" w:type="dxa"/>
              <w:bottom w:w="65" w:type="dxa"/>
              <w:right w:w="95" w:type="dxa"/>
            </w:tcMar>
          </w:tcPr>
          <w:p>
            <w:pPr>
              <w:pStyle w:val="TableText"/>
            </w:pPr>
            <w:r>
              <w:rPr>
                <w:rFonts w:ascii="Arial" w:hAnsi="Arial"/>
                <w:b w:val="0"/>
              </w:rPr>
              <w:t>Noyau primordial</w:t>
            </w:r>
          </w:p>
        </w:tc>
        <w:tc>
          <w:tcPr>
            <w:tcW w:type="dxa" w:w="7880"/>
            <w:vAlign w:val="top"/>
            <w:shd w:fill="F1F5F7"/>
            <w:tcMar>
              <w:top w:w="65" w:type="dxa"/>
              <w:left w:w="95" w:type="dxa"/>
              <w:bottom w:w="65" w:type="dxa"/>
              <w:right w:w="95" w:type="dxa"/>
            </w:tcMar>
          </w:tcPr>
          <w:p>
            <w:pPr>
              <w:pStyle w:val="TableText"/>
            </w:pPr>
            <w:r>
              <w:rPr>
                <w:rFonts w:ascii="Arial" w:hAnsi="Arial"/>
                <w:b w:val="0"/>
              </w:rPr>
              <w:t>Support vivant de certaines capacités et de la continuité personnelle d’un Porteur. Il ne s’agit pas d’un fichier de personnalité duplicable à volonté.</w:t>
            </w:r>
          </w:p>
        </w:tc>
      </w:tr>
      <w:tr>
        <w:trPr>
          <w:cantSplit/>
        </w:trPr>
        <w:tc>
          <w:tcPr>
            <w:tcW w:type="dxa" w:w="1984"/>
            <w:vAlign w:val="top"/>
            <w:shd w:fill="FFFFFF"/>
            <w:tcMar>
              <w:top w:w="65" w:type="dxa"/>
              <w:left w:w="95" w:type="dxa"/>
              <w:bottom w:w="65" w:type="dxa"/>
              <w:right w:w="95" w:type="dxa"/>
            </w:tcMar>
          </w:tcPr>
          <w:p>
            <w:pPr>
              <w:pStyle w:val="TableText"/>
            </w:pPr>
            <w:r>
              <w:rPr>
                <w:rFonts w:ascii="Arial" w:hAnsi="Arial"/>
                <w:b w:val="0"/>
              </w:rPr>
              <w:t>Accord</w:t>
            </w:r>
          </w:p>
        </w:tc>
        <w:tc>
          <w:tcPr>
            <w:tcW w:type="dxa" w:w="7880"/>
            <w:vAlign w:val="top"/>
            <w:shd w:fill="FFFFFF"/>
            <w:tcMar>
              <w:top w:w="65" w:type="dxa"/>
              <w:left w:w="95" w:type="dxa"/>
              <w:bottom w:w="65" w:type="dxa"/>
              <w:right w:w="95" w:type="dxa"/>
            </w:tcMar>
          </w:tcPr>
          <w:p>
            <w:pPr>
              <w:pStyle w:val="TableText"/>
            </w:pPr>
            <w:r>
              <w:rPr>
                <w:rFonts w:ascii="Arial" w:hAnsi="Arial"/>
                <w:b w:val="0"/>
              </w:rPr>
              <w:t>Relation entre un être, son noyau et une fonction locale du monde. Le pouvoir n’appartient pas à une réserve infinie ; il dépend d’un corps, d’un savoir-faire et d’un environnement.</w:t>
            </w:r>
          </w:p>
        </w:tc>
      </w:tr>
      <w:tr>
        <w:trPr>
          <w:cantSplit/>
        </w:trPr>
        <w:tc>
          <w:tcPr>
            <w:tcW w:type="dxa" w:w="1984"/>
            <w:vAlign w:val="top"/>
            <w:shd w:fill="F1F5F7"/>
            <w:tcMar>
              <w:top w:w="65" w:type="dxa"/>
              <w:left w:w="95" w:type="dxa"/>
              <w:bottom w:w="65" w:type="dxa"/>
              <w:right w:w="95" w:type="dxa"/>
            </w:tcMar>
          </w:tcPr>
          <w:p>
            <w:pPr>
              <w:pStyle w:val="TableText"/>
            </w:pPr>
            <w:r>
              <w:rPr>
                <w:rFonts w:ascii="Arial" w:hAnsi="Arial"/>
                <w:b w:val="0"/>
              </w:rPr>
              <w:t>Bâillon</w:t>
            </w:r>
          </w:p>
        </w:tc>
        <w:tc>
          <w:tcPr>
            <w:tcW w:type="dxa" w:w="7880"/>
            <w:vAlign w:val="top"/>
            <w:shd w:fill="F1F5F7"/>
            <w:tcMar>
              <w:top w:w="65" w:type="dxa"/>
              <w:left w:w="95" w:type="dxa"/>
              <w:bottom w:w="65" w:type="dxa"/>
              <w:right w:w="95" w:type="dxa"/>
            </w:tcMar>
          </w:tcPr>
          <w:p>
            <w:pPr>
              <w:pStyle w:val="TableText"/>
            </w:pPr>
            <w:r>
              <w:rPr>
                <w:rFonts w:ascii="Arial" w:hAnsi="Arial"/>
                <w:b w:val="0"/>
              </w:rPr>
              <w:t>Un verrou imposé aux signatures enregistrées par le réseau ancien. Les voyageurs déjà enregistrés sont concernés même lorsqu’ils se trouvent sur une autre planète.</w:t>
            </w:r>
          </w:p>
        </w:tc>
      </w:tr>
      <w:tr>
        <w:trPr>
          <w:cantSplit/>
        </w:trPr>
        <w:tc>
          <w:tcPr>
            <w:tcW w:type="dxa" w:w="1984"/>
            <w:vAlign w:val="top"/>
            <w:shd w:fill="FFFFFF"/>
            <w:tcMar>
              <w:top w:w="65" w:type="dxa"/>
              <w:left w:w="95" w:type="dxa"/>
              <w:bottom w:w="65" w:type="dxa"/>
              <w:right w:w="95" w:type="dxa"/>
            </w:tcMar>
          </w:tcPr>
          <w:p>
            <w:pPr>
              <w:pStyle w:val="TableText"/>
            </w:pPr>
            <w:r>
              <w:rPr>
                <w:rFonts w:ascii="Arial" w:hAnsi="Arial"/>
                <w:b w:val="0"/>
              </w:rPr>
              <w:t>Exception de H</w:t>
            </w:r>
          </w:p>
        </w:tc>
        <w:tc>
          <w:tcPr>
            <w:tcW w:type="dxa" w:w="7880"/>
            <w:vAlign w:val="top"/>
            <w:shd w:fill="FFFFFF"/>
            <w:tcMar>
              <w:top w:w="65" w:type="dxa"/>
              <w:left w:w="95" w:type="dxa"/>
              <w:bottom w:w="65" w:type="dxa"/>
              <w:right w:w="95" w:type="dxa"/>
            </w:tcMar>
          </w:tcPr>
          <w:p>
            <w:pPr>
              <w:pStyle w:val="TableText"/>
            </w:pPr>
            <w:r>
              <w:rPr>
                <w:rFonts w:ascii="Arial" w:hAnsi="Arial"/>
                <w:b w:val="0"/>
              </w:rPr>
              <w:t>H provient d’un programme de sauvegarde biologique antérieur au verrouillage. Son noyau a été mis en stase avant son enregistrement. Le Bâillon ne possède donc pas sa clé d’identification.</w:t>
            </w:r>
          </w:p>
        </w:tc>
      </w:tr>
      <w:tr>
        <w:trPr>
          <w:cantSplit/>
        </w:trPr>
        <w:tc>
          <w:tcPr>
            <w:tcW w:type="dxa" w:w="1984"/>
            <w:vAlign w:val="top"/>
            <w:shd w:fill="F1F5F7"/>
            <w:tcMar>
              <w:top w:w="65" w:type="dxa"/>
              <w:left w:w="95" w:type="dxa"/>
              <w:bottom w:w="65" w:type="dxa"/>
              <w:right w:w="95" w:type="dxa"/>
            </w:tcMar>
          </w:tcPr>
          <w:p>
            <w:pPr>
              <w:pStyle w:val="TableText"/>
            </w:pPr>
            <w:r>
              <w:rPr>
                <w:rFonts w:ascii="Arial" w:hAnsi="Arial"/>
                <w:b w:val="0"/>
              </w:rPr>
              <w:t>Pourquoi ne pas l’avoir détecté ?</w:t>
            </w:r>
          </w:p>
        </w:tc>
        <w:tc>
          <w:tcPr>
            <w:tcW w:type="dxa" w:w="7880"/>
            <w:vAlign w:val="top"/>
            <w:shd w:fill="F1F5F7"/>
            <w:tcMar>
              <w:top w:w="65" w:type="dxa"/>
              <w:left w:w="95" w:type="dxa"/>
              <w:bottom w:w="65" w:type="dxa"/>
              <w:right w:w="95" w:type="dxa"/>
            </w:tcMar>
          </w:tcPr>
          <w:p>
            <w:pPr>
              <w:pStyle w:val="TableText"/>
            </w:pPr>
            <w:r>
              <w:rPr>
                <w:rFonts w:ascii="Arial" w:hAnsi="Arial"/>
                <w:b w:val="0"/>
              </w:rPr>
              <w:t>Le vaisseau de sauvegarde est resté isolé. Le noyau dormant émettait trop peu pour être localisé ; un signal de maintenance a finalement permis de le retrouver.</w:t>
            </w:r>
          </w:p>
        </w:tc>
      </w:tr>
      <w:tr>
        <w:trPr>
          <w:cantSplit/>
        </w:trPr>
        <w:tc>
          <w:tcPr>
            <w:tcW w:type="dxa" w:w="1984"/>
            <w:vAlign w:val="top"/>
            <w:shd w:fill="FFFFFF"/>
            <w:tcMar>
              <w:top w:w="65" w:type="dxa"/>
              <w:left w:w="95" w:type="dxa"/>
              <w:bottom w:w="65" w:type="dxa"/>
              <w:right w:w="95" w:type="dxa"/>
            </w:tcMar>
          </w:tcPr>
          <w:p>
            <w:pPr>
              <w:pStyle w:val="TableText"/>
            </w:pPr>
            <w:r>
              <w:rPr>
                <w:rFonts w:ascii="Arial" w:hAnsi="Arial"/>
                <w:b w:val="0"/>
              </w:rPr>
              <w:t>Pourquoi lui ?</w:t>
            </w:r>
          </w:p>
        </w:tc>
        <w:tc>
          <w:tcPr>
            <w:tcW w:type="dxa" w:w="7880"/>
            <w:vAlign w:val="top"/>
            <w:shd w:fill="FFFFFF"/>
            <w:tcMar>
              <w:top w:w="65" w:type="dxa"/>
              <w:left w:w="95" w:type="dxa"/>
              <w:bottom w:w="65" w:type="dxa"/>
              <w:right w:w="95" w:type="dxa"/>
            </w:tcMar>
          </w:tcPr>
          <w:p>
            <w:pPr>
              <w:pStyle w:val="TableText"/>
            </w:pPr>
            <w:r>
              <w:rPr>
                <w:rFonts w:ascii="Arial" w:hAnsi="Arial"/>
                <w:b w:val="0"/>
              </w:rPr>
              <w:t>Il est le seul Porteur libre actuellement identifié, pas la preuve que tous les autres peuples sont incapables de se sauver. Son exception rend une réparation possible ; les autres en fournissent la méthode.</w:t>
            </w:r>
          </w:p>
        </w:tc>
      </w:tr>
      <w:tr>
        <w:trPr>
          <w:cantSplit/>
        </w:trPr>
        <w:tc>
          <w:tcPr>
            <w:tcW w:type="dxa" w:w="1984"/>
            <w:vAlign w:val="top"/>
            <w:shd w:fill="F1F5F7"/>
            <w:tcMar>
              <w:top w:w="65" w:type="dxa"/>
              <w:left w:w="95" w:type="dxa"/>
              <w:bottom w:w="65" w:type="dxa"/>
              <w:right w:w="95" w:type="dxa"/>
            </w:tcMar>
          </w:tcPr>
          <w:p>
            <w:pPr>
              <w:pStyle w:val="TableText"/>
            </w:pPr>
            <w:r>
              <w:rPr>
                <w:rFonts w:ascii="Arial" w:hAnsi="Arial"/>
                <w:b w:val="0"/>
              </w:rPr>
              <w:t>Intelligence</w:t>
            </w:r>
          </w:p>
        </w:tc>
        <w:tc>
          <w:tcPr>
            <w:tcW w:type="dxa" w:w="7880"/>
            <w:vAlign w:val="top"/>
            <w:shd w:fill="F1F5F7"/>
            <w:tcMar>
              <w:top w:w="65" w:type="dxa"/>
              <w:left w:w="95" w:type="dxa"/>
              <w:bottom w:w="65" w:type="dxa"/>
              <w:right w:w="95" w:type="dxa"/>
            </w:tcMar>
          </w:tcPr>
          <w:p>
            <w:pPr>
              <w:pStyle w:val="TableText"/>
            </w:pPr>
            <w:r>
              <w:rPr>
                <w:rFonts w:ascii="Arial" w:hAnsi="Arial"/>
                <w:b w:val="0"/>
              </w:rPr>
              <w:t>Son pouvoir facilite la perception des relations, des structures et des incohérences. Il ne lui donne ni connaissances toutes faites, ni justesse morale, ni maîtrise immédiate du combat.</w:t>
            </w:r>
          </w:p>
        </w:tc>
      </w:tr>
      <w:tr>
        <w:trPr>
          <w:cantSplit/>
        </w:trPr>
        <w:tc>
          <w:tcPr>
            <w:tcW w:type="dxa" w:w="1984"/>
            <w:vAlign w:val="top"/>
            <w:shd w:fill="FFFFFF"/>
            <w:tcMar>
              <w:top w:w="65" w:type="dxa"/>
              <w:left w:w="95" w:type="dxa"/>
              <w:bottom w:w="65" w:type="dxa"/>
              <w:right w:w="95" w:type="dxa"/>
            </w:tcMar>
          </w:tcPr>
          <w:p>
            <w:pPr>
              <w:pStyle w:val="TableText"/>
            </w:pPr>
            <w:r>
              <w:rPr>
                <w:rFonts w:ascii="Arial" w:hAnsi="Arial"/>
                <w:b w:val="0"/>
              </w:rPr>
              <w:t>Restitution</w:t>
            </w:r>
          </w:p>
        </w:tc>
        <w:tc>
          <w:tcPr>
            <w:tcW w:type="dxa" w:w="7880"/>
            <w:vAlign w:val="top"/>
            <w:shd w:fill="FFFFFF"/>
            <w:tcMar>
              <w:top w:w="65" w:type="dxa"/>
              <w:left w:w="95" w:type="dxa"/>
              <w:bottom w:w="65" w:type="dxa"/>
              <w:right w:w="95" w:type="dxa"/>
            </w:tcMar>
          </w:tcPr>
          <w:p>
            <w:pPr>
              <w:pStyle w:val="TableText"/>
            </w:pPr>
            <w:r>
              <w:rPr>
                <w:rFonts w:ascii="Arial" w:hAnsi="Arial"/>
                <w:b w:val="0"/>
              </w:rPr>
              <w:t>H reconnaît le verrou, puis ouvre avec l’intéressé un chemin d’accord non soumis au Concordat. Il rétablit une capacité existante ; il ne distribue pas des âmes ni une obéissance magique.</w:t>
            </w:r>
          </w:p>
        </w:tc>
      </w:tr>
      <w:tr>
        <w:trPr>
          <w:cantSplit/>
        </w:trPr>
        <w:tc>
          <w:tcPr>
            <w:tcW w:type="dxa" w:w="1984"/>
            <w:vAlign w:val="top"/>
            <w:shd w:fill="F1F5F7"/>
            <w:tcMar>
              <w:top w:w="65" w:type="dxa"/>
              <w:left w:w="95" w:type="dxa"/>
              <w:bottom w:w="65" w:type="dxa"/>
              <w:right w:w="95" w:type="dxa"/>
            </w:tcMar>
          </w:tcPr>
          <w:p>
            <w:pPr>
              <w:pStyle w:val="TableText"/>
            </w:pPr>
            <w:r>
              <w:rPr>
                <w:rFonts w:ascii="Arial" w:hAnsi="Arial"/>
                <w:b w:val="0"/>
              </w:rPr>
              <w:t>Limites</w:t>
            </w:r>
          </w:p>
        </w:tc>
        <w:tc>
          <w:tcPr>
            <w:tcW w:type="dxa" w:w="7880"/>
            <w:vAlign w:val="top"/>
            <w:shd w:fill="F1F5F7"/>
            <w:tcMar>
              <w:top w:w="65" w:type="dxa"/>
              <w:left w:w="95" w:type="dxa"/>
              <w:bottom w:w="65" w:type="dxa"/>
              <w:right w:w="95" w:type="dxa"/>
            </w:tcMar>
          </w:tcPr>
          <w:p>
            <w:pPr>
              <w:pStyle w:val="TableText"/>
            </w:pPr>
            <w:r>
              <w:rPr>
                <w:rFonts w:ascii="Arial" w:hAnsi="Arial"/>
                <w:b w:val="0"/>
              </w:rPr>
              <w:t>Un noyau détruit ne peut pas être reconstruit à partir de souvenirs. Une restitution brutale blesse son bénéficiaire. Les fonctions complexes nécessitent entraînement, outils et coopération.</w:t>
            </w:r>
          </w:p>
        </w:tc>
      </w:tr>
      <w:tr>
        <w:trPr>
          <w:cantSplit/>
        </w:trPr>
        <w:tc>
          <w:tcPr>
            <w:tcW w:type="dxa" w:w="1984"/>
            <w:vAlign w:val="top"/>
            <w:shd w:fill="FFFFFF"/>
            <w:tcMar>
              <w:top w:w="65" w:type="dxa"/>
              <w:left w:w="95" w:type="dxa"/>
              <w:bottom w:w="65" w:type="dxa"/>
              <w:right w:w="95" w:type="dxa"/>
            </w:tcMar>
          </w:tcPr>
          <w:p>
            <w:pPr>
              <w:pStyle w:val="TableText"/>
            </w:pPr>
            <w:r>
              <w:rPr>
                <w:rFonts w:ascii="Arial" w:hAnsi="Arial"/>
                <w:b w:val="0"/>
              </w:rPr>
              <w:t>Transmission</w:t>
            </w:r>
          </w:p>
        </w:tc>
        <w:tc>
          <w:tcPr>
            <w:tcW w:type="dxa" w:w="7880"/>
            <w:vAlign w:val="top"/>
            <w:shd w:fill="FFFFFF"/>
            <w:tcMar>
              <w:top w:w="65" w:type="dxa"/>
              <w:left w:w="95" w:type="dxa"/>
              <w:bottom w:w="65" w:type="dxa"/>
              <w:right w:w="95" w:type="dxa"/>
            </w:tcMar>
          </w:tcPr>
          <w:p>
            <w:pPr>
              <w:pStyle w:val="TableText"/>
            </w:pPr>
            <w:r>
              <w:rPr>
                <w:rFonts w:ascii="Arial" w:hAnsi="Arial"/>
                <w:b w:val="0"/>
              </w:rPr>
              <w:t>À la fin, les recherches permettent à d’autres équipes de reproduire une partie des réparations. Le monde ne doit pas dépendre éternellement du bon vouloir d’un seul héros.</w:t>
            </w:r>
          </w:p>
        </w:tc>
      </w:tr>
    </w:tbl>
    <w:p>
      <w:pPr>
        <w:spacing w:after="0"/>
      </w:pPr>
    </w:p>
    <w:p>
      <w:pPr>
        <w:pStyle w:val="Heading2"/>
      </w:pPr>
      <w:r>
        <w:t>La capsule et l’enfance</w:t>
      </w:r>
    </w:p>
    <w:p>
      <w:r>
        <w:rPr>
          <w:rFonts w:ascii="Arial" w:hAnsi="Arial"/>
          <w:b w:val="0"/>
        </w:rPr>
        <w:t>Environ six millénaires après sa dispersion, une expédition conduite par C retrouve la capsule sur Sélis. H est confié à une famille locale et grandit comme un enfant ordinaire. C ne devient ni son parent ni son éducateur. Le suivi initial est médical et assuré par une institution distincte ; C repart poursuivre ses recherches.</w:t>
      </w:r>
    </w:p>
    <w:p>
      <w:r>
        <w:rPr>
          <w:rFonts w:ascii="Arial" w:hAnsi="Arial"/>
          <w:b w:val="0"/>
        </w:rPr>
        <w:t>La première relation personnelle entre eux commence lorsque H est adulte, à 24 ans dans cette proposition. A se situe à ses 29 ans. Cette séparation protège la crédibilité de leur amour : C ne façonne pas un enfant pour en faire un futur partenaire.</w:t>
      </w:r>
    </w:p>
    <w:p>
      <w:r>
        <w:br w:type="page"/>
      </w:r>
    </w:p>
    <w:p>
      <w:pPr>
        <w:spacing w:after="60"/>
      </w:pPr>
      <w:r>
        <w:rPr>
          <w:rFonts w:ascii="Arial" w:hAnsi="Arial"/>
          <w:b/>
          <w:color w:val="677784"/>
          <w:sz w:val="16"/>
        </w:rPr>
        <w:t>À LIRE AVANT TOUTE NOUVELLE INTRIGUE</w:t>
      </w:r>
    </w:p>
    <w:p>
      <w:bookmarkStart w:id="6" w:name="section_06"/>
      <w:pPr>
        <w:pStyle w:val="Heading1"/>
      </w:pPr>
      <w:r>
        <w:t>05 — La règle temporelle centrale</w:t>
      </w:r>
      <w:bookmarkEnd w:id="6"/>
    </w:p>
    <w:p>
      <w:r>
        <w:rPr>
          <w:rFonts w:ascii="Arial" w:hAnsi="Arial"/>
          <w:b/>
        </w:rPr>
        <w:t>Le passé réalisé ne change pas. La machine peut en ouvrir une continuation locale limitée.</w:t>
      </w:r>
      <w:r>
        <w:rPr>
          <w:rFonts w:ascii="Arial" w:hAnsi="Arial"/>
          <w:b w:val="0"/>
        </w:rPr>
        <w:t xml:space="preserve"> C’est une règle de fiction assumée, non une affirmation scientifique sur la possibilité de voyager dans le temps.</w:t>
      </w:r>
    </w:p>
    <w:p>
      <w:pPr>
        <w:pStyle w:val="Heading2"/>
      </w:pPr>
      <w:r>
        <w:t>L’ancre</w:t>
      </w:r>
    </w:p>
    <w:p>
      <w:r>
        <w:rPr>
          <w:rFonts w:ascii="Arial" w:hAnsi="Arial"/>
          <w:b w:val="0"/>
        </w:rPr>
        <w:t xml:space="preserve">En A, le couple réalise une expérience autour d’un vestige appelé </w:t>
      </w:r>
      <w:r>
        <w:rPr>
          <w:rFonts w:ascii="Arial" w:hAnsi="Arial"/>
          <w:b/>
        </w:rPr>
        <w:t>anneau témoin</w:t>
      </w:r>
      <w:r>
        <w:rPr>
          <w:rFonts w:ascii="Arial" w:hAnsi="Arial"/>
          <w:b w:val="0"/>
        </w:rPr>
        <w:t>. L’objet enregistre une empreinte chronale complète du petit laboratoire et des personnes présentes. Quatorze années plus tard, H₀ découvre comment utiliser cette empreinte : pas comme un film, mais comme le point de départ d’une nouvelle continuité matérielle.</w:t>
      </w:r>
    </w:p>
    <w:p>
      <w:pPr>
        <w:pStyle w:val="Heading2"/>
      </w:pPr>
      <w:r>
        <w:t>La fenêtre</w:t>
      </w:r>
    </w:p>
    <w:p>
      <w:r>
        <w:rPr>
          <w:rFonts w:ascii="Arial" w:hAnsi="Arial"/>
          <w:b w:val="0"/>
        </w:rPr>
        <w:t>En Z, la machine déploie une enceinte contenant une continuation réelle de ces quelques instants. Les êtres qui s’y trouvent ressentent, décident et souffrent réellement. On ne rembobine pas le ciel de Sélis, et aucun citoyen extérieur à la zone ne se retrouve projeté quatorze années en arrière.</w:t>
      </w:r>
    </w:p>
    <w:p>
      <w:r>
        <w:rPr>
          <w:rFonts w:ascii="Arial" w:hAnsi="Arial"/>
          <w:b w:val="0"/>
        </w:rPr>
        <w:t xml:space="preserve">H₀ a vécu A sans attaque, puis G et Z. H₁ partage son passé jusqu’à l’instant d’ouverture, puis vit une attaque que H₀ n’a pas vécue. </w:t>
      </w:r>
      <w:r>
        <w:rPr>
          <w:rFonts w:ascii="Arial" w:hAnsi="Arial"/>
          <w:b/>
        </w:rPr>
        <w:t>Ce sont deux continuations d’une même vie, et non un seul individu que l’histoire oblige à refaire les mêmes choix.</w:t>
      </w:r>
    </w:p>
    <w:p>
      <w:pPr>
        <w:pStyle w:val="Heading2"/>
      </w:pPr>
      <w:r>
        <w:t>L’extraction</w:t>
      </w:r>
    </w:p>
    <w:p>
      <w:r>
        <w:rPr>
          <w:rFonts w:ascii="Arial" w:hAnsi="Arial"/>
          <w:b w:val="0"/>
        </w:rPr>
        <w:t>Un visiteur muni d’un lien chronal retourne à son présent quand la fenêtre se ferme. Un habitant de la fenêtre peut également être extrait si un support assure sa continuité matérielle. Le protocole de Nacre rattache H₁ au trajet de retour de l’assaillant, puis détourne son arrivée vers un relais d’Orthe.</w:t>
      </w:r>
    </w:p>
    <w:p>
      <w:r>
        <w:rPr>
          <w:rFonts w:ascii="Arial" w:hAnsi="Arial"/>
          <w:b w:val="0"/>
        </w:rPr>
        <w:t xml:space="preserve">Il y a donc bien le mouvement souhaité : </w:t>
      </w:r>
      <w:r>
        <w:rPr>
          <w:rFonts w:ascii="Arial" w:hAnsi="Arial"/>
          <w:b/>
        </w:rPr>
        <w:t>scène de A → présent Z de l’assaillant → Monde des Origines</w:t>
      </w:r>
      <w:r>
        <w:rPr>
          <w:rFonts w:ascii="Arial" w:hAnsi="Arial"/>
          <w:b w:val="0"/>
        </w:rPr>
        <w:t>. Mais sa cause ne supprime pas la vie du scientifique qui a fabriqué le dispositif.</w:t>
      </w:r>
    </w:p>
    <w:p>
      <w:pPr>
        <w:pStyle w:val="Heading2"/>
      </w:pPr>
      <w:r>
        <w:t>Ce que cette solution oblige à accepter</w:t>
      </w:r>
    </w:p>
    <w:p>
      <w:r>
        <w:rPr>
          <w:rFonts w:ascii="Arial" w:hAnsi="Arial"/>
          <w:b w:val="0"/>
        </w:rPr>
        <w:t>Une même histoire personnelle peut avoir deux continuations physiques. Le jeu doit le dire clairement, sans prétendre qu’un être disparaît parce qu’il existe un autre lui. H₀ est mort en Z pour des raisons dramatiques et politiques, pas à cause d’une loi cosmique interdisant deux versions.</w:t>
      </w:r>
    </w:p>
    <w:p>
      <w:r>
        <w:rPr>
          <w:rFonts w:ascii="Arial" w:hAnsi="Arial"/>
          <w:b w:val="0"/>
        </w:rPr>
        <w:t>Cette mécanique ne dévalorise pas Orthe : la planète et son histoire ne proviennent d’aucune fenêtre. Le seul espace localement dérivé est celui de l’expérience temporelle, limité au laboratoire du prologue.</w:t>
      </w:r>
    </w:p>
    <w:p>
      <w:r>
        <w:br w:type="page"/>
      </w:r>
    </w:p>
    <w:p>
      <w:pPr>
        <w:spacing w:after="60"/>
      </w:pPr>
      <w:r>
        <w:rPr>
          <w:rFonts w:ascii="Arial" w:hAnsi="Arial"/>
          <w:b/>
          <w:color w:val="677784"/>
          <w:sz w:val="16"/>
        </w:rPr>
        <w:t>MODE OPÉRATOIRE DE RÉFÉRENCE</w:t>
      </w:r>
    </w:p>
    <w:p>
      <w:bookmarkStart w:id="7" w:name="section_07"/>
      <w:pPr>
        <w:pStyle w:val="Heading1"/>
      </w:pPr>
      <w:r>
        <w:t>06 — Temps : limites et exemple</w:t>
      </w:r>
      <w:bookmarkEnd w:id="7"/>
    </w:p>
    <w:tbl>
      <w:tblPr>
        <w:tblW w:type="auto" w:w="0"/>
        <w:jc w:val="center"/>
        <w:tblLayout w:type="fixed"/>
        <w:tblLook w:firstColumn="1" w:firstRow="1" w:lastColumn="0" w:lastRow="0" w:noHBand="0" w:noVBand="1" w:val="04A0"/>
      </w:tblPr>
      <w:tblGrid>
        <w:gridCol w:w="2268"/>
        <w:gridCol w:w="7597"/>
      </w:tblGrid>
      <w:tr>
        <w:trPr>
          <w:tblHeader/>
        </w:trPr>
        <w:tc>
          <w:tcPr>
            <w:tcW w:type="dxa" w:w="2268"/>
            <w:vAlign w:val="center"/>
            <w:shd w:fill="253A52"/>
            <w:tcMar>
              <w:top w:w="65" w:type="dxa"/>
              <w:left w:w="95" w:type="dxa"/>
              <w:bottom w:w="65" w:type="dxa"/>
              <w:right w:w="95" w:type="dxa"/>
            </w:tcMar>
          </w:tcPr>
          <w:p>
            <w:pPr>
              <w:pStyle w:val="TableText"/>
            </w:pPr>
            <w:r>
              <w:rPr>
                <w:rFonts w:ascii="Arial" w:hAnsi="Arial"/>
                <w:b/>
                <w:color w:val="FFFFFF"/>
              </w:rPr>
              <w:t>Limite</w:t>
            </w:r>
          </w:p>
        </w:tc>
        <w:tc>
          <w:tcPr>
            <w:tcW w:type="dxa" w:w="7597"/>
            <w:vAlign w:val="center"/>
            <w:shd w:fill="253A52"/>
            <w:tcMar>
              <w:top w:w="65" w:type="dxa"/>
              <w:left w:w="95" w:type="dxa"/>
              <w:bottom w:w="65" w:type="dxa"/>
              <w:right w:w="95" w:type="dxa"/>
            </w:tcMar>
          </w:tcPr>
          <w:p>
            <w:pPr>
              <w:pStyle w:val="TableText"/>
            </w:pPr>
            <w:r>
              <w:rPr>
                <w:rFonts w:ascii="Arial" w:hAnsi="Arial"/>
                <w:b/>
                <w:color w:val="FFFFFF"/>
              </w:rPr>
              <w:t>Conséquence narrative</w:t>
            </w:r>
          </w:p>
        </w:tc>
      </w:tr>
      <w:tr>
        <w:trPr>
          <w:cantSplit/>
        </w:trPr>
        <w:tc>
          <w:tcPr>
            <w:tcW w:type="dxa" w:w="2268"/>
            <w:vAlign w:val="top"/>
            <w:shd w:fill="F1F5F7"/>
            <w:tcMar>
              <w:top w:w="65" w:type="dxa"/>
              <w:left w:w="95" w:type="dxa"/>
              <w:bottom w:w="65" w:type="dxa"/>
              <w:right w:w="95" w:type="dxa"/>
            </w:tcMar>
          </w:tcPr>
          <w:p>
            <w:pPr>
              <w:pStyle w:val="TableText"/>
            </w:pPr>
            <w:r>
              <w:rPr>
                <w:rFonts w:ascii="Arial" w:hAnsi="Arial"/>
                <w:b w:val="0"/>
              </w:rPr>
              <w:t>Une vraie ancre nécessaire</w:t>
            </w:r>
          </w:p>
        </w:tc>
        <w:tc>
          <w:tcPr>
            <w:tcW w:type="dxa" w:w="7597"/>
            <w:vAlign w:val="top"/>
            <w:shd w:fill="F1F5F7"/>
            <w:tcMar>
              <w:top w:w="65" w:type="dxa"/>
              <w:left w:w="95" w:type="dxa"/>
              <w:bottom w:w="65" w:type="dxa"/>
              <w:right w:w="95" w:type="dxa"/>
            </w:tcMar>
          </w:tcPr>
          <w:p>
            <w:pPr>
              <w:pStyle w:val="TableText"/>
            </w:pPr>
            <w:r>
              <w:rPr>
                <w:rFonts w:ascii="Arial" w:hAnsi="Arial"/>
                <w:b w:val="0"/>
              </w:rPr>
              <w:t>Pas de destination libre. Une date racontée dans un livre ou une vidéo de famille ne permet pas d’ouvrir le passé.</w:t>
            </w:r>
          </w:p>
        </w:tc>
      </w:tr>
      <w:tr>
        <w:trPr>
          <w:cantSplit/>
        </w:trPr>
        <w:tc>
          <w:tcPr>
            <w:tcW w:type="dxa" w:w="2268"/>
            <w:vAlign w:val="top"/>
            <w:shd w:fill="FFFFFF"/>
            <w:tcMar>
              <w:top w:w="65" w:type="dxa"/>
              <w:left w:w="95" w:type="dxa"/>
              <w:bottom w:w="65" w:type="dxa"/>
              <w:right w:w="95" w:type="dxa"/>
            </w:tcMar>
          </w:tcPr>
          <w:p>
            <w:pPr>
              <w:pStyle w:val="TableText"/>
            </w:pPr>
            <w:r>
              <w:rPr>
                <w:rFonts w:ascii="Arial" w:hAnsi="Arial"/>
                <w:b w:val="0"/>
              </w:rPr>
              <w:t>Une ancre non duplicable</w:t>
            </w:r>
          </w:p>
        </w:tc>
        <w:tc>
          <w:tcPr>
            <w:tcW w:type="dxa" w:w="7597"/>
            <w:vAlign w:val="top"/>
            <w:shd w:fill="FFFFFF"/>
            <w:tcMar>
              <w:top w:w="65" w:type="dxa"/>
              <w:left w:w="95" w:type="dxa"/>
              <w:bottom w:w="65" w:type="dxa"/>
              <w:right w:w="95" w:type="dxa"/>
            </w:tcMar>
          </w:tcPr>
          <w:p>
            <w:pPr>
              <w:pStyle w:val="TableText"/>
            </w:pPr>
            <w:r>
              <w:rPr>
                <w:rFonts w:ascii="Arial" w:hAnsi="Arial"/>
                <w:b w:val="0"/>
              </w:rPr>
              <w:t>La lecture active consomme sa structure chronale. Copier ses données ordinaires ne crée pas une seconde ouverture.</w:t>
            </w:r>
          </w:p>
        </w:tc>
      </w:tr>
      <w:tr>
        <w:trPr>
          <w:cantSplit/>
        </w:trPr>
        <w:tc>
          <w:tcPr>
            <w:tcW w:type="dxa" w:w="2268"/>
            <w:vAlign w:val="top"/>
            <w:shd w:fill="F1F5F7"/>
            <w:tcMar>
              <w:top w:w="65" w:type="dxa"/>
              <w:left w:w="95" w:type="dxa"/>
              <w:bottom w:w="65" w:type="dxa"/>
              <w:right w:w="95" w:type="dxa"/>
            </w:tcMar>
          </w:tcPr>
          <w:p>
            <w:pPr>
              <w:pStyle w:val="TableText"/>
            </w:pPr>
            <w:r>
              <w:rPr>
                <w:rFonts w:ascii="Arial" w:hAnsi="Arial"/>
                <w:b w:val="0"/>
              </w:rPr>
              <w:t>Périmètre réduit</w:t>
            </w:r>
          </w:p>
        </w:tc>
        <w:tc>
          <w:tcPr>
            <w:tcW w:type="dxa" w:w="7597"/>
            <w:vAlign w:val="top"/>
            <w:shd w:fill="F1F5F7"/>
            <w:tcMar>
              <w:top w:w="65" w:type="dxa"/>
              <w:left w:w="95" w:type="dxa"/>
              <w:bottom w:w="65" w:type="dxa"/>
              <w:right w:w="95" w:type="dxa"/>
            </w:tcMar>
          </w:tcPr>
          <w:p>
            <w:pPr>
              <w:pStyle w:val="TableText"/>
            </w:pPr>
            <w:r>
              <w:rPr>
                <w:rFonts w:ascii="Arial" w:hAnsi="Arial"/>
                <w:b w:val="0"/>
              </w:rPr>
              <w:t>Le prototype couvre un laboratoire d’environ vingt mètres de rayon. Pas de planète entière restaurée par surprise au dernier chapitre.</w:t>
            </w:r>
          </w:p>
        </w:tc>
      </w:tr>
      <w:tr>
        <w:trPr>
          <w:cantSplit/>
        </w:trPr>
        <w:tc>
          <w:tcPr>
            <w:tcW w:type="dxa" w:w="2268"/>
            <w:vAlign w:val="top"/>
            <w:shd w:fill="FFFFFF"/>
            <w:tcMar>
              <w:top w:w="65" w:type="dxa"/>
              <w:left w:w="95" w:type="dxa"/>
              <w:bottom w:w="65" w:type="dxa"/>
              <w:right w:w="95" w:type="dxa"/>
            </w:tcMar>
          </w:tcPr>
          <w:p>
            <w:pPr>
              <w:pStyle w:val="TableText"/>
            </w:pPr>
            <w:r>
              <w:rPr>
                <w:rFonts w:ascii="Arial" w:hAnsi="Arial"/>
                <w:b w:val="0"/>
              </w:rPr>
              <w:t>Durée active limitée</w:t>
            </w:r>
          </w:p>
        </w:tc>
        <w:tc>
          <w:tcPr>
            <w:tcW w:type="dxa" w:w="7597"/>
            <w:vAlign w:val="top"/>
            <w:shd w:fill="FFFFFF"/>
            <w:tcMar>
              <w:top w:w="65" w:type="dxa"/>
              <w:left w:w="95" w:type="dxa"/>
              <w:bottom w:w="65" w:type="dxa"/>
              <w:right w:w="95" w:type="dxa"/>
            </w:tcMar>
          </w:tcPr>
          <w:p>
            <w:pPr>
              <w:pStyle w:val="TableText"/>
            </w:pPr>
            <w:r>
              <w:rPr>
                <w:rFonts w:ascii="Arial" w:hAnsi="Arial"/>
                <w:b w:val="0"/>
              </w:rPr>
              <w:t>L’ancre de A autorise 180 secondes de continuité locale après son ouverture. La première intrusion en consomme 146 ; il en reste 34.</w:t>
            </w:r>
          </w:p>
        </w:tc>
      </w:tr>
      <w:tr>
        <w:trPr>
          <w:cantSplit/>
        </w:trPr>
        <w:tc>
          <w:tcPr>
            <w:tcW w:type="dxa" w:w="2268"/>
            <w:vAlign w:val="top"/>
            <w:shd w:fill="F1F5F7"/>
            <w:tcMar>
              <w:top w:w="65" w:type="dxa"/>
              <w:left w:w="95" w:type="dxa"/>
              <w:bottom w:w="65" w:type="dxa"/>
              <w:right w:w="95" w:type="dxa"/>
            </w:tcMar>
          </w:tcPr>
          <w:p>
            <w:pPr>
              <w:pStyle w:val="TableText"/>
            </w:pPr>
            <w:r>
              <w:rPr>
                <w:rFonts w:ascii="Arial" w:hAnsi="Arial"/>
                <w:b w:val="0"/>
              </w:rPr>
              <w:t>Pas de redémarrage</w:t>
            </w:r>
          </w:p>
        </w:tc>
        <w:tc>
          <w:tcPr>
            <w:tcW w:type="dxa" w:w="7597"/>
            <w:vAlign w:val="top"/>
            <w:shd w:fill="F1F5F7"/>
            <w:tcMar>
              <w:top w:w="65" w:type="dxa"/>
              <w:left w:w="95" w:type="dxa"/>
              <w:bottom w:w="65" w:type="dxa"/>
              <w:right w:w="95" w:type="dxa"/>
            </w:tcMar>
          </w:tcPr>
          <w:p>
            <w:pPr>
              <w:pStyle w:val="TableText"/>
            </w:pPr>
            <w:r>
              <w:rPr>
                <w:rFonts w:ascii="Arial" w:hAnsi="Arial"/>
                <w:b w:val="0"/>
              </w:rPr>
              <w:t>Suspendre les 34 secondes restantes n’autorise pas à revenir à la seconde zéro. Le dernier sauvetage reprend après l’extraction initiale de H₁.</w:t>
            </w:r>
          </w:p>
        </w:tc>
      </w:tr>
      <w:tr>
        <w:trPr>
          <w:cantSplit/>
        </w:trPr>
        <w:tc>
          <w:tcPr>
            <w:tcW w:type="dxa" w:w="2268"/>
            <w:vAlign w:val="top"/>
            <w:shd w:fill="FFFFFF"/>
            <w:tcMar>
              <w:top w:w="65" w:type="dxa"/>
              <w:left w:w="95" w:type="dxa"/>
              <w:bottom w:w="65" w:type="dxa"/>
              <w:right w:w="95" w:type="dxa"/>
            </w:tcMar>
          </w:tcPr>
          <w:p>
            <w:pPr>
              <w:pStyle w:val="TableText"/>
            </w:pPr>
            <w:r>
              <w:rPr>
                <w:rFonts w:ascii="Arial" w:hAnsi="Arial"/>
                <w:b w:val="0"/>
              </w:rPr>
              <w:t>Support de suspension</w:t>
            </w:r>
          </w:p>
        </w:tc>
        <w:tc>
          <w:tcPr>
            <w:tcW w:type="dxa" w:w="7597"/>
            <w:vAlign w:val="top"/>
            <w:shd w:fill="FFFFFF"/>
            <w:tcMar>
              <w:top w:w="65" w:type="dxa"/>
              <w:left w:w="95" w:type="dxa"/>
              <w:bottom w:w="65" w:type="dxa"/>
              <w:right w:w="95" w:type="dxa"/>
            </w:tcMar>
          </w:tcPr>
          <w:p>
            <w:pPr>
              <w:pStyle w:val="TableText"/>
            </w:pPr>
            <w:r>
              <w:rPr>
                <w:rFonts w:ascii="Arial" w:hAnsi="Arial"/>
                <w:b w:val="0"/>
              </w:rPr>
              <w:t>Nacre maintient un lien avec l’ancre originale, grâce aux stations qui entretiennent encore sa structure. L’enceinte est suspendue, pas secrètement vivante pendant neuf mois.</w:t>
            </w:r>
          </w:p>
        </w:tc>
      </w:tr>
      <w:tr>
        <w:trPr>
          <w:cantSplit/>
        </w:trPr>
        <w:tc>
          <w:tcPr>
            <w:tcW w:type="dxa" w:w="2268"/>
            <w:vAlign w:val="top"/>
            <w:shd w:fill="F1F5F7"/>
            <w:tcMar>
              <w:top w:w="65" w:type="dxa"/>
              <w:left w:w="95" w:type="dxa"/>
              <w:bottom w:w="65" w:type="dxa"/>
              <w:right w:w="95" w:type="dxa"/>
            </w:tcMar>
          </w:tcPr>
          <w:p>
            <w:pPr>
              <w:pStyle w:val="TableText"/>
            </w:pPr>
            <w:r>
              <w:rPr>
                <w:rFonts w:ascii="Arial" w:hAnsi="Arial"/>
                <w:b w:val="0"/>
              </w:rPr>
              <w:t>Pas d’emboîtement</w:t>
            </w:r>
          </w:p>
        </w:tc>
        <w:tc>
          <w:tcPr>
            <w:tcW w:type="dxa" w:w="7597"/>
            <w:vAlign w:val="top"/>
            <w:shd w:fill="F1F5F7"/>
            <w:tcMar>
              <w:top w:w="65" w:type="dxa"/>
              <w:left w:w="95" w:type="dxa"/>
              <w:bottom w:w="65" w:type="dxa"/>
              <w:right w:w="95" w:type="dxa"/>
            </w:tcMar>
          </w:tcPr>
          <w:p>
            <w:pPr>
              <w:pStyle w:val="TableText"/>
            </w:pPr>
            <w:r>
              <w:rPr>
                <w:rFonts w:ascii="Arial" w:hAnsi="Arial"/>
                <w:b w:val="0"/>
              </w:rPr>
              <w:t>Une continuité déjà dérivée ne peut pas produire une nouvelle ancre exploitable du même événement. Aucun arbre infini de héros de secours.</w:t>
            </w:r>
          </w:p>
        </w:tc>
      </w:tr>
      <w:tr>
        <w:trPr>
          <w:cantSplit/>
        </w:trPr>
        <w:tc>
          <w:tcPr>
            <w:tcW w:type="dxa" w:w="2268"/>
            <w:vAlign w:val="top"/>
            <w:shd w:fill="FFFFFF"/>
            <w:tcMar>
              <w:top w:w="65" w:type="dxa"/>
              <w:left w:w="95" w:type="dxa"/>
              <w:bottom w:w="65" w:type="dxa"/>
              <w:right w:w="95" w:type="dxa"/>
            </w:tcMar>
          </w:tcPr>
          <w:p>
            <w:pPr>
              <w:pStyle w:val="TableText"/>
            </w:pPr>
            <w:r>
              <w:rPr>
                <w:rFonts w:ascii="Arial" w:hAnsi="Arial"/>
                <w:b w:val="0"/>
              </w:rPr>
              <w:t>Matière et énergie</w:t>
            </w:r>
          </w:p>
        </w:tc>
        <w:tc>
          <w:tcPr>
            <w:tcW w:type="dxa" w:w="7597"/>
            <w:vAlign w:val="top"/>
            <w:shd w:fill="FFFFFF"/>
            <w:tcMar>
              <w:top w:w="65" w:type="dxa"/>
              <w:left w:w="95" w:type="dxa"/>
              <w:bottom w:w="65" w:type="dxa"/>
              <w:right w:w="95" w:type="dxa"/>
            </w:tcMar>
          </w:tcPr>
          <w:p>
            <w:pPr>
              <w:pStyle w:val="TableText"/>
            </w:pPr>
            <w:r>
              <w:rPr>
                <w:rFonts w:ascii="Arial" w:hAnsi="Arial"/>
                <w:b w:val="0"/>
              </w:rPr>
              <w:t>L’ouverture utilise une réserve matérielle et énergétique réelle. Elle n’est ni une ferme infinie de personnages ni une imprimante de richesses.</w:t>
            </w:r>
          </w:p>
        </w:tc>
      </w:tr>
      <w:tr>
        <w:trPr>
          <w:cantSplit/>
        </w:trPr>
        <w:tc>
          <w:tcPr>
            <w:tcW w:type="dxa" w:w="2268"/>
            <w:vAlign w:val="top"/>
            <w:shd w:fill="F1F5F7"/>
            <w:tcMar>
              <w:top w:w="65" w:type="dxa"/>
              <w:left w:w="95" w:type="dxa"/>
              <w:bottom w:w="65" w:type="dxa"/>
              <w:right w:w="95" w:type="dxa"/>
            </w:tcMar>
          </w:tcPr>
          <w:p>
            <w:pPr>
              <w:pStyle w:val="TableText"/>
            </w:pPr>
            <w:r>
              <w:rPr>
                <w:rFonts w:ascii="Arial" w:hAnsi="Arial"/>
                <w:b w:val="0"/>
              </w:rPr>
              <w:t>Pas de résurrection universelle</w:t>
            </w:r>
          </w:p>
        </w:tc>
        <w:tc>
          <w:tcPr>
            <w:tcW w:type="dxa" w:w="7597"/>
            <w:vAlign w:val="top"/>
            <w:shd w:fill="F1F5F7"/>
            <w:tcMar>
              <w:top w:w="65" w:type="dxa"/>
              <w:left w:w="95" w:type="dxa"/>
              <w:bottom w:w="65" w:type="dxa"/>
              <w:right w:w="95" w:type="dxa"/>
            </w:tcMar>
          </w:tcPr>
          <w:p>
            <w:pPr>
              <w:pStyle w:val="TableText"/>
            </w:pPr>
            <w:r>
              <w:rPr>
                <w:rFonts w:ascii="Arial" w:hAnsi="Arial"/>
                <w:b w:val="0"/>
              </w:rPr>
              <w:t>Sans continuité préservée et sans support viable, une personne morte demeure morte. Une archive de souvenirs ne suffit pas.</w:t>
            </w:r>
          </w:p>
        </w:tc>
      </w:tr>
      <w:tr>
        <w:trPr>
          <w:cantSplit/>
        </w:trPr>
        <w:tc>
          <w:tcPr>
            <w:tcW w:type="dxa" w:w="2268"/>
            <w:vAlign w:val="top"/>
            <w:shd w:fill="FFFFFF"/>
            <w:tcMar>
              <w:top w:w="65" w:type="dxa"/>
              <w:left w:w="95" w:type="dxa"/>
              <w:bottom w:w="65" w:type="dxa"/>
              <w:right w:w="95" w:type="dxa"/>
            </w:tcMar>
          </w:tcPr>
          <w:p>
            <w:pPr>
              <w:pStyle w:val="TableText"/>
            </w:pPr>
            <w:r>
              <w:rPr>
                <w:rFonts w:ascii="Arial" w:hAnsi="Arial"/>
                <w:b w:val="0"/>
              </w:rPr>
              <w:t>Pas d’invulnérabilité causale</w:t>
            </w:r>
          </w:p>
        </w:tc>
        <w:tc>
          <w:tcPr>
            <w:tcW w:type="dxa" w:w="7597"/>
            <w:vAlign w:val="top"/>
            <w:shd w:fill="FFFFFF"/>
            <w:tcMar>
              <w:top w:w="65" w:type="dxa"/>
              <w:left w:w="95" w:type="dxa"/>
              <w:bottom w:w="65" w:type="dxa"/>
              <w:right w:w="95" w:type="dxa"/>
            </w:tcMar>
          </w:tcPr>
          <w:p>
            <w:pPr>
              <w:pStyle w:val="TableText"/>
            </w:pPr>
            <w:r>
              <w:rPr>
                <w:rFonts w:ascii="Arial" w:hAnsi="Arial"/>
                <w:b w:val="0"/>
              </w:rPr>
              <w:t>H₁ peut mourir après son extraction. Son origine ne le protège ni des combats ni de ses décisions.</w:t>
            </w:r>
          </w:p>
        </w:tc>
      </w:tr>
    </w:tbl>
    <w:p>
      <w:pPr>
        <w:spacing w:after="0"/>
      </w:pPr>
    </w:p>
    <w:p>
      <w:pPr>
        <w:pStyle w:val="Heading2"/>
      </w:pPr>
      <w:r>
        <w:t>Exemple complet</w:t>
      </w:r>
    </w:p>
    <w:p>
      <w:r>
        <w:rPr>
          <w:rFonts w:ascii="Arial" w:hAnsi="Arial"/>
          <w:b w:val="0"/>
        </w:rPr>
        <w:t>À Z, Séveran entre dans A₁. Il frappe C₁, qui s’est interposé. Nacre extrait H₁ ; le lien de l’assaillant ramène celui-ci au présent. Nacre suspend aussitôt le reliquat de l’enceinte, où C₁ conserve un noyau encore viable. Le héros vit ensuite neuf mois sur Orthe.</w:t>
      </w:r>
    </w:p>
    <w:p>
      <w:r>
        <w:rPr>
          <w:rFonts w:ascii="Arial" w:hAnsi="Arial"/>
          <w:b w:val="0"/>
        </w:rPr>
        <w:t xml:space="preserve">Au dénouement, les alliés rouvrent </w:t>
      </w:r>
      <w:r>
        <w:rPr>
          <w:rFonts w:ascii="Arial" w:hAnsi="Arial"/>
          <w:b/>
        </w:rPr>
        <w:t>la même enceinte, à sa seconde 146</w:t>
      </w:r>
      <w:r>
        <w:rPr>
          <w:rFonts w:ascii="Arial" w:hAnsi="Arial"/>
          <w:b w:val="0"/>
        </w:rPr>
        <w:t>. H₁ a déjà disparu de cette scène. Le héros revenu peut donc récupérer C₁ sans empêcher sa propre extraction. Il ne recrée pas le partenaire et ne remplace pas un mort par une autre version.</w:t>
      </w:r>
    </w:p>
    <w:p>
      <w:r>
        <w:rPr>
          <w:rFonts w:ascii="Arial" w:hAnsi="Arial"/>
          <w:b w:val="0"/>
        </w:rPr>
        <w:t>Les durées sont des valeurs de travail. Leur fonction est de rendre le sauvetage unique et lisible. Le jeu n’a pas besoin d’imposer au joueur un chronomètre réel de 34 secondes pour représenter ce temps narratif.</w:t>
      </w:r>
    </w:p>
    <w:p>
      <w:r>
        <w:br w:type="page"/>
      </w:r>
    </w:p>
    <w:p>
      <w:pPr>
        <w:spacing w:after="60"/>
      </w:pPr>
      <w:r>
        <w:rPr>
          <w:rFonts w:ascii="Arial" w:hAnsi="Arial"/>
          <w:b/>
          <w:color w:val="677784"/>
          <w:sz w:val="16"/>
        </w:rPr>
        <w:t>L’HISTOIRE DU MONDE</w:t>
      </w:r>
    </w:p>
    <w:p>
      <w:bookmarkStart w:id="8" w:name="section_08"/>
      <w:pPr>
        <w:pStyle w:val="Heading1"/>
      </w:pPr>
      <w:r>
        <w:t>07 — Chronologie : les origines à A</w:t>
      </w:r>
      <w:bookmarkEnd w:id="8"/>
    </w:p>
    <w:tbl>
      <w:tblPr>
        <w:tblW w:type="auto" w:w="0"/>
        <w:jc w:val="center"/>
        <w:tblLayout w:type="fixed"/>
        <w:tblLook w:firstColumn="1" w:firstRow="1" w:lastColumn="0" w:lastRow="0" w:noHBand="0" w:noVBand="1" w:val="04A0"/>
      </w:tblPr>
      <w:tblGrid>
        <w:gridCol w:w="2041"/>
        <w:gridCol w:w="7824"/>
      </w:tblGrid>
      <w:tr>
        <w:trPr>
          <w:tblHeader/>
        </w:trPr>
        <w:tc>
          <w:tcPr>
            <w:tcW w:type="dxa" w:w="2041"/>
            <w:vAlign w:val="center"/>
            <w:shd w:fill="253A52"/>
            <w:tcMar>
              <w:top w:w="65" w:type="dxa"/>
              <w:left w:w="95" w:type="dxa"/>
              <w:bottom w:w="65" w:type="dxa"/>
              <w:right w:w="95" w:type="dxa"/>
            </w:tcMar>
          </w:tcPr>
          <w:p>
            <w:pPr>
              <w:pStyle w:val="TableText"/>
            </w:pPr>
            <w:r>
              <w:rPr>
                <w:rFonts w:ascii="Arial" w:hAnsi="Arial"/>
                <w:b/>
                <w:color w:val="FFFFFF"/>
              </w:rPr>
              <w:t>Période</w:t>
            </w:r>
          </w:p>
        </w:tc>
        <w:tc>
          <w:tcPr>
            <w:tcW w:type="dxa" w:w="7824"/>
            <w:vAlign w:val="center"/>
            <w:shd w:fill="253A52"/>
            <w:tcMar>
              <w:top w:w="65" w:type="dxa"/>
              <w:left w:w="95" w:type="dxa"/>
              <w:bottom w:w="65" w:type="dxa"/>
              <w:right w:w="95" w:type="dxa"/>
            </w:tcMar>
          </w:tcPr>
          <w:p>
            <w:pPr>
              <w:pStyle w:val="TableText"/>
            </w:pPr>
            <w:r>
              <w:rPr>
                <w:rFonts w:ascii="Arial" w:hAnsi="Arial"/>
                <w:b/>
                <w:color w:val="FFFFFF"/>
              </w:rPr>
              <w:t>Ce qui se passe</w:t>
            </w:r>
          </w:p>
        </w:tc>
      </w:tr>
      <w:tr>
        <w:trPr>
          <w:cantSplit/>
        </w:trPr>
        <w:tc>
          <w:tcPr>
            <w:tcW w:type="dxa" w:w="2041"/>
            <w:vAlign w:val="top"/>
            <w:shd w:fill="F1F5F7"/>
            <w:tcMar>
              <w:top w:w="65" w:type="dxa"/>
              <w:left w:w="95" w:type="dxa"/>
              <w:bottom w:w="65" w:type="dxa"/>
              <w:right w:w="95" w:type="dxa"/>
            </w:tcMar>
          </w:tcPr>
          <w:p>
            <w:pPr>
              <w:pStyle w:val="TableText"/>
            </w:pPr>
            <w:r>
              <w:rPr>
                <w:rFonts w:ascii="Arial" w:hAnsi="Arial"/>
                <w:b w:val="0"/>
              </w:rPr>
              <w:t>Temps primordial</w:t>
            </w:r>
          </w:p>
        </w:tc>
        <w:tc>
          <w:tcPr>
            <w:tcW w:type="dxa" w:w="7824"/>
            <w:vAlign w:val="top"/>
            <w:shd w:fill="F1F5F7"/>
            <w:tcMar>
              <w:top w:w="65" w:type="dxa"/>
              <w:left w:w="95" w:type="dxa"/>
              <w:bottom w:w="65" w:type="dxa"/>
              <w:right w:w="95" w:type="dxa"/>
            </w:tcMar>
          </w:tcPr>
          <w:p>
            <w:pPr>
              <w:pStyle w:val="TableText"/>
            </w:pPr>
            <w:r>
              <w:rPr>
                <w:rFonts w:ascii="Arial" w:hAnsi="Arial"/>
                <w:b w:val="0"/>
              </w:rPr>
              <w:t>Le germe cosmique se développe. Les fondateurs stabilisent les premières structures. Le berceau matériel devient Orthe, dans l’univers unique ainsi ouvert.</w:t>
            </w:r>
          </w:p>
        </w:tc>
      </w:tr>
      <w:tr>
        <w:trPr>
          <w:cantSplit/>
        </w:trPr>
        <w:tc>
          <w:tcPr>
            <w:tcW w:type="dxa" w:w="2041"/>
            <w:vAlign w:val="top"/>
            <w:shd w:fill="FFFFFF"/>
            <w:tcMar>
              <w:top w:w="65" w:type="dxa"/>
              <w:left w:w="95" w:type="dxa"/>
              <w:bottom w:w="65" w:type="dxa"/>
              <w:right w:w="95" w:type="dxa"/>
            </w:tcMar>
          </w:tcPr>
          <w:p>
            <w:pPr>
              <w:pStyle w:val="TableText"/>
            </w:pPr>
            <w:r>
              <w:rPr>
                <w:rFonts w:ascii="Arial" w:hAnsi="Arial"/>
                <w:b w:val="0"/>
              </w:rPr>
              <w:t>Ères de fondation</w:t>
            </w:r>
          </w:p>
        </w:tc>
        <w:tc>
          <w:tcPr>
            <w:tcW w:type="dxa" w:w="7824"/>
            <w:vAlign w:val="top"/>
            <w:shd w:fill="FFFFFF"/>
            <w:tcMar>
              <w:top w:w="65" w:type="dxa"/>
              <w:left w:w="95" w:type="dxa"/>
              <w:bottom w:w="65" w:type="dxa"/>
              <w:right w:w="95" w:type="dxa"/>
            </w:tcMar>
          </w:tcPr>
          <w:p>
            <w:pPr>
              <w:pStyle w:val="TableText"/>
            </w:pPr>
            <w:r>
              <w:rPr>
                <w:rFonts w:ascii="Arial" w:hAnsi="Arial"/>
                <w:b w:val="0"/>
              </w:rPr>
              <w:t>Des cultures humaines et des lignées de Porteurs se développent. Les infrastructures de fondation prennent des formes politiques différentes selon les régions.</w:t>
            </w:r>
          </w:p>
        </w:tc>
      </w:tr>
      <w:tr>
        <w:trPr>
          <w:cantSplit/>
        </w:trPr>
        <w:tc>
          <w:tcPr>
            <w:tcW w:type="dxa" w:w="2041"/>
            <w:vAlign w:val="top"/>
            <w:shd w:fill="F1F5F7"/>
            <w:tcMar>
              <w:top w:w="65" w:type="dxa"/>
              <w:left w:w="95" w:type="dxa"/>
              <w:bottom w:w="65" w:type="dxa"/>
              <w:right w:w="95" w:type="dxa"/>
            </w:tcMar>
          </w:tcPr>
          <w:p>
            <w:pPr>
              <w:pStyle w:val="TableText"/>
            </w:pPr>
            <w:r>
              <w:rPr>
                <w:rFonts w:ascii="Arial" w:hAnsi="Arial"/>
                <w:b w:val="0"/>
              </w:rPr>
              <w:t>Grandes migrations</w:t>
            </w:r>
          </w:p>
        </w:tc>
        <w:tc>
          <w:tcPr>
            <w:tcW w:type="dxa" w:w="7824"/>
            <w:vAlign w:val="top"/>
            <w:shd w:fill="F1F5F7"/>
            <w:tcMar>
              <w:top w:w="65" w:type="dxa"/>
              <w:left w:w="95" w:type="dxa"/>
              <w:bottom w:w="65" w:type="dxa"/>
              <w:right w:w="95" w:type="dxa"/>
            </w:tcMar>
          </w:tcPr>
          <w:p>
            <w:pPr>
              <w:pStyle w:val="TableText"/>
            </w:pPr>
            <w:r>
              <w:rPr>
                <w:rFonts w:ascii="Arial" w:hAnsi="Arial"/>
                <w:b w:val="0"/>
              </w:rPr>
              <w:t>Des populations gagnent d’autres planètes. Des descendants de ces populations formeront notamment les sociétés de Sélis. L’origine commune s’efface progressivement des mémoires.</w:t>
            </w:r>
          </w:p>
        </w:tc>
      </w:tr>
      <w:tr>
        <w:trPr>
          <w:cantSplit/>
        </w:trPr>
        <w:tc>
          <w:tcPr>
            <w:tcW w:type="dxa" w:w="2041"/>
            <w:vAlign w:val="top"/>
            <w:shd w:fill="FFFFFF"/>
            <w:tcMar>
              <w:top w:w="65" w:type="dxa"/>
              <w:left w:w="95" w:type="dxa"/>
              <w:bottom w:w="65" w:type="dxa"/>
              <w:right w:w="95" w:type="dxa"/>
            </w:tcMar>
          </w:tcPr>
          <w:p>
            <w:pPr>
              <w:pStyle w:val="TableText"/>
            </w:pPr>
            <w:r>
              <w:rPr>
                <w:rFonts w:ascii="Arial" w:hAnsi="Arial"/>
                <w:b w:val="0"/>
              </w:rPr>
              <w:t>Crises des Créateurs</w:t>
            </w:r>
          </w:p>
        </w:tc>
        <w:tc>
          <w:tcPr>
            <w:tcW w:type="dxa" w:w="7824"/>
            <w:vAlign w:val="top"/>
            <w:shd w:fill="FFFFFF"/>
            <w:tcMar>
              <w:top w:w="65" w:type="dxa"/>
              <w:left w:w="95" w:type="dxa"/>
              <w:bottom w:w="65" w:type="dxa"/>
              <w:right w:w="95" w:type="dxa"/>
            </w:tcMar>
          </w:tcPr>
          <w:p>
            <w:pPr>
              <w:pStyle w:val="TableText"/>
            </w:pPr>
            <w:r>
              <w:rPr>
                <w:rFonts w:ascii="Arial" w:hAnsi="Arial"/>
                <w:b w:val="0"/>
              </w:rPr>
              <w:t>Des factions utilisent leurs pouvoirs contre des civils. Séveran, autrefois chargé de la régulation, transforme cette catastrophe en justification de son projet sécuritaire.</w:t>
            </w:r>
          </w:p>
        </w:tc>
      </w:tr>
      <w:tr>
        <w:trPr>
          <w:cantSplit/>
        </w:trPr>
        <w:tc>
          <w:tcPr>
            <w:tcW w:type="dxa" w:w="2041"/>
            <w:vAlign w:val="top"/>
            <w:shd w:fill="F1F5F7"/>
            <w:tcMar>
              <w:top w:w="65" w:type="dxa"/>
              <w:left w:w="95" w:type="dxa"/>
              <w:bottom w:w="65" w:type="dxa"/>
              <w:right w:w="95" w:type="dxa"/>
            </w:tcMar>
          </w:tcPr>
          <w:p>
            <w:pPr>
              <w:pStyle w:val="TableText"/>
            </w:pPr>
            <w:r>
              <w:rPr>
                <w:rFonts w:ascii="Arial" w:hAnsi="Arial"/>
                <w:b w:val="0"/>
              </w:rPr>
              <w:t>Environ A − 6 000 ans</w:t>
            </w:r>
          </w:p>
        </w:tc>
        <w:tc>
          <w:tcPr>
            <w:tcW w:type="dxa" w:w="7824"/>
            <w:vAlign w:val="top"/>
            <w:shd w:fill="F1F5F7"/>
            <w:tcMar>
              <w:top w:w="65" w:type="dxa"/>
              <w:left w:w="95" w:type="dxa"/>
              <w:bottom w:w="65" w:type="dxa"/>
              <w:right w:w="95" w:type="dxa"/>
            </w:tcMar>
          </w:tcPr>
          <w:p>
            <w:pPr>
              <w:pStyle w:val="TableText"/>
            </w:pPr>
            <w:r>
              <w:rPr>
                <w:rFonts w:ascii="Arial" w:hAnsi="Arial"/>
                <w:b w:val="0"/>
              </w:rPr>
              <w:t>Le Concordat impose le Grand Bâillon. Les signatures connues sont bridées. Une tentative de préserver des noyaux non enregistrés a toutefois précédé la fermeture complète du réseau.</w:t>
            </w:r>
          </w:p>
        </w:tc>
      </w:tr>
      <w:tr>
        <w:trPr>
          <w:cantSplit/>
        </w:trPr>
        <w:tc>
          <w:tcPr>
            <w:tcW w:type="dxa" w:w="2041"/>
            <w:vAlign w:val="top"/>
            <w:shd w:fill="FFFFFF"/>
            <w:tcMar>
              <w:top w:w="65" w:type="dxa"/>
              <w:left w:w="95" w:type="dxa"/>
              <w:bottom w:w="65" w:type="dxa"/>
              <w:right w:w="95" w:type="dxa"/>
            </w:tcMar>
          </w:tcPr>
          <w:p>
            <w:pPr>
              <w:pStyle w:val="TableText"/>
            </w:pPr>
            <w:r>
              <w:rPr>
                <w:rFonts w:ascii="Arial" w:hAnsi="Arial"/>
                <w:b w:val="0"/>
              </w:rPr>
              <w:t>Longue occupation</w:t>
            </w:r>
          </w:p>
        </w:tc>
        <w:tc>
          <w:tcPr>
            <w:tcW w:type="dxa" w:w="7824"/>
            <w:vAlign w:val="top"/>
            <w:shd w:fill="FFFFFF"/>
            <w:tcMar>
              <w:top w:w="65" w:type="dxa"/>
              <w:left w:w="95" w:type="dxa"/>
              <w:bottom w:w="65" w:type="dxa"/>
              <w:right w:w="95" w:type="dxa"/>
            </w:tcMar>
          </w:tcPr>
          <w:p>
            <w:pPr>
              <w:pStyle w:val="TableText"/>
            </w:pPr>
            <w:r>
              <w:rPr>
                <w:rFonts w:ascii="Arial" w:hAnsi="Arial"/>
                <w:b w:val="0"/>
              </w:rPr>
              <w:t>Les régions s’adaptent différemment : collaboration, révoltes, arrangements, migrations. C cherche des traces du programme de sauvegarde sur plusieurs mondes.</w:t>
            </w:r>
          </w:p>
        </w:tc>
      </w:tr>
      <w:tr>
        <w:trPr>
          <w:cantSplit/>
        </w:trPr>
        <w:tc>
          <w:tcPr>
            <w:tcW w:type="dxa" w:w="2041"/>
            <w:vAlign w:val="top"/>
            <w:shd w:fill="F1F5F7"/>
            <w:tcMar>
              <w:top w:w="65" w:type="dxa"/>
              <w:left w:w="95" w:type="dxa"/>
              <w:bottom w:w="65" w:type="dxa"/>
              <w:right w:w="95" w:type="dxa"/>
            </w:tcMar>
          </w:tcPr>
          <w:p>
            <w:pPr>
              <w:pStyle w:val="TableText"/>
            </w:pPr>
            <w:r>
              <w:rPr>
                <w:rFonts w:ascii="Arial" w:hAnsi="Arial"/>
                <w:b w:val="0"/>
              </w:rPr>
              <w:t>A − 29 ans</w:t>
            </w:r>
          </w:p>
        </w:tc>
        <w:tc>
          <w:tcPr>
            <w:tcW w:type="dxa" w:w="7824"/>
            <w:vAlign w:val="top"/>
            <w:shd w:fill="F1F5F7"/>
            <w:tcMar>
              <w:top w:w="65" w:type="dxa"/>
              <w:left w:w="95" w:type="dxa"/>
              <w:bottom w:w="65" w:type="dxa"/>
              <w:right w:w="95" w:type="dxa"/>
            </w:tcMar>
          </w:tcPr>
          <w:p>
            <w:pPr>
              <w:pStyle w:val="TableText"/>
            </w:pPr>
            <w:r>
              <w:rPr>
                <w:rFonts w:ascii="Arial" w:hAnsi="Arial"/>
                <w:b w:val="0"/>
              </w:rPr>
              <w:t>Une expédition retrouve H dans sa capsule sur Sélis. Une famille locale l’accueille. L’institution chargée de sa sécurité ne connaît pas l’ensemble du plan ancien.</w:t>
            </w:r>
          </w:p>
        </w:tc>
      </w:tr>
      <w:tr>
        <w:trPr>
          <w:cantSplit/>
        </w:trPr>
        <w:tc>
          <w:tcPr>
            <w:tcW w:type="dxa" w:w="2041"/>
            <w:vAlign w:val="top"/>
            <w:shd w:fill="FFFFFF"/>
            <w:tcMar>
              <w:top w:w="65" w:type="dxa"/>
              <w:left w:w="95" w:type="dxa"/>
              <w:bottom w:w="65" w:type="dxa"/>
              <w:right w:w="95" w:type="dxa"/>
            </w:tcMar>
          </w:tcPr>
          <w:p>
            <w:pPr>
              <w:pStyle w:val="TableText"/>
            </w:pPr>
            <w:r>
              <w:rPr>
                <w:rFonts w:ascii="Arial" w:hAnsi="Arial"/>
                <w:b w:val="0"/>
              </w:rPr>
              <w:t>A − 5 ans</w:t>
            </w:r>
          </w:p>
        </w:tc>
        <w:tc>
          <w:tcPr>
            <w:tcW w:type="dxa" w:w="7824"/>
            <w:vAlign w:val="top"/>
            <w:shd w:fill="FFFFFF"/>
            <w:tcMar>
              <w:top w:w="65" w:type="dxa"/>
              <w:left w:w="95" w:type="dxa"/>
              <w:bottom w:w="65" w:type="dxa"/>
              <w:right w:w="95" w:type="dxa"/>
            </w:tcMar>
          </w:tcPr>
          <w:p>
            <w:pPr>
              <w:pStyle w:val="TableText"/>
            </w:pPr>
            <w:r>
              <w:rPr>
                <w:rFonts w:ascii="Arial" w:hAnsi="Arial"/>
                <w:b w:val="0"/>
              </w:rPr>
              <w:t>H, désormais adulte, rencontre personnellement C dans un milieu de recherche. C possède une couverture scientifique, mais leurs travaux communs et leur amitié sont réels.</w:t>
            </w:r>
          </w:p>
        </w:tc>
      </w:tr>
      <w:tr>
        <w:trPr>
          <w:cantSplit/>
        </w:trPr>
        <w:tc>
          <w:tcPr>
            <w:tcW w:type="dxa" w:w="2041"/>
            <w:vAlign w:val="top"/>
            <w:shd w:fill="F1F5F7"/>
            <w:tcMar>
              <w:top w:w="65" w:type="dxa"/>
              <w:left w:w="95" w:type="dxa"/>
              <w:bottom w:w="65" w:type="dxa"/>
              <w:right w:w="95" w:type="dxa"/>
            </w:tcMar>
          </w:tcPr>
          <w:p>
            <w:pPr>
              <w:pStyle w:val="TableText"/>
            </w:pPr>
            <w:r>
              <w:rPr>
                <w:rFonts w:ascii="Arial" w:hAnsi="Arial"/>
                <w:b w:val="0"/>
              </w:rPr>
              <w:t>A − 2 ans</w:t>
            </w:r>
          </w:p>
        </w:tc>
        <w:tc>
          <w:tcPr>
            <w:tcW w:type="dxa" w:w="7824"/>
            <w:vAlign w:val="top"/>
            <w:shd w:fill="F1F5F7"/>
            <w:tcMar>
              <w:top w:w="65" w:type="dxa"/>
              <w:left w:w="95" w:type="dxa"/>
              <w:bottom w:w="65" w:type="dxa"/>
              <w:right w:w="95" w:type="dxa"/>
            </w:tcMar>
          </w:tcPr>
          <w:p>
            <w:pPr>
              <w:pStyle w:val="TableText"/>
            </w:pPr>
            <w:r>
              <w:rPr>
                <w:rFonts w:ascii="Arial" w:hAnsi="Arial"/>
                <w:b w:val="0"/>
              </w:rPr>
              <w:t>Le couple se forme. C renonce à une mission qui exige de manipuler les choix de H et transmet sa démission. C n’a pas encore osé lui révéler toute son origine : cette faute aura un poids réel.</w:t>
            </w:r>
          </w:p>
        </w:tc>
      </w:tr>
      <w:tr>
        <w:trPr>
          <w:cantSplit/>
        </w:trPr>
        <w:tc>
          <w:tcPr>
            <w:tcW w:type="dxa" w:w="2041"/>
            <w:vAlign w:val="top"/>
            <w:shd w:fill="FFFFFF"/>
            <w:tcMar>
              <w:top w:w="65" w:type="dxa"/>
              <w:left w:w="95" w:type="dxa"/>
              <w:bottom w:w="65" w:type="dxa"/>
              <w:right w:w="95" w:type="dxa"/>
            </w:tcMar>
          </w:tcPr>
          <w:p>
            <w:pPr>
              <w:pStyle w:val="TableText"/>
            </w:pPr>
            <w:r>
              <w:rPr>
                <w:rFonts w:ascii="Arial" w:hAnsi="Arial"/>
                <w:b w:val="0"/>
              </w:rPr>
              <w:t>A, avant la divergence</w:t>
            </w:r>
          </w:p>
        </w:tc>
        <w:tc>
          <w:tcPr>
            <w:tcW w:type="dxa" w:w="7824"/>
            <w:vAlign w:val="top"/>
            <w:shd w:fill="FFFFFF"/>
            <w:tcMar>
              <w:top w:w="65" w:type="dxa"/>
              <w:left w:w="95" w:type="dxa"/>
              <w:bottom w:w="65" w:type="dxa"/>
              <w:right w:w="95" w:type="dxa"/>
            </w:tcMar>
          </w:tcPr>
          <w:p>
            <w:pPr>
              <w:pStyle w:val="TableText"/>
            </w:pPr>
            <w:r>
              <w:rPr>
                <w:rFonts w:ascii="Arial" w:hAnsi="Arial"/>
                <w:b w:val="0"/>
              </w:rPr>
              <w:t>Le couple teste l’anneau témoin. Leurs gestes ordinaires, une dispute tendre, un projet partagé et la perspective d’une confidence fondent l’attachement du prologue.</w:t>
            </w:r>
          </w:p>
        </w:tc>
      </w:tr>
    </w:tbl>
    <w:p>
      <w:pPr>
        <w:spacing w:after="0"/>
      </w:pPr>
    </w:p>
    <w:p>
      <w:r>
        <w:rPr>
          <w:rFonts w:ascii="Arial" w:hAnsi="Arial"/>
          <w:b/>
        </w:rPr>
        <w:t>Rôle de la famille de Sélis :</w:t>
      </w:r>
      <w:r>
        <w:rPr>
          <w:rFonts w:ascii="Arial" w:hAnsi="Arial"/>
          <w:b w:val="0"/>
        </w:rPr>
        <w:t xml:space="preserve"> elle ne disparaît pas du scénario une fois l’origine extraordinaire révélée. H a été aimé, éduqué et formé par des personnes ordinaires. Ses capacités ne remplacent pas ce qu’il leur doit.</w:t>
      </w:r>
    </w:p>
    <w:p>
      <w:r>
        <w:br w:type="page"/>
      </w:r>
    </w:p>
    <w:p>
      <w:pPr>
        <w:spacing w:after="60"/>
      </w:pPr>
      <w:r>
        <w:rPr>
          <w:rFonts w:ascii="Arial" w:hAnsi="Arial"/>
          <w:b/>
          <w:color w:val="677784"/>
          <w:sz w:val="16"/>
        </w:rPr>
        <w:t>CE QUE H₁ N’A PAS VÉCU</w:t>
      </w:r>
    </w:p>
    <w:p>
      <w:bookmarkStart w:id="9" w:name="section_09"/>
      <w:pPr>
        <w:pStyle w:val="Heading1"/>
      </w:pPr>
      <w:r>
        <w:t>08 — Chronologie : l’histoire-source</w:t>
      </w:r>
      <w:bookmarkEnd w:id="9"/>
    </w:p>
    <w:tbl>
      <w:tblPr>
        <w:tblW w:type="auto" w:w="0"/>
        <w:jc w:val="center"/>
        <w:tblLayout w:type="fixed"/>
        <w:tblLook w:firstColumn="1" w:firstRow="1" w:lastColumn="0" w:lastRow="0" w:noHBand="0" w:noVBand="1" w:val="04A0"/>
      </w:tblPr>
      <w:tblGrid>
        <w:gridCol w:w="2098"/>
        <w:gridCol w:w="7767"/>
      </w:tblGrid>
      <w:tr>
        <w:trPr>
          <w:tblHeader/>
        </w:trPr>
        <w:tc>
          <w:tcPr>
            <w:tcW w:type="dxa" w:w="2098"/>
            <w:vAlign w:val="center"/>
            <w:shd w:fill="253A52"/>
            <w:tcMar>
              <w:top w:w="65" w:type="dxa"/>
              <w:left w:w="95" w:type="dxa"/>
              <w:bottom w:w="65" w:type="dxa"/>
              <w:right w:w="95" w:type="dxa"/>
            </w:tcMar>
          </w:tcPr>
          <w:p>
            <w:pPr>
              <w:pStyle w:val="TableText"/>
            </w:pPr>
            <w:r>
              <w:rPr>
                <w:rFonts w:ascii="Arial" w:hAnsi="Arial"/>
                <w:b/>
                <w:color w:val="FFFFFF"/>
              </w:rPr>
              <w:t>Période</w:t>
            </w:r>
          </w:p>
        </w:tc>
        <w:tc>
          <w:tcPr>
            <w:tcW w:type="dxa" w:w="7767"/>
            <w:vAlign w:val="center"/>
            <w:shd w:fill="253A52"/>
            <w:tcMar>
              <w:top w:w="65" w:type="dxa"/>
              <w:left w:w="95" w:type="dxa"/>
              <w:bottom w:w="65" w:type="dxa"/>
              <w:right w:w="95" w:type="dxa"/>
            </w:tcMar>
          </w:tcPr>
          <w:p>
            <w:pPr>
              <w:pStyle w:val="TableText"/>
            </w:pPr>
            <w:r>
              <w:rPr>
                <w:rFonts w:ascii="Arial" w:hAnsi="Arial"/>
                <w:b/>
                <w:color w:val="FFFFFF"/>
              </w:rPr>
              <w:t>Ce qui se passe réellement dans la source</w:t>
            </w:r>
          </w:p>
        </w:tc>
      </w:tr>
      <w:tr>
        <w:trPr>
          <w:cantSplit/>
        </w:trPr>
        <w:tc>
          <w:tcPr>
            <w:tcW w:type="dxa" w:w="2098"/>
            <w:vAlign w:val="top"/>
            <w:shd w:fill="F1F5F7"/>
            <w:tcMar>
              <w:top w:w="65" w:type="dxa"/>
              <w:left w:w="95" w:type="dxa"/>
              <w:bottom w:w="65" w:type="dxa"/>
              <w:right w:w="95" w:type="dxa"/>
            </w:tcMar>
          </w:tcPr>
          <w:p>
            <w:pPr>
              <w:pStyle w:val="TableText"/>
            </w:pPr>
            <w:r>
              <w:rPr>
                <w:rFonts w:ascii="Arial" w:hAnsi="Arial"/>
                <w:b w:val="0"/>
              </w:rPr>
              <w:t>A₀</w:t>
            </w:r>
          </w:p>
        </w:tc>
        <w:tc>
          <w:tcPr>
            <w:tcW w:type="dxa" w:w="7767"/>
            <w:vAlign w:val="top"/>
            <w:shd w:fill="F1F5F7"/>
            <w:tcMar>
              <w:top w:w="65" w:type="dxa"/>
              <w:left w:w="95" w:type="dxa"/>
              <w:bottom w:w="65" w:type="dxa"/>
              <w:right w:w="95" w:type="dxa"/>
            </w:tcMar>
          </w:tcPr>
          <w:p>
            <w:pPr>
              <w:pStyle w:val="TableText"/>
            </w:pPr>
            <w:r>
              <w:rPr>
                <w:rFonts w:ascii="Arial" w:hAnsi="Arial"/>
                <w:b w:val="0"/>
              </w:rPr>
              <w:t>L’expérience s’achève sans attaque. Le couple continue sa vie. L’anneau témoin conserve l’empreinte qui servira bien plus tard.</w:t>
            </w:r>
          </w:p>
        </w:tc>
      </w:tr>
      <w:tr>
        <w:trPr>
          <w:cantSplit/>
        </w:trPr>
        <w:tc>
          <w:tcPr>
            <w:tcW w:type="dxa" w:w="2098"/>
            <w:vAlign w:val="top"/>
            <w:shd w:fill="FFFFFF"/>
            <w:tcMar>
              <w:top w:w="65" w:type="dxa"/>
              <w:left w:w="95" w:type="dxa"/>
              <w:bottom w:w="65" w:type="dxa"/>
              <w:right w:w="95" w:type="dxa"/>
            </w:tcMar>
          </w:tcPr>
          <w:p>
            <w:pPr>
              <w:pStyle w:val="TableText"/>
            </w:pPr>
            <w:r>
              <w:rPr>
                <w:rFonts w:ascii="Arial" w:hAnsi="Arial"/>
                <w:b w:val="0"/>
              </w:rPr>
              <w:t>A → G</w:t>
            </w:r>
          </w:p>
        </w:tc>
        <w:tc>
          <w:tcPr>
            <w:tcW w:type="dxa" w:w="7767"/>
            <w:vAlign w:val="top"/>
            <w:shd w:fill="FFFFFF"/>
            <w:tcMar>
              <w:top w:w="65" w:type="dxa"/>
              <w:left w:w="95" w:type="dxa"/>
              <w:bottom w:w="65" w:type="dxa"/>
              <w:right w:w="95" w:type="dxa"/>
            </w:tcMar>
          </w:tcPr>
          <w:p>
            <w:pPr>
              <w:pStyle w:val="TableText"/>
            </w:pPr>
            <w:r>
              <w:rPr>
                <w:rFonts w:ascii="Arial" w:hAnsi="Arial"/>
                <w:b w:val="0"/>
              </w:rPr>
              <w:t>H₀ étudie les anomalies du vestige. C₀ participe aux recherches et finit par expliquer son origine avant leur départ pour Orthe.</w:t>
            </w:r>
          </w:p>
        </w:tc>
      </w:tr>
      <w:tr>
        <w:trPr>
          <w:cantSplit/>
        </w:trPr>
        <w:tc>
          <w:tcPr>
            <w:tcW w:type="dxa" w:w="2098"/>
            <w:vAlign w:val="top"/>
            <w:shd w:fill="F1F5F7"/>
            <w:tcMar>
              <w:top w:w="65" w:type="dxa"/>
              <w:left w:w="95" w:type="dxa"/>
              <w:bottom w:w="65" w:type="dxa"/>
              <w:right w:w="95" w:type="dxa"/>
            </w:tcMar>
          </w:tcPr>
          <w:p>
            <w:pPr>
              <w:pStyle w:val="TableText"/>
            </w:pPr>
            <w:r>
              <w:rPr>
                <w:rFonts w:ascii="Arial" w:hAnsi="Arial"/>
                <w:b w:val="0"/>
              </w:rPr>
              <w:t>G = A + 4 ans</w:t>
            </w:r>
          </w:p>
        </w:tc>
        <w:tc>
          <w:tcPr>
            <w:tcW w:type="dxa" w:w="7767"/>
            <w:vAlign w:val="top"/>
            <w:shd w:fill="F1F5F7"/>
            <w:tcMar>
              <w:top w:w="65" w:type="dxa"/>
              <w:left w:w="95" w:type="dxa"/>
              <w:bottom w:w="65" w:type="dxa"/>
              <w:right w:w="95" w:type="dxa"/>
            </w:tcMar>
          </w:tcPr>
          <w:p>
            <w:pPr>
              <w:pStyle w:val="TableText"/>
            </w:pPr>
            <w:r>
              <w:rPr>
                <w:rFonts w:ascii="Arial" w:hAnsi="Arial"/>
                <w:b w:val="0"/>
              </w:rPr>
              <w:t>Le couple rejoint Orthe. Les habitants identifient le noyau libre de H₀. Ils lui enseignent les bases des Accords ; il propose de réparer leurs infrastructures.</w:t>
            </w:r>
          </w:p>
        </w:tc>
      </w:tr>
      <w:tr>
        <w:trPr>
          <w:cantSplit/>
        </w:trPr>
        <w:tc>
          <w:tcPr>
            <w:tcW w:type="dxa" w:w="2098"/>
            <w:vAlign w:val="top"/>
            <w:shd w:fill="FFFFFF"/>
            <w:tcMar>
              <w:top w:w="65" w:type="dxa"/>
              <w:left w:w="95" w:type="dxa"/>
              <w:bottom w:w="65" w:type="dxa"/>
              <w:right w:w="95" w:type="dxa"/>
            </w:tcMar>
          </w:tcPr>
          <w:p>
            <w:pPr>
              <w:pStyle w:val="TableText"/>
            </w:pPr>
            <w:r>
              <w:rPr>
                <w:rFonts w:ascii="Arial" w:hAnsi="Arial"/>
                <w:b w:val="0"/>
              </w:rPr>
              <w:t>G → A + 8 ans</w:t>
            </w:r>
          </w:p>
        </w:tc>
        <w:tc>
          <w:tcPr>
            <w:tcW w:type="dxa" w:w="7767"/>
            <w:vAlign w:val="top"/>
            <w:shd w:fill="FFFFFF"/>
            <w:tcMar>
              <w:top w:w="65" w:type="dxa"/>
              <w:left w:w="95" w:type="dxa"/>
              <w:bottom w:w="65" w:type="dxa"/>
              <w:right w:w="95" w:type="dxa"/>
            </w:tcMar>
          </w:tcPr>
          <w:p>
            <w:pPr>
              <w:pStyle w:val="TableText"/>
            </w:pPr>
            <w:r>
              <w:rPr>
                <w:rFonts w:ascii="Arial" w:hAnsi="Arial"/>
                <w:b w:val="0"/>
              </w:rPr>
              <w:t>H₀ acquiert une réputation de bienfaiteur. Il soigne des verrous, construit des relais avec Nacre et noue des liens avec les futurs personnages du jeu.</w:t>
            </w:r>
          </w:p>
        </w:tc>
      </w:tr>
      <w:tr>
        <w:trPr>
          <w:cantSplit/>
        </w:trPr>
        <w:tc>
          <w:tcPr>
            <w:tcW w:type="dxa" w:w="2098"/>
            <w:vAlign w:val="top"/>
            <w:shd w:fill="F1F5F7"/>
            <w:tcMar>
              <w:top w:w="65" w:type="dxa"/>
              <w:left w:w="95" w:type="dxa"/>
              <w:bottom w:w="65" w:type="dxa"/>
              <w:right w:w="95" w:type="dxa"/>
            </w:tcMar>
          </w:tcPr>
          <w:p>
            <w:pPr>
              <w:pStyle w:val="TableText"/>
            </w:pPr>
            <w:r>
              <w:rPr>
                <w:rFonts w:ascii="Arial" w:hAnsi="Arial"/>
                <w:b w:val="0"/>
              </w:rPr>
              <w:t>A + 8 à A + 10 ans</w:t>
            </w:r>
          </w:p>
        </w:tc>
        <w:tc>
          <w:tcPr>
            <w:tcW w:type="dxa" w:w="7767"/>
            <w:vAlign w:val="top"/>
            <w:shd w:fill="F1F5F7"/>
            <w:tcMar>
              <w:top w:w="65" w:type="dxa"/>
              <w:left w:w="95" w:type="dxa"/>
              <w:bottom w:w="65" w:type="dxa"/>
              <w:right w:w="95" w:type="dxa"/>
            </w:tcMar>
          </w:tcPr>
          <w:p>
            <w:pPr>
              <w:pStyle w:val="TableText"/>
            </w:pPr>
            <w:r>
              <w:rPr>
                <w:rFonts w:ascii="Arial" w:hAnsi="Arial"/>
                <w:b w:val="0"/>
              </w:rPr>
              <w:t>Des réparations dépendant d’une coordination centrale améliorent d’abord la vie civile. Séveran propose protection et moyens. H₀ accepte des compromis ; C₀ et plusieurs alliés s’y opposent.</w:t>
            </w:r>
          </w:p>
        </w:tc>
      </w:tr>
      <w:tr>
        <w:trPr>
          <w:cantSplit/>
        </w:trPr>
        <w:tc>
          <w:tcPr>
            <w:tcW w:type="dxa" w:w="2098"/>
            <w:vAlign w:val="top"/>
            <w:shd w:fill="FFFFFF"/>
            <w:tcMar>
              <w:top w:w="65" w:type="dxa"/>
              <w:left w:w="95" w:type="dxa"/>
              <w:bottom w:w="65" w:type="dxa"/>
              <w:right w:w="95" w:type="dxa"/>
            </w:tcMar>
          </w:tcPr>
          <w:p>
            <w:pPr>
              <w:pStyle w:val="TableText"/>
            </w:pPr>
            <w:r>
              <w:rPr>
                <w:rFonts w:ascii="Arial" w:hAnsi="Arial"/>
                <w:b w:val="0"/>
              </w:rPr>
              <w:t>A + 10 ans</w:t>
            </w:r>
          </w:p>
        </w:tc>
        <w:tc>
          <w:tcPr>
            <w:tcW w:type="dxa" w:w="7767"/>
            <w:vAlign w:val="top"/>
            <w:shd w:fill="FFFFFF"/>
            <w:tcMar>
              <w:top w:w="65" w:type="dxa"/>
              <w:left w:w="95" w:type="dxa"/>
              <w:bottom w:w="65" w:type="dxa"/>
              <w:right w:w="95" w:type="dxa"/>
            </w:tcMar>
          </w:tcPr>
          <w:p>
            <w:pPr>
              <w:pStyle w:val="TableText"/>
            </w:pPr>
            <w:r>
              <w:rPr>
                <w:rFonts w:ascii="Arial" w:hAnsi="Arial"/>
                <w:b w:val="0"/>
              </w:rPr>
              <w:t>C₀ participe à l’évacuation d’une cité menacée et détruit son propre noyau pour empêcher une capture massive. Séveran a provoqué la crise. Cette mort est définitive.</w:t>
            </w:r>
          </w:p>
        </w:tc>
      </w:tr>
      <w:tr>
        <w:trPr>
          <w:cantSplit/>
        </w:trPr>
        <w:tc>
          <w:tcPr>
            <w:tcW w:type="dxa" w:w="2098"/>
            <w:vAlign w:val="top"/>
            <w:shd w:fill="F1F5F7"/>
            <w:tcMar>
              <w:top w:w="65" w:type="dxa"/>
              <w:left w:w="95" w:type="dxa"/>
              <w:bottom w:w="65" w:type="dxa"/>
              <w:right w:w="95" w:type="dxa"/>
            </w:tcMar>
          </w:tcPr>
          <w:p>
            <w:pPr>
              <w:pStyle w:val="TableText"/>
            </w:pPr>
            <w:r>
              <w:rPr>
                <w:rFonts w:ascii="Arial" w:hAnsi="Arial"/>
                <w:b w:val="0"/>
              </w:rPr>
              <w:t>A + 10 à A + 12 ans</w:t>
            </w:r>
          </w:p>
        </w:tc>
        <w:tc>
          <w:tcPr>
            <w:tcW w:type="dxa" w:w="7767"/>
            <w:vAlign w:val="top"/>
            <w:shd w:fill="F1F5F7"/>
            <w:tcMar>
              <w:top w:w="65" w:type="dxa"/>
              <w:left w:w="95" w:type="dxa"/>
              <w:bottom w:w="65" w:type="dxa"/>
              <w:right w:w="95" w:type="dxa"/>
            </w:tcMar>
          </w:tcPr>
          <w:p>
            <w:pPr>
              <w:pStyle w:val="TableText"/>
            </w:pPr>
            <w:r>
              <w:rPr>
                <w:rFonts w:ascii="Arial" w:hAnsi="Arial"/>
                <w:b w:val="0"/>
              </w:rPr>
              <w:t>H₀, endeuillé, veut rendre impossibles de nouvelles pertes. Ses outils de prévision, de stabilisation et de contrôle des accès renforcent le Concordat. Il se persuade que le contrôle est provisoire.</w:t>
            </w:r>
          </w:p>
        </w:tc>
      </w:tr>
      <w:tr>
        <w:trPr>
          <w:cantSplit/>
        </w:trPr>
        <w:tc>
          <w:tcPr>
            <w:tcW w:type="dxa" w:w="2098"/>
            <w:vAlign w:val="top"/>
            <w:shd w:fill="FFFFFF"/>
            <w:tcMar>
              <w:top w:w="65" w:type="dxa"/>
              <w:left w:w="95" w:type="dxa"/>
              <w:bottom w:w="65" w:type="dxa"/>
              <w:right w:w="95" w:type="dxa"/>
            </w:tcMar>
          </w:tcPr>
          <w:p>
            <w:pPr>
              <w:pStyle w:val="TableText"/>
            </w:pPr>
            <w:r>
              <w:rPr>
                <w:rFonts w:ascii="Arial" w:hAnsi="Arial"/>
                <w:b w:val="0"/>
              </w:rPr>
              <w:t>A + 12 à A + 13 ans</w:t>
            </w:r>
          </w:p>
        </w:tc>
        <w:tc>
          <w:tcPr>
            <w:tcW w:type="dxa" w:w="7767"/>
            <w:vAlign w:val="top"/>
            <w:shd w:fill="FFFFFF"/>
            <w:tcMar>
              <w:top w:w="65" w:type="dxa"/>
              <w:left w:w="95" w:type="dxa"/>
              <w:bottom w:w="65" w:type="dxa"/>
              <w:right w:w="95" w:type="dxa"/>
            </w:tcMar>
          </w:tcPr>
          <w:p>
            <w:pPr>
              <w:pStyle w:val="TableText"/>
            </w:pPr>
            <w:r>
              <w:rPr>
                <w:rFonts w:ascii="Arial" w:hAnsi="Arial"/>
                <w:b w:val="0"/>
              </w:rPr>
              <w:t>Il comprend que ses systèmes servent à réprimer des populations entières. Il découvre aussi que le projet impérial vise à rendre toute évolution dépendante d’une autorisation centrale.</w:t>
            </w:r>
          </w:p>
        </w:tc>
      </w:tr>
      <w:tr>
        <w:trPr>
          <w:cantSplit/>
        </w:trPr>
        <w:tc>
          <w:tcPr>
            <w:tcW w:type="dxa" w:w="2098"/>
            <w:vAlign w:val="top"/>
            <w:shd w:fill="F1F5F7"/>
            <w:tcMar>
              <w:top w:w="65" w:type="dxa"/>
              <w:left w:w="95" w:type="dxa"/>
              <w:bottom w:w="65" w:type="dxa"/>
              <w:right w:w="95" w:type="dxa"/>
            </w:tcMar>
          </w:tcPr>
          <w:p>
            <w:pPr>
              <w:pStyle w:val="TableText"/>
            </w:pPr>
            <w:r>
              <w:rPr>
                <w:rFonts w:ascii="Arial" w:hAnsi="Arial"/>
                <w:b w:val="0"/>
              </w:rPr>
              <w:t>Dernière année avant Z</w:t>
            </w:r>
          </w:p>
        </w:tc>
        <w:tc>
          <w:tcPr>
            <w:tcW w:type="dxa" w:w="7767"/>
            <w:vAlign w:val="top"/>
            <w:shd w:fill="F1F5F7"/>
            <w:tcMar>
              <w:top w:w="65" w:type="dxa"/>
              <w:left w:w="95" w:type="dxa"/>
              <w:bottom w:w="65" w:type="dxa"/>
              <w:right w:w="95" w:type="dxa"/>
            </w:tcMar>
          </w:tcPr>
          <w:p>
            <w:pPr>
              <w:pStyle w:val="TableText"/>
            </w:pPr>
            <w:r>
              <w:rPr>
                <w:rFonts w:ascii="Arial" w:hAnsi="Arial"/>
                <w:b w:val="0"/>
              </w:rPr>
              <w:t>H₀ prépare une architecture distribuée, partage ses recherches avec les régions et développe le prototype chronal à partir de l’ancre de A. Il étudie l’extraction de survivants d’accidents enregistrés, pas une réécriture des morts. A est sa seule ancre complète. Il n’a pas encore validé d’extraction humaine sans risque.</w:t>
            </w:r>
          </w:p>
        </w:tc>
      </w:tr>
      <w:tr>
        <w:trPr>
          <w:cantSplit/>
        </w:trPr>
        <w:tc>
          <w:tcPr>
            <w:tcW w:type="dxa" w:w="2098"/>
            <w:vAlign w:val="top"/>
            <w:shd w:fill="FFFFFF"/>
            <w:tcMar>
              <w:top w:w="65" w:type="dxa"/>
              <w:left w:w="95" w:type="dxa"/>
              <w:bottom w:w="65" w:type="dxa"/>
              <w:right w:w="95" w:type="dxa"/>
            </w:tcMar>
          </w:tcPr>
          <w:p>
            <w:pPr>
              <w:pStyle w:val="TableText"/>
            </w:pPr>
            <w:r>
              <w:rPr>
                <w:rFonts w:ascii="Arial" w:hAnsi="Arial"/>
                <w:b w:val="0"/>
              </w:rPr>
              <w:t>Z = A + 14 ans</w:t>
            </w:r>
          </w:p>
        </w:tc>
        <w:tc>
          <w:tcPr>
            <w:tcW w:type="dxa" w:w="7767"/>
            <w:vAlign w:val="top"/>
            <w:shd w:fill="FFFFFF"/>
            <w:tcMar>
              <w:top w:w="65" w:type="dxa"/>
              <w:left w:w="95" w:type="dxa"/>
              <w:bottom w:w="65" w:type="dxa"/>
              <w:right w:w="95" w:type="dxa"/>
            </w:tcMar>
          </w:tcPr>
          <w:p>
            <w:pPr>
              <w:pStyle w:val="TableText"/>
            </w:pPr>
            <w:r>
              <w:rPr>
                <w:rFonts w:ascii="Arial" w:hAnsi="Arial"/>
                <w:b w:val="0"/>
              </w:rPr>
              <w:t>Avant la première utilisation humaine contrôlée, Séveran s’empare du laboratoire. H₀ refuse de céder les protections finales. Il est tué après avoir armé dans Nacre un secours conditionnel : protéger la signature H en cas d’agression dans la fenêtre. Il anticipe un usage hostile, sans connaître le détail de l’attaque future.</w:t>
            </w:r>
          </w:p>
        </w:tc>
      </w:tr>
    </w:tbl>
    <w:p>
      <w:pPr>
        <w:spacing w:after="0"/>
      </w:pPr>
    </w:p>
    <w:p>
      <w:r>
        <w:rPr>
          <w:rFonts w:ascii="Arial" w:hAnsi="Arial"/>
          <w:b/>
        </w:rPr>
        <w:t>Cause indépendante :</w:t>
      </w:r>
      <w:r>
        <w:rPr>
          <w:rFonts w:ascii="Arial" w:hAnsi="Arial"/>
          <w:b w:val="0"/>
        </w:rPr>
        <w:t xml:space="preserve"> personne ne transmet à H₀ une machine venant de son propre futur. Ses découvertes viennent d’études, d’essais, de collaborateurs et des infrastructures d’Orthe. Le récit possède donc un point d’origine pour sa technologie.</w:t>
      </w:r>
    </w:p>
    <w:p>
      <w:r>
        <w:br w:type="page"/>
      </w:r>
    </w:p>
    <w:p>
      <w:pPr>
        <w:spacing w:after="60"/>
      </w:pPr>
      <w:r>
        <w:rPr>
          <w:rFonts w:ascii="Arial" w:hAnsi="Arial"/>
          <w:b/>
          <w:color w:val="677784"/>
          <w:sz w:val="16"/>
        </w:rPr>
        <w:t>DE A₁ À LA FIN</w:t>
      </w:r>
    </w:p>
    <w:p>
      <w:bookmarkStart w:id="10" w:name="section_10"/>
      <w:pPr>
        <w:pStyle w:val="Heading1"/>
      </w:pPr>
      <w:r>
        <w:t>09 — Chronologie : le parcours joué</w:t>
      </w:r>
      <w:bookmarkEnd w:id="10"/>
    </w:p>
    <w:tbl>
      <w:tblPr>
        <w:tblW w:type="auto" w:w="0"/>
        <w:jc w:val="center"/>
        <w:tblLayout w:type="fixed"/>
        <w:tblLook w:firstColumn="1" w:firstRow="1" w:lastColumn="0" w:lastRow="0" w:noHBand="0" w:noVBand="1" w:val="04A0"/>
      </w:tblPr>
      <w:tblGrid>
        <w:gridCol w:w="2154"/>
        <w:gridCol w:w="7710"/>
      </w:tblGrid>
      <w:tr>
        <w:trPr>
          <w:tblHeader/>
        </w:trPr>
        <w:tc>
          <w:tcPr>
            <w:tcW w:type="dxa" w:w="2154"/>
            <w:vAlign w:val="center"/>
            <w:shd w:fill="253A52"/>
            <w:tcMar>
              <w:top w:w="65" w:type="dxa"/>
              <w:left w:w="95" w:type="dxa"/>
              <w:bottom w:w="65" w:type="dxa"/>
              <w:right w:w="95" w:type="dxa"/>
            </w:tcMar>
          </w:tcPr>
          <w:p>
            <w:pPr>
              <w:pStyle w:val="TableText"/>
            </w:pPr>
            <w:r>
              <w:rPr>
                <w:rFonts w:ascii="Arial" w:hAnsi="Arial"/>
                <w:b/>
                <w:color w:val="FFFFFF"/>
              </w:rPr>
              <w:t>Période</w:t>
            </w:r>
          </w:p>
        </w:tc>
        <w:tc>
          <w:tcPr>
            <w:tcW w:type="dxa" w:w="7710"/>
            <w:vAlign w:val="center"/>
            <w:shd w:fill="253A52"/>
            <w:tcMar>
              <w:top w:w="65" w:type="dxa"/>
              <w:left w:w="95" w:type="dxa"/>
              <w:bottom w:w="65" w:type="dxa"/>
              <w:right w:w="95" w:type="dxa"/>
            </w:tcMar>
          </w:tcPr>
          <w:p>
            <w:pPr>
              <w:pStyle w:val="TableText"/>
            </w:pPr>
            <w:r>
              <w:rPr>
                <w:rFonts w:ascii="Arial" w:hAnsi="Arial"/>
                <w:b/>
                <w:color w:val="FFFFFF"/>
              </w:rPr>
              <w:t>Ce qui se passe pour le joueur</w:t>
            </w:r>
          </w:p>
        </w:tc>
      </w:tr>
      <w:tr>
        <w:trPr>
          <w:cantSplit/>
        </w:trPr>
        <w:tc>
          <w:tcPr>
            <w:tcW w:type="dxa" w:w="2154"/>
            <w:vAlign w:val="top"/>
            <w:shd w:fill="F1F5F7"/>
            <w:tcMar>
              <w:top w:w="65" w:type="dxa"/>
              <w:left w:w="95" w:type="dxa"/>
              <w:bottom w:w="65" w:type="dxa"/>
              <w:right w:w="95" w:type="dxa"/>
            </w:tcMar>
          </w:tcPr>
          <w:p>
            <w:pPr>
              <w:pStyle w:val="TableText"/>
            </w:pPr>
            <w:r>
              <w:rPr>
                <w:rFonts w:ascii="Arial" w:hAnsi="Arial"/>
                <w:b w:val="0"/>
              </w:rPr>
              <w:t>Z, ouverture vers A₁</w:t>
            </w:r>
          </w:p>
        </w:tc>
        <w:tc>
          <w:tcPr>
            <w:tcW w:type="dxa" w:w="7710"/>
            <w:vAlign w:val="top"/>
            <w:shd w:fill="F1F5F7"/>
            <w:tcMar>
              <w:top w:w="65" w:type="dxa"/>
              <w:left w:w="95" w:type="dxa"/>
              <w:bottom w:w="65" w:type="dxa"/>
              <w:right w:w="95" w:type="dxa"/>
            </w:tcMar>
          </w:tcPr>
          <w:p>
            <w:pPr>
              <w:pStyle w:val="TableText"/>
            </w:pPr>
            <w:r>
              <w:rPr>
                <w:rFonts w:ascii="Arial" w:hAnsi="Arial"/>
                <w:b w:val="0"/>
              </w:rPr>
              <w:t>Séveran veut capturer le noyau jeune de H avant qu’il ait appris à lui résister. Tuer H₀ n’a pas fourni cette clé : son noyau adulte s’est verrouillé à sa mort.</w:t>
            </w:r>
          </w:p>
        </w:tc>
      </w:tr>
      <w:tr>
        <w:trPr>
          <w:cantSplit/>
        </w:trPr>
        <w:tc>
          <w:tcPr>
            <w:tcW w:type="dxa" w:w="2154"/>
            <w:vAlign w:val="top"/>
            <w:shd w:fill="FFFFFF"/>
            <w:tcMar>
              <w:top w:w="65" w:type="dxa"/>
              <w:left w:w="95" w:type="dxa"/>
              <w:bottom w:w="65" w:type="dxa"/>
              <w:right w:w="95" w:type="dxa"/>
            </w:tcMar>
          </w:tcPr>
          <w:p>
            <w:pPr>
              <w:pStyle w:val="TableText"/>
            </w:pPr>
            <w:r>
              <w:rPr>
                <w:rFonts w:ascii="Arial" w:hAnsi="Arial"/>
                <w:b w:val="0"/>
              </w:rPr>
              <w:t>A₁, prologue</w:t>
            </w:r>
          </w:p>
        </w:tc>
        <w:tc>
          <w:tcPr>
            <w:tcW w:type="dxa" w:w="7710"/>
            <w:vAlign w:val="top"/>
            <w:shd w:fill="FFFFFF"/>
            <w:tcMar>
              <w:top w:w="65" w:type="dxa"/>
              <w:left w:w="95" w:type="dxa"/>
              <w:bottom w:w="65" w:type="dxa"/>
              <w:right w:w="95" w:type="dxa"/>
            </w:tcMar>
          </w:tcPr>
          <w:p>
            <w:pPr>
              <w:pStyle w:val="TableText"/>
            </w:pPr>
            <w:r>
              <w:rPr>
                <w:rFonts w:ascii="Arial" w:hAnsi="Arial"/>
                <w:b w:val="0"/>
              </w:rPr>
              <w:t>Le héros et son partenaire poursuivent les quelques instants de l’expérience. L’assaillant apparaît. Son dispositif de neutralisation peut être létal ; C₁ s’interpose et reçoit le coup.</w:t>
            </w:r>
          </w:p>
        </w:tc>
      </w:tr>
      <w:tr>
        <w:trPr>
          <w:cantSplit/>
        </w:trPr>
        <w:tc>
          <w:tcPr>
            <w:tcW w:type="dxa" w:w="2154"/>
            <w:vAlign w:val="top"/>
            <w:shd w:fill="F1F5F7"/>
            <w:tcMar>
              <w:top w:w="65" w:type="dxa"/>
              <w:left w:w="95" w:type="dxa"/>
              <w:bottom w:w="65" w:type="dxa"/>
              <w:right w:w="95" w:type="dxa"/>
            </w:tcMar>
          </w:tcPr>
          <w:p>
            <w:pPr>
              <w:pStyle w:val="TableText"/>
            </w:pPr>
            <w:r>
              <w:rPr>
                <w:rFonts w:ascii="Arial" w:hAnsi="Arial"/>
                <w:b w:val="0"/>
              </w:rPr>
              <w:t>A₁, seconde 146</w:t>
            </w:r>
          </w:p>
        </w:tc>
        <w:tc>
          <w:tcPr>
            <w:tcW w:type="dxa" w:w="7710"/>
            <w:vAlign w:val="top"/>
            <w:shd w:fill="F1F5F7"/>
            <w:tcMar>
              <w:top w:w="65" w:type="dxa"/>
              <w:left w:w="95" w:type="dxa"/>
              <w:bottom w:w="65" w:type="dxa"/>
              <w:right w:w="95" w:type="dxa"/>
            </w:tcMar>
          </w:tcPr>
          <w:p>
            <w:pPr>
              <w:pStyle w:val="TableText"/>
            </w:pPr>
            <w:r>
              <w:rPr>
                <w:rFonts w:ascii="Arial" w:hAnsi="Arial"/>
                <w:b w:val="0"/>
              </w:rPr>
              <w:t>Le protocole de H₀ se déclenche sur l’agression de la signature H. Nacre rattache H₁ au retour de Séveran puis le détourne vers un relais d’Orthe. Le reliquat local est suspendu.</w:t>
            </w:r>
          </w:p>
        </w:tc>
      </w:tr>
      <w:tr>
        <w:trPr>
          <w:cantSplit/>
        </w:trPr>
        <w:tc>
          <w:tcPr>
            <w:tcW w:type="dxa" w:w="2154"/>
            <w:vAlign w:val="top"/>
            <w:shd w:fill="FFFFFF"/>
            <w:tcMar>
              <w:top w:w="65" w:type="dxa"/>
              <w:left w:w="95" w:type="dxa"/>
              <w:bottom w:w="65" w:type="dxa"/>
              <w:right w:w="95" w:type="dxa"/>
            </w:tcMar>
          </w:tcPr>
          <w:p>
            <w:pPr>
              <w:pStyle w:val="TableText"/>
            </w:pPr>
            <w:r>
              <w:rPr>
                <w:rFonts w:ascii="Arial" w:hAnsi="Arial"/>
                <w:b w:val="0"/>
              </w:rPr>
              <w:t>Z, arrivée sur Orthe</w:t>
            </w:r>
          </w:p>
        </w:tc>
        <w:tc>
          <w:tcPr>
            <w:tcW w:type="dxa" w:w="7710"/>
            <w:vAlign w:val="top"/>
            <w:shd w:fill="FFFFFF"/>
            <w:tcMar>
              <w:top w:w="65" w:type="dxa"/>
              <w:left w:w="95" w:type="dxa"/>
              <w:bottom w:w="65" w:type="dxa"/>
              <w:right w:w="95" w:type="dxa"/>
            </w:tcMar>
          </w:tcPr>
          <w:p>
            <w:pPr>
              <w:pStyle w:val="TableText"/>
            </w:pPr>
            <w:r>
              <w:rPr>
                <w:rFonts w:ascii="Arial" w:hAnsi="Arial"/>
                <w:b w:val="0"/>
              </w:rPr>
              <w:t>H₁ a vécu 29 ans hors stase ; H₀ en a vécu 43. Les Porteurs cessent de vieillir visiblement après leur maturité : fatigue et cicatrices distinguent les deux visages, pas un vieillissement ordinaire. Nacre explique tôt le décalage.</w:t>
            </w:r>
          </w:p>
        </w:tc>
      </w:tr>
      <w:tr>
        <w:trPr>
          <w:cantSplit/>
        </w:trPr>
        <w:tc>
          <w:tcPr>
            <w:tcW w:type="dxa" w:w="2154"/>
            <w:vAlign w:val="top"/>
            <w:shd w:fill="F1F5F7"/>
            <w:tcMar>
              <w:top w:w="65" w:type="dxa"/>
              <w:left w:w="95" w:type="dxa"/>
              <w:bottom w:w="65" w:type="dxa"/>
              <w:right w:w="95" w:type="dxa"/>
            </w:tcMar>
          </w:tcPr>
          <w:p>
            <w:pPr>
              <w:pStyle w:val="TableText"/>
            </w:pPr>
            <w:r>
              <w:rPr>
                <w:rFonts w:ascii="Arial" w:hAnsi="Arial"/>
                <w:b w:val="0"/>
              </w:rPr>
              <w:t>Début de J</w:t>
            </w:r>
          </w:p>
        </w:tc>
        <w:tc>
          <w:tcPr>
            <w:tcW w:type="dxa" w:w="7710"/>
            <w:vAlign w:val="top"/>
            <w:shd w:fill="F1F5F7"/>
            <w:tcMar>
              <w:top w:w="65" w:type="dxa"/>
              <w:left w:w="95" w:type="dxa"/>
              <w:bottom w:w="65" w:type="dxa"/>
              <w:right w:w="95" w:type="dxa"/>
            </w:tcMar>
          </w:tcPr>
          <w:p>
            <w:pPr>
              <w:pStyle w:val="TableText"/>
            </w:pPr>
            <w:r>
              <w:rPr>
                <w:rFonts w:ascii="Arial" w:hAnsi="Arial"/>
                <w:b w:val="0"/>
              </w:rPr>
              <w:t>H cherche un moyen de sauver C₁ et découvre les conséquences des actes de H₀. Premiers réaccords, premiers alliés, premières preuves que sa capacité doit être partagée plutôt que monopolisée.</w:t>
            </w:r>
          </w:p>
        </w:tc>
      </w:tr>
      <w:tr>
        <w:trPr>
          <w:cantSplit/>
        </w:trPr>
        <w:tc>
          <w:tcPr>
            <w:tcW w:type="dxa" w:w="2154"/>
            <w:vAlign w:val="top"/>
            <w:shd w:fill="FFFFFF"/>
            <w:tcMar>
              <w:top w:w="65" w:type="dxa"/>
              <w:left w:w="95" w:type="dxa"/>
              <w:bottom w:w="65" w:type="dxa"/>
              <w:right w:w="95" w:type="dxa"/>
            </w:tcMar>
          </w:tcPr>
          <w:p>
            <w:pPr>
              <w:pStyle w:val="TableText"/>
            </w:pPr>
            <w:r>
              <w:rPr>
                <w:rFonts w:ascii="Arial" w:hAnsi="Arial"/>
                <w:b w:val="0"/>
              </w:rPr>
              <w:t>Milieu de J</w:t>
            </w:r>
          </w:p>
        </w:tc>
        <w:tc>
          <w:tcPr>
            <w:tcW w:type="dxa" w:w="7710"/>
            <w:vAlign w:val="top"/>
            <w:shd w:fill="FFFFFF"/>
            <w:tcMar>
              <w:top w:w="65" w:type="dxa"/>
              <w:left w:w="95" w:type="dxa"/>
              <w:bottom w:w="65" w:type="dxa"/>
              <w:right w:w="95" w:type="dxa"/>
            </w:tcMar>
          </w:tcPr>
          <w:p>
            <w:pPr>
              <w:pStyle w:val="TableText"/>
            </w:pPr>
            <w:r>
              <w:rPr>
                <w:rFonts w:ascii="Arial" w:hAnsi="Arial"/>
                <w:b w:val="0"/>
              </w:rPr>
              <w:t>La tombe de C₀ révèle la mort du partenaire de l’histoire-source. Les Jardins démontrent que C₁ possède encore une continuité sauvable dans la fenêtre suspendue. Ce n’est pas C₀ que l’on ressuscite.</w:t>
            </w:r>
          </w:p>
        </w:tc>
      </w:tr>
      <w:tr>
        <w:trPr>
          <w:cantSplit/>
        </w:trPr>
        <w:tc>
          <w:tcPr>
            <w:tcW w:type="dxa" w:w="2154"/>
            <w:vAlign w:val="top"/>
            <w:shd w:fill="F1F5F7"/>
            <w:tcMar>
              <w:top w:w="65" w:type="dxa"/>
              <w:left w:w="95" w:type="dxa"/>
              <w:bottom w:w="65" w:type="dxa"/>
              <w:right w:w="95" w:type="dxa"/>
            </w:tcMar>
          </w:tcPr>
          <w:p>
            <w:pPr>
              <w:pStyle w:val="TableText"/>
            </w:pPr>
            <w:r>
              <w:rPr>
                <w:rFonts w:ascii="Arial" w:hAnsi="Arial"/>
                <w:b w:val="0"/>
              </w:rPr>
              <w:t>Fin de J</w:t>
            </w:r>
          </w:p>
        </w:tc>
        <w:tc>
          <w:tcPr>
            <w:tcW w:type="dxa" w:w="7710"/>
            <w:vAlign w:val="top"/>
            <w:shd w:fill="F1F5F7"/>
            <w:tcMar>
              <w:top w:w="65" w:type="dxa"/>
              <w:left w:w="95" w:type="dxa"/>
              <w:bottom w:w="65" w:type="dxa"/>
              <w:right w:w="95" w:type="dxa"/>
            </w:tcMar>
          </w:tcPr>
          <w:p>
            <w:pPr>
              <w:pStyle w:val="TableText"/>
            </w:pPr>
            <w:r>
              <w:rPr>
                <w:rFonts w:ascii="Arial" w:hAnsi="Arial"/>
                <w:b w:val="0"/>
              </w:rPr>
              <w:t>Les archives expliquent l’origine de H, la mission de C, les compromissions du scientifique puis son assassinat. Les régions forment une coalition contre le contrôle impérial.</w:t>
            </w:r>
          </w:p>
        </w:tc>
      </w:tr>
      <w:tr>
        <w:trPr>
          <w:cantSplit/>
        </w:trPr>
        <w:tc>
          <w:tcPr>
            <w:tcW w:type="dxa" w:w="2154"/>
            <w:vAlign w:val="top"/>
            <w:shd w:fill="FFFFFF"/>
            <w:tcMar>
              <w:top w:w="65" w:type="dxa"/>
              <w:left w:w="95" w:type="dxa"/>
              <w:bottom w:w="65" w:type="dxa"/>
              <w:right w:w="95" w:type="dxa"/>
            </w:tcMar>
          </w:tcPr>
          <w:p>
            <w:pPr>
              <w:pStyle w:val="TableText"/>
            </w:pPr>
            <w:r>
              <w:rPr>
                <w:rFonts w:ascii="Arial" w:hAnsi="Arial"/>
                <w:b w:val="0"/>
              </w:rPr>
              <w:t>Z + environ 9 mois</w:t>
            </w:r>
          </w:p>
        </w:tc>
        <w:tc>
          <w:tcPr>
            <w:tcW w:type="dxa" w:w="7710"/>
            <w:vAlign w:val="top"/>
            <w:shd w:fill="FFFFFF"/>
            <w:tcMar>
              <w:top w:w="65" w:type="dxa"/>
              <w:left w:w="95" w:type="dxa"/>
              <w:bottom w:w="65" w:type="dxa"/>
              <w:right w:w="95" w:type="dxa"/>
            </w:tcMar>
          </w:tcPr>
          <w:p>
            <w:pPr>
              <w:pStyle w:val="TableText"/>
            </w:pPr>
            <w:r>
              <w:rPr>
                <w:rFonts w:ascii="Arial" w:hAnsi="Arial"/>
                <w:b w:val="0"/>
              </w:rPr>
              <w:t>La coalition reprend le Méridien. H₁ et ses alliés rouvrent les 34 secondes restantes de A₁. Ils stabilisent le noyau de C₁ et l’extraient au présent.</w:t>
            </w:r>
          </w:p>
        </w:tc>
      </w:tr>
      <w:tr>
        <w:trPr>
          <w:cantSplit/>
        </w:trPr>
        <w:tc>
          <w:tcPr>
            <w:tcW w:type="dxa" w:w="2154"/>
            <w:vAlign w:val="top"/>
            <w:shd w:fill="F1F5F7"/>
            <w:tcMar>
              <w:top w:w="65" w:type="dxa"/>
              <w:left w:w="95" w:type="dxa"/>
              <w:bottom w:w="65" w:type="dxa"/>
              <w:right w:w="95" w:type="dxa"/>
            </w:tcMar>
          </w:tcPr>
          <w:p>
            <w:pPr>
              <w:pStyle w:val="TableText"/>
            </w:pPr>
            <w:r>
              <w:rPr>
                <w:rFonts w:ascii="Arial" w:hAnsi="Arial"/>
                <w:b w:val="0"/>
              </w:rPr>
              <w:t>Affrontement final</w:t>
            </w:r>
          </w:p>
        </w:tc>
        <w:tc>
          <w:tcPr>
            <w:tcW w:type="dxa" w:w="7710"/>
            <w:vAlign w:val="top"/>
            <w:shd w:fill="F1F5F7"/>
            <w:tcMar>
              <w:top w:w="65" w:type="dxa"/>
              <w:left w:w="95" w:type="dxa"/>
              <w:bottom w:w="65" w:type="dxa"/>
              <w:right w:w="95" w:type="dxa"/>
            </w:tcMar>
          </w:tcPr>
          <w:p>
            <w:pPr>
              <w:pStyle w:val="TableText"/>
            </w:pPr>
            <w:r>
              <w:rPr>
                <w:rFonts w:ascii="Arial" w:hAnsi="Arial"/>
                <w:b w:val="0"/>
              </w:rPr>
              <w:t>Séveran combat dans le présent, à Orthe. Il ne peut plus relancer l’ancre consumée. Le réseau distribué permet de défaire son pouvoir sans couper les fonctions vitales des habitants.</w:t>
            </w:r>
          </w:p>
        </w:tc>
      </w:tr>
      <w:tr>
        <w:trPr>
          <w:cantSplit/>
        </w:trPr>
        <w:tc>
          <w:tcPr>
            <w:tcW w:type="dxa" w:w="2154"/>
            <w:vAlign w:val="top"/>
            <w:shd w:fill="FFFFFF"/>
            <w:tcMar>
              <w:top w:w="65" w:type="dxa"/>
              <w:left w:w="95" w:type="dxa"/>
              <w:bottom w:w="65" w:type="dxa"/>
              <w:right w:w="95" w:type="dxa"/>
            </w:tcMar>
          </w:tcPr>
          <w:p>
            <w:pPr>
              <w:pStyle w:val="TableText"/>
            </w:pPr>
            <w:r>
              <w:rPr>
                <w:rFonts w:ascii="Arial" w:hAnsi="Arial"/>
                <w:b w:val="0"/>
              </w:rPr>
              <w:t>Après l’histoire</w:t>
            </w:r>
          </w:p>
        </w:tc>
        <w:tc>
          <w:tcPr>
            <w:tcW w:type="dxa" w:w="7710"/>
            <w:vAlign w:val="top"/>
            <w:shd w:fill="FFFFFF"/>
            <w:tcMar>
              <w:top w:w="65" w:type="dxa"/>
              <w:left w:w="95" w:type="dxa"/>
              <w:bottom w:w="65" w:type="dxa"/>
              <w:right w:w="95" w:type="dxa"/>
            </w:tcMar>
          </w:tcPr>
          <w:p>
            <w:pPr>
              <w:pStyle w:val="TableText"/>
            </w:pPr>
            <w:r>
              <w:rPr>
                <w:rFonts w:ascii="Arial" w:hAnsi="Arial"/>
                <w:b w:val="0"/>
              </w:rPr>
              <w:t>H et C reconstruisent leur relation. Les morts de la source restent morts. Orthe ouvre ses routes ; le héros devient gardien des passages, sans devenir propriétaire des peuples.</w:t>
            </w:r>
          </w:p>
        </w:tc>
      </w:tr>
    </w:tbl>
    <w:p>
      <w:pPr>
        <w:spacing w:after="0"/>
      </w:pPr>
    </w:p>
    <w:p>
      <w:r>
        <w:br w:type="page"/>
      </w:r>
    </w:p>
    <w:p>
      <w:pPr>
        <w:spacing w:after="60"/>
      </w:pPr>
      <w:r>
        <w:rPr>
          <w:rFonts w:ascii="Arial" w:hAnsi="Arial"/>
          <w:b/>
          <w:color w:val="677784"/>
          <w:sz w:val="16"/>
        </w:rPr>
        <w:t>ARC DE PERSONNAGE</w:t>
      </w:r>
    </w:p>
    <w:p>
      <w:bookmarkStart w:id="11" w:name="section_11"/>
      <w:pPr>
        <w:pStyle w:val="Heading1"/>
      </w:pPr>
      <w:r>
        <w:t>10 — Le protagoniste et son autre vie</w:t>
      </w:r>
      <w:bookmarkEnd w:id="11"/>
    </w:p>
    <w:tbl>
      <w:tblPr>
        <w:tblW w:type="auto" w:w="0"/>
        <w:jc w:val="center"/>
        <w:tblLayout w:type="fixed"/>
        <w:tblLook w:firstColumn="1" w:firstRow="1" w:lastColumn="0" w:lastRow="0" w:noHBand="0" w:noVBand="1" w:val="04A0"/>
      </w:tblPr>
      <w:tblGrid>
        <w:gridCol w:w="2041"/>
        <w:gridCol w:w="7824"/>
      </w:tblGrid>
      <w:tr>
        <w:trPr>
          <w:tblHeader/>
        </w:trPr>
        <w:tc>
          <w:tcPr>
            <w:tcW w:type="dxa" w:w="2041"/>
            <w:vAlign w:val="center"/>
            <w:shd w:fill="253A52"/>
            <w:tcMar>
              <w:top w:w="65" w:type="dxa"/>
              <w:left w:w="95" w:type="dxa"/>
              <w:bottom w:w="65" w:type="dxa"/>
              <w:right w:w="95" w:type="dxa"/>
            </w:tcMar>
          </w:tcPr>
          <w:p>
            <w:pPr>
              <w:pStyle w:val="TableText"/>
            </w:pPr>
            <w:r>
              <w:rPr>
                <w:rFonts w:ascii="Arial" w:hAnsi="Arial"/>
                <w:b/>
                <w:color w:val="FFFFFF"/>
              </w:rPr>
              <w:t>Dimension</w:t>
            </w:r>
          </w:p>
        </w:tc>
        <w:tc>
          <w:tcPr>
            <w:tcW w:type="dxa" w:w="7824"/>
            <w:vAlign w:val="center"/>
            <w:shd w:fill="253A52"/>
            <w:tcMar>
              <w:top w:w="65" w:type="dxa"/>
              <w:left w:w="95" w:type="dxa"/>
              <w:bottom w:w="65" w:type="dxa"/>
              <w:right w:w="95" w:type="dxa"/>
            </w:tcMar>
          </w:tcPr>
          <w:p>
            <w:pPr>
              <w:pStyle w:val="TableText"/>
            </w:pPr>
            <w:r>
              <w:rPr>
                <w:rFonts w:ascii="Arial" w:hAnsi="Arial"/>
                <w:b/>
                <w:color w:val="FFFFFF"/>
              </w:rPr>
              <w:t>H₁ : le héros joué</w:t>
            </w:r>
          </w:p>
        </w:tc>
      </w:tr>
      <w:tr>
        <w:trPr>
          <w:cantSplit/>
        </w:trPr>
        <w:tc>
          <w:tcPr>
            <w:tcW w:type="dxa" w:w="2041"/>
            <w:vAlign w:val="top"/>
            <w:shd w:fill="F1F5F7"/>
            <w:tcMar>
              <w:top w:w="65" w:type="dxa"/>
              <w:left w:w="95" w:type="dxa"/>
              <w:bottom w:w="65" w:type="dxa"/>
              <w:right w:w="95" w:type="dxa"/>
            </w:tcMar>
          </w:tcPr>
          <w:p>
            <w:pPr>
              <w:pStyle w:val="TableText"/>
            </w:pPr>
            <w:r>
              <w:rPr>
                <w:rFonts w:ascii="Arial" w:hAnsi="Arial"/>
                <w:b w:val="0"/>
              </w:rPr>
              <w:t>Désir initial</w:t>
            </w:r>
          </w:p>
        </w:tc>
        <w:tc>
          <w:tcPr>
            <w:tcW w:type="dxa" w:w="7824"/>
            <w:vAlign w:val="top"/>
            <w:shd w:fill="F1F5F7"/>
            <w:tcMar>
              <w:top w:w="65" w:type="dxa"/>
              <w:left w:w="95" w:type="dxa"/>
              <w:bottom w:w="65" w:type="dxa"/>
              <w:right w:w="95" w:type="dxa"/>
            </w:tcMar>
          </w:tcPr>
          <w:p>
            <w:pPr>
              <w:pStyle w:val="TableText"/>
            </w:pPr>
            <w:r>
              <w:rPr>
                <w:rFonts w:ascii="Arial" w:hAnsi="Arial"/>
                <w:b w:val="0"/>
              </w:rPr>
              <w:t>Ramener la personne perdue. Ce désir est compréhensible, concret et presque égoïste : au départ, il ne vient pas sauver une civilisation.</w:t>
            </w:r>
          </w:p>
        </w:tc>
      </w:tr>
      <w:tr>
        <w:trPr>
          <w:cantSplit/>
        </w:trPr>
        <w:tc>
          <w:tcPr>
            <w:tcW w:type="dxa" w:w="2041"/>
            <w:vAlign w:val="top"/>
            <w:shd w:fill="FFFFFF"/>
            <w:tcMar>
              <w:top w:w="65" w:type="dxa"/>
              <w:left w:w="95" w:type="dxa"/>
              <w:bottom w:w="65" w:type="dxa"/>
              <w:right w:w="95" w:type="dxa"/>
            </w:tcMar>
          </w:tcPr>
          <w:p>
            <w:pPr>
              <w:pStyle w:val="TableText"/>
            </w:pPr>
            <w:r>
              <w:rPr>
                <w:rFonts w:ascii="Arial" w:hAnsi="Arial"/>
                <w:b w:val="0"/>
              </w:rPr>
              <w:t>Blessure</w:t>
            </w:r>
          </w:p>
        </w:tc>
        <w:tc>
          <w:tcPr>
            <w:tcW w:type="dxa" w:w="7824"/>
            <w:vAlign w:val="top"/>
            <w:shd w:fill="FFFFFF"/>
            <w:tcMar>
              <w:top w:w="65" w:type="dxa"/>
              <w:left w:w="95" w:type="dxa"/>
              <w:bottom w:w="65" w:type="dxa"/>
              <w:right w:w="95" w:type="dxa"/>
            </w:tcMar>
          </w:tcPr>
          <w:p>
            <w:pPr>
              <w:pStyle w:val="TableText"/>
            </w:pPr>
            <w:r>
              <w:rPr>
                <w:rFonts w:ascii="Arial" w:hAnsi="Arial"/>
                <w:b w:val="0"/>
              </w:rPr>
              <w:t>La perte de C₁, puis la découverte que son visage est associé à des décisions qu’il n’a jamais prises. Il craint d’être condamné à devenir H₀.</w:t>
            </w:r>
          </w:p>
        </w:tc>
      </w:tr>
      <w:tr>
        <w:trPr>
          <w:cantSplit/>
        </w:trPr>
        <w:tc>
          <w:tcPr>
            <w:tcW w:type="dxa" w:w="2041"/>
            <w:vAlign w:val="top"/>
            <w:shd w:fill="F1F5F7"/>
            <w:tcMar>
              <w:top w:w="65" w:type="dxa"/>
              <w:left w:w="95" w:type="dxa"/>
              <w:bottom w:w="65" w:type="dxa"/>
              <w:right w:w="95" w:type="dxa"/>
            </w:tcMar>
          </w:tcPr>
          <w:p>
            <w:pPr>
              <w:pStyle w:val="TableText"/>
            </w:pPr>
            <w:r>
              <w:rPr>
                <w:rFonts w:ascii="Arial" w:hAnsi="Arial"/>
                <w:b w:val="0"/>
              </w:rPr>
              <w:t>Qualité</w:t>
            </w:r>
          </w:p>
        </w:tc>
        <w:tc>
          <w:tcPr>
            <w:tcW w:type="dxa" w:w="7824"/>
            <w:vAlign w:val="top"/>
            <w:shd w:fill="F1F5F7"/>
            <w:tcMar>
              <w:top w:w="65" w:type="dxa"/>
              <w:left w:w="95" w:type="dxa"/>
              <w:bottom w:w="65" w:type="dxa"/>
              <w:right w:w="95" w:type="dxa"/>
            </w:tcMar>
          </w:tcPr>
          <w:p>
            <w:pPr>
              <w:pStyle w:val="TableText"/>
            </w:pPr>
            <w:r>
              <w:rPr>
                <w:rFonts w:ascii="Arial" w:hAnsi="Arial"/>
                <w:b w:val="0"/>
              </w:rPr>
              <w:t>Une curiosité sincère et la capacité de relier des savoirs séparés. Il trouve de bonnes idées avec les autres, pas parce qu’il sait déjà tout.</w:t>
            </w:r>
          </w:p>
        </w:tc>
      </w:tr>
      <w:tr>
        <w:trPr>
          <w:cantSplit/>
        </w:trPr>
        <w:tc>
          <w:tcPr>
            <w:tcW w:type="dxa" w:w="2041"/>
            <w:vAlign w:val="top"/>
            <w:shd w:fill="FFFFFF"/>
            <w:tcMar>
              <w:top w:w="65" w:type="dxa"/>
              <w:left w:w="95" w:type="dxa"/>
              <w:bottom w:w="65" w:type="dxa"/>
              <w:right w:w="95" w:type="dxa"/>
            </w:tcMar>
          </w:tcPr>
          <w:p>
            <w:pPr>
              <w:pStyle w:val="TableText"/>
            </w:pPr>
            <w:r>
              <w:rPr>
                <w:rFonts w:ascii="Arial" w:hAnsi="Arial"/>
                <w:b w:val="0"/>
              </w:rPr>
              <w:t>Défaut</w:t>
            </w:r>
          </w:p>
        </w:tc>
        <w:tc>
          <w:tcPr>
            <w:tcW w:type="dxa" w:w="7824"/>
            <w:vAlign w:val="top"/>
            <w:shd w:fill="FFFFFF"/>
            <w:tcMar>
              <w:top w:w="65" w:type="dxa"/>
              <w:left w:w="95" w:type="dxa"/>
              <w:bottom w:w="65" w:type="dxa"/>
              <w:right w:w="95" w:type="dxa"/>
            </w:tcMar>
          </w:tcPr>
          <w:p>
            <w:pPr>
              <w:pStyle w:val="TableText"/>
            </w:pPr>
            <w:r>
              <w:rPr>
                <w:rFonts w:ascii="Arial" w:hAnsi="Arial"/>
                <w:b w:val="0"/>
              </w:rPr>
              <w:t>Tendance à croire qu’une solution bien conçue donne le droit de décider pour ceux qu’elle concerne. Il supporte mal les risques qu’il ne peut pas calculer.</w:t>
            </w:r>
          </w:p>
        </w:tc>
      </w:tr>
      <w:tr>
        <w:trPr>
          <w:cantSplit/>
        </w:trPr>
        <w:tc>
          <w:tcPr>
            <w:tcW w:type="dxa" w:w="2041"/>
            <w:vAlign w:val="top"/>
            <w:shd w:fill="F1F5F7"/>
            <w:tcMar>
              <w:top w:w="65" w:type="dxa"/>
              <w:left w:w="95" w:type="dxa"/>
              <w:bottom w:w="65" w:type="dxa"/>
              <w:right w:w="95" w:type="dxa"/>
            </w:tcMar>
          </w:tcPr>
          <w:p>
            <w:pPr>
              <w:pStyle w:val="TableText"/>
            </w:pPr>
            <w:r>
              <w:rPr>
                <w:rFonts w:ascii="Arial" w:hAnsi="Arial"/>
                <w:b w:val="0"/>
              </w:rPr>
              <w:t>Premier progrès</w:t>
            </w:r>
          </w:p>
        </w:tc>
        <w:tc>
          <w:tcPr>
            <w:tcW w:type="dxa" w:w="7824"/>
            <w:vAlign w:val="top"/>
            <w:shd w:fill="F1F5F7"/>
            <w:tcMar>
              <w:top w:w="65" w:type="dxa"/>
              <w:left w:w="95" w:type="dxa"/>
              <w:bottom w:w="65" w:type="dxa"/>
              <w:right w:w="95" w:type="dxa"/>
            </w:tcMar>
          </w:tcPr>
          <w:p>
            <w:pPr>
              <w:pStyle w:val="TableText"/>
            </w:pPr>
            <w:r>
              <w:rPr>
                <w:rFonts w:ascii="Arial" w:hAnsi="Arial"/>
                <w:b w:val="0"/>
              </w:rPr>
              <w:t>Demander l’accord d’un allié avant de réparer son pouvoir ; accepter qu’une personne puisse refuser sans devenir un obstacle moral.</w:t>
            </w:r>
          </w:p>
        </w:tc>
      </w:tr>
      <w:tr>
        <w:trPr>
          <w:cantSplit/>
        </w:trPr>
        <w:tc>
          <w:tcPr>
            <w:tcW w:type="dxa" w:w="2041"/>
            <w:vAlign w:val="top"/>
            <w:shd w:fill="FFFFFF"/>
            <w:tcMar>
              <w:top w:w="65" w:type="dxa"/>
              <w:left w:w="95" w:type="dxa"/>
              <w:bottom w:w="65" w:type="dxa"/>
              <w:right w:w="95" w:type="dxa"/>
            </w:tcMar>
          </w:tcPr>
          <w:p>
            <w:pPr>
              <w:pStyle w:val="TableText"/>
            </w:pPr>
            <w:r>
              <w:rPr>
                <w:rFonts w:ascii="Arial" w:hAnsi="Arial"/>
                <w:b w:val="0"/>
              </w:rPr>
              <w:t>Crise centrale</w:t>
            </w:r>
          </w:p>
        </w:tc>
        <w:tc>
          <w:tcPr>
            <w:tcW w:type="dxa" w:w="7824"/>
            <w:vAlign w:val="top"/>
            <w:shd w:fill="FFFFFF"/>
            <w:tcMar>
              <w:top w:w="65" w:type="dxa"/>
              <w:left w:w="95" w:type="dxa"/>
              <w:bottom w:w="65" w:type="dxa"/>
              <w:right w:w="95" w:type="dxa"/>
            </w:tcMar>
          </w:tcPr>
          <w:p>
            <w:pPr>
              <w:pStyle w:val="TableText"/>
            </w:pPr>
            <w:r>
              <w:rPr>
                <w:rFonts w:ascii="Arial" w:hAnsi="Arial"/>
                <w:b w:val="0"/>
              </w:rPr>
              <w:t>La possibilité de sauver C paraît passer par une méthode qui priverait des habitants de leurs ressources vitales. Il refuse, même sans solution alternative garantie.</w:t>
            </w:r>
          </w:p>
        </w:tc>
      </w:tr>
      <w:tr>
        <w:trPr>
          <w:cantSplit/>
        </w:trPr>
        <w:tc>
          <w:tcPr>
            <w:tcW w:type="dxa" w:w="2041"/>
            <w:vAlign w:val="top"/>
            <w:shd w:fill="F1F5F7"/>
            <w:tcMar>
              <w:top w:w="65" w:type="dxa"/>
              <w:left w:w="95" w:type="dxa"/>
              <w:bottom w:w="65" w:type="dxa"/>
              <w:right w:w="95" w:type="dxa"/>
            </w:tcMar>
          </w:tcPr>
          <w:p>
            <w:pPr>
              <w:pStyle w:val="TableText"/>
            </w:pPr>
            <w:r>
              <w:rPr>
                <w:rFonts w:ascii="Arial" w:hAnsi="Arial"/>
                <w:b w:val="0"/>
              </w:rPr>
              <w:t>Compréhension finale</w:t>
            </w:r>
          </w:p>
        </w:tc>
        <w:tc>
          <w:tcPr>
            <w:tcW w:type="dxa" w:w="7824"/>
            <w:vAlign w:val="top"/>
            <w:shd w:fill="F1F5F7"/>
            <w:tcMar>
              <w:top w:w="65" w:type="dxa"/>
              <w:left w:w="95" w:type="dxa"/>
              <w:bottom w:w="65" w:type="dxa"/>
              <w:right w:w="95" w:type="dxa"/>
            </w:tcMar>
          </w:tcPr>
          <w:p>
            <w:pPr>
              <w:pStyle w:val="TableText"/>
            </w:pPr>
            <w:r>
              <w:rPr>
                <w:rFonts w:ascii="Arial" w:hAnsi="Arial"/>
                <w:b w:val="0"/>
              </w:rPr>
              <w:t>Il n’est pas coupable d’actes qu’il n’a pas commis ; il est responsable de ce qu’il choisit de faire avec les connaissances et privilèges qu’il reçoit.</w:t>
            </w:r>
          </w:p>
        </w:tc>
      </w:tr>
      <w:tr>
        <w:trPr>
          <w:cantSplit/>
        </w:trPr>
        <w:tc>
          <w:tcPr>
            <w:tcW w:type="dxa" w:w="2041"/>
            <w:vAlign w:val="top"/>
            <w:shd w:fill="FFFFFF"/>
            <w:tcMar>
              <w:top w:w="65" w:type="dxa"/>
              <w:left w:w="95" w:type="dxa"/>
              <w:bottom w:w="65" w:type="dxa"/>
              <w:right w:w="95" w:type="dxa"/>
            </w:tcMar>
          </w:tcPr>
          <w:p>
            <w:pPr>
              <w:pStyle w:val="TableText"/>
            </w:pPr>
            <w:r>
              <w:rPr>
                <w:rFonts w:ascii="Arial" w:hAnsi="Arial"/>
                <w:b w:val="0"/>
              </w:rPr>
              <w:t>Aboutissement</w:t>
            </w:r>
          </w:p>
        </w:tc>
        <w:tc>
          <w:tcPr>
            <w:tcW w:type="dxa" w:w="7824"/>
            <w:vAlign w:val="top"/>
            <w:shd w:fill="FFFFFF"/>
            <w:tcMar>
              <w:top w:w="65" w:type="dxa"/>
              <w:left w:w="95" w:type="dxa"/>
              <w:bottom w:w="65" w:type="dxa"/>
              <w:right w:w="95" w:type="dxa"/>
            </w:tcMar>
          </w:tcPr>
          <w:p>
            <w:pPr>
              <w:pStyle w:val="TableText"/>
            </w:pPr>
            <w:r>
              <w:rPr>
                <w:rFonts w:ascii="Arial" w:hAnsi="Arial"/>
                <w:b w:val="0"/>
              </w:rPr>
              <w:t>Il sauve C grâce à des relations librement construites et rend le système utilisable sans lui. Il conserve ses pouvoirs sans faire de sa singularité un droit de régner.</w:t>
            </w:r>
          </w:p>
        </w:tc>
      </w:tr>
    </w:tbl>
    <w:p>
      <w:pPr>
        <w:spacing w:after="0"/>
      </w:pPr>
    </w:p>
    <w:p>
      <w:pPr>
        <w:pStyle w:val="Heading2"/>
      </w:pPr>
      <w:r>
        <w:t>H₀ n’est ni un saint ni un destin</w:t>
      </w:r>
    </w:p>
    <w:p>
      <w:r>
        <w:rPr>
          <w:rFonts w:ascii="Arial" w:hAnsi="Arial"/>
          <w:b w:val="0"/>
        </w:rPr>
        <w:t>Le futur scientifique a réellement soigné, aidé et aimé. Sa réputation positive n’est pas entièrement mensongère. Ses erreurs ont également eu des victimes : il a conçu une dépendance technique, accepté une surveillance intrusive et minimisé les avertissements de ses alliés.</w:t>
      </w:r>
    </w:p>
    <w:p>
      <w:r>
        <w:rPr>
          <w:rFonts w:ascii="Arial" w:hAnsi="Arial"/>
          <w:b w:val="0"/>
        </w:rPr>
        <w:t>Son retournement final n’efface pas ces actes. Le dernier enregistrement ne demande pas au héros de lui pardonner ; il reconnaît ses erreurs et transmet les moyens de les réparer. H₁ peut honorer ce courage tardif tout en dénonçant publiquement ses compromissions.</w:t>
      </w:r>
    </w:p>
    <w:p>
      <w:pPr>
        <w:pStyle w:val="Heading2"/>
      </w:pPr>
      <w:r>
        <w:t>La tentation du héros-empereur, conservée autrement</w:t>
      </w:r>
    </w:p>
    <w:p>
      <w:r>
        <w:rPr>
          <w:rFonts w:ascii="Arial" w:hAnsi="Arial"/>
          <w:b w:val="0"/>
        </w:rPr>
        <w:t>L’idée de l’utilisateur devient un risque moral lisible : H₀ s’est approché de ce pouvoir, Séveran l’a pleinement choisi, et H₁ peut être tenté d’y voir une solution. Le joueur n’a pas besoin d’un troisième personnage voyageant depuis un futur encore plus lointain pour comprendre le danger.</w:t>
      </w:r>
    </w:p>
    <w:p>
      <w:r>
        <w:br w:type="page"/>
      </w:r>
    </w:p>
    <w:p>
      <w:pPr>
        <w:spacing w:after="60"/>
      </w:pPr>
      <w:r>
        <w:rPr>
          <w:rFonts w:ascii="Arial" w:hAnsi="Arial"/>
          <w:b/>
          <w:color w:val="677784"/>
          <w:sz w:val="16"/>
        </w:rPr>
        <w:t>ANTAGONISTE PRINCIPAL</w:t>
      </w:r>
    </w:p>
    <w:p>
      <w:bookmarkStart w:id="12" w:name="section_12"/>
      <w:pPr>
        <w:pStyle w:val="Heading1"/>
      </w:pPr>
      <w:r>
        <w:t>11 — Séveran et le Concordat</w:t>
      </w:r>
      <w:bookmarkEnd w:id="12"/>
    </w:p>
    <w:p>
      <w:r>
        <w:rPr>
          <w:rFonts w:ascii="Arial" w:hAnsi="Arial"/>
          <w:b/>
        </w:rPr>
        <w:t>Séveran, le Régent</w:t>
      </w:r>
      <w:r>
        <w:rPr>
          <w:rFonts w:ascii="Arial" w:hAnsi="Arial"/>
          <w:b w:val="0"/>
        </w:rPr>
        <w:t>, est un ancien Porteur chargé de limiter les accidents de fondation. Après avoir vu des gouvernants immortels détruire des populations dans leurs rivalités, il a conclu que le libre usage de capacités divines était une menace intolérable. Cette conclusion contient une observation juste et une réponse monstrueuse.</w:t>
      </w:r>
    </w:p>
    <w:tbl>
      <w:tblPr>
        <w:tblW w:type="auto" w:w="0"/>
        <w:jc w:val="center"/>
        <w:tblLayout w:type="fixed"/>
        <w:tblLook w:firstColumn="1" w:firstRow="1" w:lastColumn="0" w:lastRow="0" w:noHBand="0" w:noVBand="1" w:val="04A0"/>
      </w:tblPr>
      <w:tblGrid>
        <w:gridCol w:w="2268"/>
        <w:gridCol w:w="7597"/>
      </w:tblGrid>
      <w:tr>
        <w:trPr>
          <w:tblHeader/>
        </w:trPr>
        <w:tc>
          <w:tcPr>
            <w:tcW w:type="dxa" w:w="2268"/>
            <w:vAlign w:val="center"/>
            <w:shd w:fill="253A52"/>
            <w:tcMar>
              <w:top w:w="65" w:type="dxa"/>
              <w:left w:w="95" w:type="dxa"/>
              <w:bottom w:w="65" w:type="dxa"/>
              <w:right w:w="95" w:type="dxa"/>
            </w:tcMar>
          </w:tcPr>
          <w:p>
            <w:pPr>
              <w:pStyle w:val="TableText"/>
            </w:pPr>
            <w:r>
              <w:rPr>
                <w:rFonts w:ascii="Arial" w:hAnsi="Arial"/>
                <w:b/>
                <w:color w:val="FFFFFF"/>
              </w:rPr>
              <w:t>Question</w:t>
            </w:r>
          </w:p>
        </w:tc>
        <w:tc>
          <w:tcPr>
            <w:tcW w:type="dxa" w:w="7597"/>
            <w:vAlign w:val="center"/>
            <w:shd w:fill="253A52"/>
            <w:tcMar>
              <w:top w:w="65" w:type="dxa"/>
              <w:left w:w="95" w:type="dxa"/>
              <w:bottom w:w="65" w:type="dxa"/>
              <w:right w:w="95" w:type="dxa"/>
            </w:tcMar>
          </w:tcPr>
          <w:p>
            <w:pPr>
              <w:pStyle w:val="TableText"/>
            </w:pPr>
            <w:r>
              <w:rPr>
                <w:rFonts w:ascii="Arial" w:hAnsi="Arial"/>
                <w:b/>
                <w:color w:val="FFFFFF"/>
              </w:rPr>
              <w:t>Réponse retenue</w:t>
            </w:r>
          </w:p>
        </w:tc>
      </w:tr>
      <w:tr>
        <w:trPr>
          <w:cantSplit/>
        </w:trPr>
        <w:tc>
          <w:tcPr>
            <w:tcW w:type="dxa" w:w="2268"/>
            <w:vAlign w:val="top"/>
            <w:shd w:fill="F1F5F7"/>
            <w:tcMar>
              <w:top w:w="65" w:type="dxa"/>
              <w:left w:w="95" w:type="dxa"/>
              <w:bottom w:w="65" w:type="dxa"/>
              <w:right w:w="95" w:type="dxa"/>
            </w:tcMar>
          </w:tcPr>
          <w:p>
            <w:pPr>
              <w:pStyle w:val="TableText"/>
            </w:pPr>
            <w:r>
              <w:rPr>
                <w:rFonts w:ascii="Arial" w:hAnsi="Arial"/>
                <w:b w:val="0"/>
              </w:rPr>
              <w:t>Que veut-il ?</w:t>
            </w:r>
          </w:p>
        </w:tc>
        <w:tc>
          <w:tcPr>
            <w:tcW w:type="dxa" w:w="7597"/>
            <w:vAlign w:val="top"/>
            <w:shd w:fill="F1F5F7"/>
            <w:tcMar>
              <w:top w:w="65" w:type="dxa"/>
              <w:left w:w="95" w:type="dxa"/>
              <w:bottom w:w="65" w:type="dxa"/>
              <w:right w:w="95" w:type="dxa"/>
            </w:tcMar>
          </w:tcPr>
          <w:p>
            <w:pPr>
              <w:pStyle w:val="TableText"/>
            </w:pPr>
            <w:r>
              <w:rPr>
                <w:rFonts w:ascii="Arial" w:hAnsi="Arial"/>
                <w:b w:val="0"/>
              </w:rPr>
              <w:t>Supprimer les changements non autorisés : naissances imprévues de pouvoirs, révoltes, ruptures, accidents et décisions divergentes. Son « avenir sûr » est une confiscation des possibles.</w:t>
            </w:r>
          </w:p>
        </w:tc>
      </w:tr>
      <w:tr>
        <w:trPr>
          <w:cantSplit/>
        </w:trPr>
        <w:tc>
          <w:tcPr>
            <w:tcW w:type="dxa" w:w="2268"/>
            <w:vAlign w:val="top"/>
            <w:shd w:fill="FFFFFF"/>
            <w:tcMar>
              <w:top w:w="65" w:type="dxa"/>
              <w:left w:w="95" w:type="dxa"/>
              <w:bottom w:w="65" w:type="dxa"/>
              <w:right w:w="95" w:type="dxa"/>
            </w:tcMar>
          </w:tcPr>
          <w:p>
            <w:pPr>
              <w:pStyle w:val="TableText"/>
            </w:pPr>
            <w:r>
              <w:rPr>
                <w:rFonts w:ascii="Arial" w:hAnsi="Arial"/>
                <w:b w:val="0"/>
              </w:rPr>
              <w:t>Pourquoi le Bâillon ?</w:t>
            </w:r>
          </w:p>
        </w:tc>
        <w:tc>
          <w:tcPr>
            <w:tcW w:type="dxa" w:w="7597"/>
            <w:vAlign w:val="top"/>
            <w:shd w:fill="FFFFFF"/>
            <w:tcMar>
              <w:top w:w="65" w:type="dxa"/>
              <w:left w:w="95" w:type="dxa"/>
              <w:bottom w:w="65" w:type="dxa"/>
              <w:right w:w="95" w:type="dxa"/>
            </w:tcMar>
          </w:tcPr>
          <w:p>
            <w:pPr>
              <w:pStyle w:val="TableText"/>
            </w:pPr>
            <w:r>
              <w:rPr>
                <w:rFonts w:ascii="Arial" w:hAnsi="Arial"/>
                <w:b w:val="0"/>
              </w:rPr>
              <w:t>Désarmer ses rivaux puis rendre les fonctions de fondation dépendantes de lui. La promesse de sécurité devient un système matériel de domination.</w:t>
            </w:r>
          </w:p>
        </w:tc>
      </w:tr>
      <w:tr>
        <w:trPr>
          <w:cantSplit/>
        </w:trPr>
        <w:tc>
          <w:tcPr>
            <w:tcW w:type="dxa" w:w="2268"/>
            <w:vAlign w:val="top"/>
            <w:shd w:fill="F1F5F7"/>
            <w:tcMar>
              <w:top w:w="65" w:type="dxa"/>
              <w:left w:w="95" w:type="dxa"/>
              <w:bottom w:w="65" w:type="dxa"/>
              <w:right w:w="95" w:type="dxa"/>
            </w:tcMar>
          </w:tcPr>
          <w:p>
            <w:pPr>
              <w:pStyle w:val="TableText"/>
            </w:pPr>
            <w:r>
              <w:rPr>
                <w:rFonts w:ascii="Arial" w:hAnsi="Arial"/>
                <w:b w:val="0"/>
              </w:rPr>
              <w:t>Pourquoi ne tue-t-il pas tout le monde ?</w:t>
            </w:r>
          </w:p>
        </w:tc>
        <w:tc>
          <w:tcPr>
            <w:tcW w:type="dxa" w:w="7597"/>
            <w:vAlign w:val="top"/>
            <w:shd w:fill="F1F5F7"/>
            <w:tcMar>
              <w:top w:w="65" w:type="dxa"/>
              <w:left w:w="95" w:type="dxa"/>
              <w:bottom w:w="65" w:type="dxa"/>
              <w:right w:w="95" w:type="dxa"/>
            </w:tcMar>
          </w:tcPr>
          <w:p>
            <w:pPr>
              <w:pStyle w:val="TableText"/>
            </w:pPr>
            <w:r>
              <w:rPr>
                <w:rFonts w:ascii="Arial" w:hAnsi="Arial"/>
                <w:b w:val="0"/>
              </w:rPr>
              <w:t>Il a besoin des noyaux vivants comme régulateurs du réseau. Il considère les populations comme des sujets à maintenir, non comme des vies libres à respecter.</w:t>
            </w:r>
          </w:p>
        </w:tc>
      </w:tr>
      <w:tr>
        <w:trPr>
          <w:cantSplit/>
        </w:trPr>
        <w:tc>
          <w:tcPr>
            <w:tcW w:type="dxa" w:w="2268"/>
            <w:vAlign w:val="top"/>
            <w:shd w:fill="FFFFFF"/>
            <w:tcMar>
              <w:top w:w="65" w:type="dxa"/>
              <w:left w:w="95" w:type="dxa"/>
              <w:bottom w:w="65" w:type="dxa"/>
              <w:right w:w="95" w:type="dxa"/>
            </w:tcMar>
          </w:tcPr>
          <w:p>
            <w:pPr>
              <w:pStyle w:val="TableText"/>
            </w:pPr>
            <w:r>
              <w:rPr>
                <w:rFonts w:ascii="Arial" w:hAnsi="Arial"/>
                <w:b w:val="0"/>
              </w:rPr>
              <w:t>Pourquoi paraît-il monstrueux ?</w:t>
            </w:r>
          </w:p>
        </w:tc>
        <w:tc>
          <w:tcPr>
            <w:tcW w:type="dxa" w:w="7597"/>
            <w:vAlign w:val="top"/>
            <w:shd w:fill="FFFFFF"/>
            <w:tcMar>
              <w:top w:w="65" w:type="dxa"/>
              <w:left w:w="95" w:type="dxa"/>
              <w:bottom w:w="65" w:type="dxa"/>
              <w:right w:w="95" w:type="dxa"/>
            </w:tcMar>
          </w:tcPr>
          <w:p>
            <w:pPr>
              <w:pStyle w:val="TableText"/>
            </w:pPr>
            <w:r>
              <w:rPr>
                <w:rFonts w:ascii="Arial" w:hAnsi="Arial"/>
                <w:b w:val="0"/>
              </w:rPr>
              <w:t>Son corps utilise depuis des siècles des stabilisations forcées alimentées par des ressources prélevées ailleurs. Il subsiste, mais doit rester relié à un dispositif lourd. Sa difformité est un coût de ses actes, pas la cause de sa méchanceté.</w:t>
            </w:r>
          </w:p>
        </w:tc>
      </w:tr>
      <w:tr>
        <w:trPr>
          <w:cantSplit/>
        </w:trPr>
        <w:tc>
          <w:tcPr>
            <w:tcW w:type="dxa" w:w="2268"/>
            <w:vAlign w:val="top"/>
            <w:shd w:fill="F1F5F7"/>
            <w:tcMar>
              <w:top w:w="65" w:type="dxa"/>
              <w:left w:w="95" w:type="dxa"/>
              <w:bottom w:w="65" w:type="dxa"/>
              <w:right w:w="95" w:type="dxa"/>
            </w:tcMar>
          </w:tcPr>
          <w:p>
            <w:pPr>
              <w:pStyle w:val="TableText"/>
            </w:pPr>
            <w:r>
              <w:rPr>
                <w:rFonts w:ascii="Arial" w:hAnsi="Arial"/>
                <w:b w:val="0"/>
              </w:rPr>
              <w:t>Pourquoi tuer H₀ ?</w:t>
            </w:r>
          </w:p>
        </w:tc>
        <w:tc>
          <w:tcPr>
            <w:tcW w:type="dxa" w:w="7597"/>
            <w:vAlign w:val="top"/>
            <w:shd w:fill="F1F5F7"/>
            <w:tcMar>
              <w:top w:w="65" w:type="dxa"/>
              <w:left w:w="95" w:type="dxa"/>
              <w:bottom w:w="65" w:type="dxa"/>
              <w:right w:w="95" w:type="dxa"/>
            </w:tcMar>
          </w:tcPr>
          <w:p>
            <w:pPr>
              <w:pStyle w:val="TableText"/>
            </w:pPr>
            <w:r>
              <w:rPr>
                <w:rFonts w:ascii="Arial" w:hAnsi="Arial"/>
                <w:b w:val="0"/>
              </w:rPr>
              <w:t>H₀ refuse le dernier raccordement et prépare une décentralisation. Séveran peut voler ses travaux, mais pas contraindre sans risque le noyau adulte qu’il a appris à protéger.</w:t>
            </w:r>
          </w:p>
        </w:tc>
      </w:tr>
      <w:tr>
        <w:trPr>
          <w:cantSplit/>
        </w:trPr>
        <w:tc>
          <w:tcPr>
            <w:tcW w:type="dxa" w:w="2268"/>
            <w:vAlign w:val="top"/>
            <w:shd w:fill="FFFFFF"/>
            <w:tcMar>
              <w:top w:w="65" w:type="dxa"/>
              <w:left w:w="95" w:type="dxa"/>
              <w:bottom w:w="65" w:type="dxa"/>
              <w:right w:w="95" w:type="dxa"/>
            </w:tcMar>
          </w:tcPr>
          <w:p>
            <w:pPr>
              <w:pStyle w:val="TableText"/>
            </w:pPr>
            <w:r>
              <w:rPr>
                <w:rFonts w:ascii="Arial" w:hAnsi="Arial"/>
                <w:b w:val="0"/>
              </w:rPr>
              <w:t>Pourquoi atteindre A ?</w:t>
            </w:r>
          </w:p>
        </w:tc>
        <w:tc>
          <w:tcPr>
            <w:tcW w:type="dxa" w:w="7597"/>
            <w:vAlign w:val="top"/>
            <w:shd w:fill="FFFFFF"/>
            <w:tcMar>
              <w:top w:w="65" w:type="dxa"/>
              <w:left w:w="95" w:type="dxa"/>
              <w:bottom w:w="65" w:type="dxa"/>
              <w:right w:w="95" w:type="dxa"/>
            </w:tcMar>
          </w:tcPr>
          <w:p>
            <w:pPr>
              <w:pStyle w:val="TableText"/>
            </w:pPr>
            <w:r>
              <w:rPr>
                <w:rFonts w:ascii="Arial" w:hAnsi="Arial"/>
                <w:b w:val="0"/>
              </w:rPr>
              <w:t>Le prototype contient une ancre où existe un H jeune et non entraîné. Séveran cherche une clé vulnérable, pas un assassinat qui effacerait rétroactivement ses propres problèmes.</w:t>
            </w:r>
          </w:p>
        </w:tc>
      </w:tr>
      <w:tr>
        <w:trPr>
          <w:cantSplit/>
        </w:trPr>
        <w:tc>
          <w:tcPr>
            <w:tcW w:type="dxa" w:w="2268"/>
            <w:vAlign w:val="top"/>
            <w:shd w:fill="F1F5F7"/>
            <w:tcMar>
              <w:top w:w="65" w:type="dxa"/>
              <w:left w:w="95" w:type="dxa"/>
              <w:bottom w:w="65" w:type="dxa"/>
              <w:right w:w="95" w:type="dxa"/>
            </w:tcMar>
          </w:tcPr>
          <w:p>
            <w:pPr>
              <w:pStyle w:val="TableText"/>
            </w:pPr>
            <w:r>
              <w:rPr>
                <w:rFonts w:ascii="Arial" w:hAnsi="Arial"/>
                <w:b w:val="0"/>
              </w:rPr>
              <w:t>Pourquoi frapper C ?</w:t>
            </w:r>
          </w:p>
        </w:tc>
        <w:tc>
          <w:tcPr>
            <w:tcW w:type="dxa" w:w="7597"/>
            <w:vAlign w:val="top"/>
            <w:shd w:fill="F1F5F7"/>
            <w:tcMar>
              <w:top w:w="65" w:type="dxa"/>
              <w:left w:w="95" w:type="dxa"/>
              <w:bottom w:w="65" w:type="dxa"/>
              <w:right w:w="95" w:type="dxa"/>
            </w:tcMar>
          </w:tcPr>
          <w:p>
            <w:pPr>
              <w:pStyle w:val="TableText"/>
            </w:pPr>
            <w:r>
              <w:rPr>
                <w:rFonts w:ascii="Arial" w:hAnsi="Arial"/>
                <w:b w:val="0"/>
              </w:rPr>
              <w:t>C intercepte l’instrument de capture létale. Séveran privilégie l’opération et ne retient pas le coup. Ce n’est ni une erreur d’identité ni une miséricorde cachée.</w:t>
            </w:r>
          </w:p>
        </w:tc>
      </w:tr>
      <w:tr>
        <w:trPr>
          <w:cantSplit/>
        </w:trPr>
        <w:tc>
          <w:tcPr>
            <w:tcW w:type="dxa" w:w="2268"/>
            <w:vAlign w:val="top"/>
            <w:shd w:fill="FFFFFF"/>
            <w:tcMar>
              <w:top w:w="65" w:type="dxa"/>
              <w:left w:w="95" w:type="dxa"/>
              <w:bottom w:w="65" w:type="dxa"/>
              <w:right w:w="95" w:type="dxa"/>
            </w:tcMar>
          </w:tcPr>
          <w:p>
            <w:pPr>
              <w:pStyle w:val="TableText"/>
            </w:pPr>
            <w:r>
              <w:rPr>
                <w:rFonts w:ascii="Arial" w:hAnsi="Arial"/>
                <w:b w:val="0"/>
              </w:rPr>
              <w:t>Pourquoi ne gagne-t-il pas aussitôt ?</w:t>
            </w:r>
          </w:p>
        </w:tc>
        <w:tc>
          <w:tcPr>
            <w:tcW w:type="dxa" w:w="7597"/>
            <w:vAlign w:val="top"/>
            <w:shd w:fill="FFFFFF"/>
            <w:tcMar>
              <w:top w:w="65" w:type="dxa"/>
              <w:left w:w="95" w:type="dxa"/>
              <w:bottom w:w="65" w:type="dxa"/>
              <w:right w:w="95" w:type="dxa"/>
            </w:tcMar>
          </w:tcPr>
          <w:p>
            <w:pPr>
              <w:pStyle w:val="TableText"/>
            </w:pPr>
            <w:r>
              <w:rPr>
                <w:rFonts w:ascii="Arial" w:hAnsi="Arial"/>
                <w:b w:val="0"/>
              </w:rPr>
              <w:t>Le départ vers Orthe utilise une route clandestine. La fenêtre se déploie au Méridien, dans le rayon de son support vital : il peut y attaquer. Le relais où Nacre envoie H est hors de ce rayon. Il mobilise donc armée, agents et pressions politiques.</w:t>
            </w:r>
          </w:p>
        </w:tc>
      </w:tr>
      <w:tr>
        <w:trPr>
          <w:cantSplit/>
        </w:trPr>
        <w:tc>
          <w:tcPr>
            <w:tcW w:type="dxa" w:w="2268"/>
            <w:vAlign w:val="top"/>
            <w:shd w:fill="F1F5F7"/>
            <w:tcMar>
              <w:top w:w="65" w:type="dxa"/>
              <w:left w:w="95" w:type="dxa"/>
              <w:bottom w:w="65" w:type="dxa"/>
              <w:right w:w="95" w:type="dxa"/>
            </w:tcMar>
          </w:tcPr>
          <w:p>
            <w:pPr>
              <w:pStyle w:val="TableText"/>
            </w:pPr>
            <w:r>
              <w:rPr>
                <w:rFonts w:ascii="Arial" w:hAnsi="Arial"/>
                <w:b w:val="0"/>
              </w:rPr>
              <w:t>Pourquoi reste-t-il dangereux ?</w:t>
            </w:r>
          </w:p>
        </w:tc>
        <w:tc>
          <w:tcPr>
            <w:tcW w:type="dxa" w:w="7597"/>
            <w:vAlign w:val="top"/>
            <w:shd w:fill="F1F5F7"/>
            <w:tcMar>
              <w:top w:w="65" w:type="dxa"/>
              <w:left w:w="95" w:type="dxa"/>
              <w:bottom w:w="65" w:type="dxa"/>
              <w:right w:w="95" w:type="dxa"/>
            </w:tcMar>
          </w:tcPr>
          <w:p>
            <w:pPr>
              <w:pStyle w:val="TableText"/>
            </w:pPr>
            <w:r>
              <w:rPr>
                <w:rFonts w:ascii="Arial" w:hAnsi="Arial"/>
                <w:b w:val="0"/>
              </w:rPr>
              <w:t>Il peut couper des routes, fragiliser les infrastructures, favoriser des collaborateurs et retourner l’opinion en diffusant des preuves authentiques des fautes de H₀.</w:t>
            </w:r>
          </w:p>
        </w:tc>
      </w:tr>
    </w:tbl>
    <w:p>
      <w:pPr>
        <w:spacing w:after="0"/>
      </w:pPr>
    </w:p>
    <w:p>
      <w:r>
        <w:rPr>
          <w:rFonts w:ascii="Arial" w:hAnsi="Arial"/>
          <w:b w:val="0"/>
        </w:rPr>
        <w:t>Le Concordat ne s’effondre pas parce qu’un chef meurt : ses préfets, ses dépendances techniques et les besoins des civils doivent être traités pendant la campagne. La victoire militaire ne remplace pas la reconstruction politique.</w:t>
      </w:r>
    </w:p>
    <w:p>
      <w:r>
        <w:br w:type="page"/>
      </w:r>
    </w:p>
    <w:p>
      <w:pPr>
        <w:spacing w:after="60"/>
      </w:pPr>
      <w:r>
        <w:rPr>
          <w:rFonts w:ascii="Arial" w:hAnsi="Arial"/>
          <w:b/>
          <w:color w:val="677784"/>
          <w:sz w:val="16"/>
        </w:rPr>
        <w:t>C₀, C₁ ET LA RELATION</w:t>
      </w:r>
    </w:p>
    <w:p>
      <w:bookmarkStart w:id="13" w:name="section_13"/>
      <w:pPr>
        <w:pStyle w:val="Heading1"/>
      </w:pPr>
      <w:r>
        <w:t>12 — Le partenaire : une personne entière</w:t>
      </w:r>
      <w:bookmarkEnd w:id="13"/>
    </w:p>
    <w:p>
      <w:pPr>
        <w:pStyle w:val="Heading2"/>
      </w:pPr>
      <w:r>
        <w:t>Une mission, puis une vie choisie</w:t>
      </w:r>
    </w:p>
    <w:p>
      <w:r>
        <w:rPr>
          <w:rFonts w:ascii="Arial" w:hAnsi="Arial"/>
          <w:b w:val="0"/>
        </w:rPr>
        <w:t>C a cherché longtemps les survivants du programme de sauvegarde. Cette mission vient d’un espoir pour son peuple, pas d’un ordre prophétique de séduire le héros. Après la découverte de la capsule, C n’élève pas H et ne construit pas sa personnalité. Leur relation personnelle commence plusieurs années après sa majorité.</w:t>
      </w:r>
    </w:p>
    <w:p>
      <w:r>
        <w:rPr>
          <w:rFonts w:ascii="Arial" w:hAnsi="Arial"/>
          <w:b w:val="0"/>
        </w:rPr>
        <w:t>C possède des compétences scientifiques réelles, un humour propre, des désaccords avec H et des engagements politiques sur Orthe. La couverture professionnelle n’explique pas toute sa personnalité. En quittant officiellement sa mission avant A, C accepte de perdre des protections pour préserver sa liberté de choisir.</w:t>
      </w:r>
    </w:p>
    <w:p>
      <w:pPr>
        <w:pStyle w:val="Heading2"/>
      </w:pPr>
      <w:r>
        <w:t>Le secret doit avoir un coût</w:t>
      </w:r>
    </w:p>
    <w:p>
      <w:r>
        <w:rPr>
          <w:rFonts w:ascii="Arial" w:hAnsi="Arial"/>
          <w:b w:val="0"/>
        </w:rPr>
        <w:t>C ne révèle pas à H son origine et sa première mission assez tôt. La peur de perdre cette relation explique le silence sans le justifier. Les archives montrent que l’amour n’était pas un ordre ; elles ne rendent pas automatiquement la dissimulation acceptable. Après le sauvetage, H peut exprimer son sentiment de trahison et poser des limites.</w:t>
      </w:r>
    </w:p>
    <w:p>
      <w:pPr>
        <w:pStyle w:val="Heading2"/>
      </w:pPr>
      <w:r>
        <w:t>Deux trajectoires clairement séparées</w:t>
      </w:r>
    </w:p>
    <w:p>
      <w:r>
        <w:rPr>
          <w:rFonts w:ascii="Arial" w:hAnsi="Arial"/>
          <w:b/>
        </w:rPr>
        <w:t>C₀</w:t>
      </w:r>
      <w:r>
        <w:rPr>
          <w:rFonts w:ascii="Arial" w:hAnsi="Arial"/>
          <w:b w:val="0"/>
        </w:rPr>
        <w:t>, dans la source, accompagne le chercheur en G, combat son rapprochement avec le Concordat et meurt en sauvant une cité. Son noyau est entièrement détruit : sa mort n’est pas annulable par cette technologie. Des témoins permettent de raconter ses choix sans réduire son rôle à la douleur de H₀.</w:t>
      </w:r>
    </w:p>
    <w:p>
      <w:r>
        <w:rPr>
          <w:rFonts w:ascii="Arial" w:hAnsi="Arial"/>
          <w:b/>
        </w:rPr>
        <w:t>C₁</w:t>
      </w:r>
      <w:r>
        <w:rPr>
          <w:rFonts w:ascii="Arial" w:hAnsi="Arial"/>
          <w:b w:val="0"/>
        </w:rPr>
        <w:t>, au prologue, partage la vie du héros jusqu’à A. Son corps reçoit une blessure mortelle en s’interposant. La suspension chronale préserve toutefois les derniers instants d’un noyau encore viable. Le sauvetage final concerne cette même continuité, pas une reconstruction fondée sur les souvenirs de H.</w:t>
      </w:r>
    </w:p>
    <w:p>
      <w:pPr>
        <w:pStyle w:val="Heading2"/>
      </w:pPr>
      <w:r>
        <w:t>Comment la relation reprend</w:t>
      </w:r>
    </w:p>
    <w:p>
      <w:r>
        <w:rPr>
          <w:rFonts w:ascii="Arial" w:hAnsi="Arial"/>
          <w:b w:val="0"/>
        </w:rPr>
        <w:t>C₁ ne revient pas avec quatorze années de souvenirs qui ne lui appartiennent pas. H₁, lui, a vécu le voyage de neuf mois. Ils étaient déjà amoureux ; ils doivent maintenant composer avec le secret révélé, le deuil traversé, le changement de H et ce qu’ils ont appris de leurs autres vies.</w:t>
      </w:r>
    </w:p>
    <w:p>
      <w:r>
        <w:rPr>
          <w:rFonts w:ascii="Arial" w:hAnsi="Arial"/>
          <w:b w:val="0"/>
        </w:rPr>
        <w:t>L’épilogue ne dit pas « elle ou il lui revient donc tout va bien ». Il montre des conversations, un travail partagé, un conflit résolu autrement qu’avant, puis un choix réciproque. C conserve des liens, des obligations et une existence propre sur Orthe.</w:t>
      </w:r>
    </w:p>
    <w:p>
      <w:pPr>
        <w:pStyle w:val="Heading2"/>
      </w:pPr>
      <w:r>
        <w:t>Place dans le jeu</w:t>
      </w:r>
    </w:p>
    <w:p>
      <w:r>
        <w:rPr>
          <w:rFonts w:ascii="Arial" w:hAnsi="Arial"/>
          <w:b w:val="0"/>
        </w:rPr>
        <w:t xml:space="preserve">Le partenaire peut devenir un personnage jouable de rang cinq étoiles </w:t>
      </w:r>
      <w:r>
        <w:rPr>
          <w:rFonts w:ascii="Arial" w:hAnsi="Arial"/>
          <w:b/>
        </w:rPr>
        <w:t>obtenu gratuitement par l’histoire</w:t>
      </w:r>
      <w:r>
        <w:rPr>
          <w:rFonts w:ascii="Arial" w:hAnsi="Arial"/>
          <w:b w:val="0"/>
        </w:rPr>
        <w:t>, après sa convalescence. Aucun tirage, doublon ou achat ne conditionne son sauvetage, son affection ou la conclusion du couple.</w:t>
      </w:r>
    </w:p>
    <w:p>
      <w:r>
        <w:br w:type="page"/>
      </w:r>
    </w:p>
    <w:p>
      <w:pPr>
        <w:spacing w:after="60"/>
      </w:pPr>
      <w:r>
        <w:rPr>
          <w:rFonts w:ascii="Arial" w:hAnsi="Arial"/>
          <w:b/>
          <w:color w:val="677784"/>
          <w:sz w:val="16"/>
        </w:rPr>
        <w:t>FONCTION, MÉMOIRE ET PERSONNALITÉ</w:t>
      </w:r>
    </w:p>
    <w:p>
      <w:bookmarkStart w:id="14" w:name="section_14"/>
      <w:pPr>
        <w:pStyle w:val="Heading1"/>
      </w:pPr>
      <w:r>
        <w:t>13 — Nacre, le compagnon IA</w:t>
      </w:r>
      <w:bookmarkEnd w:id="14"/>
    </w:p>
    <w:p>
      <w:r>
        <w:rPr>
          <w:rFonts w:ascii="Arial" w:hAnsi="Arial"/>
          <w:b w:val="0"/>
        </w:rPr>
        <w:t>Nacre est un assistant artificiel conçu par H₀ avec des ingénieurs d’Orthe, avant la création du prototype chronal. Son corps est une sphère de céramique claire, entourée de petits segments mobiles servant de capteurs et d’outils. Ce n’est ni l’âme du partenaire, ni un masque de l’ennemi, ni une personne volontairement trompeuse.</w:t>
      </w:r>
    </w:p>
    <w:tbl>
      <w:tblPr>
        <w:tblW w:type="auto" w:w="0"/>
        <w:jc w:val="center"/>
        <w:tblLayout w:type="fixed"/>
        <w:tblLook w:firstColumn="1" w:firstRow="1" w:lastColumn="0" w:lastRow="0" w:noHBand="0" w:noVBand="1" w:val="04A0"/>
      </w:tblPr>
      <w:tblGrid>
        <w:gridCol w:w="2268"/>
        <w:gridCol w:w="7597"/>
      </w:tblGrid>
      <w:tr>
        <w:trPr>
          <w:tblHeader/>
        </w:trPr>
        <w:tc>
          <w:tcPr>
            <w:tcW w:type="dxa" w:w="2268"/>
            <w:vAlign w:val="center"/>
            <w:shd w:fill="253A52"/>
            <w:tcMar>
              <w:top w:w="65" w:type="dxa"/>
              <w:left w:w="95" w:type="dxa"/>
              <w:bottom w:w="65" w:type="dxa"/>
              <w:right w:w="95" w:type="dxa"/>
            </w:tcMar>
          </w:tcPr>
          <w:p>
            <w:pPr>
              <w:pStyle w:val="TableText"/>
            </w:pPr>
            <w:r>
              <w:rPr>
                <w:rFonts w:ascii="Arial" w:hAnsi="Arial"/>
                <w:b/>
                <w:color w:val="FFFFFF"/>
              </w:rPr>
              <w:t>Composant</w:t>
            </w:r>
          </w:p>
        </w:tc>
        <w:tc>
          <w:tcPr>
            <w:tcW w:type="dxa" w:w="7597"/>
            <w:vAlign w:val="center"/>
            <w:shd w:fill="253A52"/>
            <w:tcMar>
              <w:top w:w="65" w:type="dxa"/>
              <w:left w:w="95" w:type="dxa"/>
              <w:bottom w:w="65" w:type="dxa"/>
              <w:right w:w="95" w:type="dxa"/>
            </w:tcMar>
          </w:tcPr>
          <w:p>
            <w:pPr>
              <w:pStyle w:val="TableText"/>
            </w:pPr>
            <w:r>
              <w:rPr>
                <w:rFonts w:ascii="Arial" w:hAnsi="Arial"/>
                <w:b/>
                <w:color w:val="FFFFFF"/>
              </w:rPr>
              <w:t>Ce qu’il permet</w:t>
            </w:r>
          </w:p>
        </w:tc>
      </w:tr>
      <w:tr>
        <w:trPr>
          <w:cantSplit/>
        </w:trPr>
        <w:tc>
          <w:tcPr>
            <w:tcW w:type="dxa" w:w="2268"/>
            <w:vAlign w:val="top"/>
            <w:shd w:fill="F1F5F7"/>
            <w:tcMar>
              <w:top w:w="65" w:type="dxa"/>
              <w:left w:w="95" w:type="dxa"/>
              <w:bottom w:w="65" w:type="dxa"/>
              <w:right w:w="95" w:type="dxa"/>
            </w:tcMar>
          </w:tcPr>
          <w:p>
            <w:pPr>
              <w:pStyle w:val="TableText"/>
            </w:pPr>
            <w:r>
              <w:rPr>
                <w:rFonts w:ascii="Arial" w:hAnsi="Arial"/>
                <w:b w:val="0"/>
              </w:rPr>
              <w:t>Noyau local intact</w:t>
            </w:r>
          </w:p>
        </w:tc>
        <w:tc>
          <w:tcPr>
            <w:tcW w:type="dxa" w:w="7597"/>
            <w:vAlign w:val="top"/>
            <w:shd w:fill="F1F5F7"/>
            <w:tcMar>
              <w:top w:w="65" w:type="dxa"/>
              <w:left w:w="95" w:type="dxa"/>
              <w:bottom w:w="65" w:type="dxa"/>
              <w:right w:w="95" w:type="dxa"/>
            </w:tcMar>
          </w:tcPr>
          <w:p>
            <w:pPr>
              <w:pStyle w:val="TableText"/>
            </w:pPr>
            <w:r>
              <w:rPr>
                <w:rFonts w:ascii="Arial" w:hAnsi="Arial"/>
                <w:b w:val="0"/>
              </w:rPr>
              <w:t>Langage, orientation, soins élémentaires, prudence technique et personnalité. Nacre sait qu’elle a été fabriquée par un H plus âgé et le dit après vérification.</w:t>
            </w:r>
          </w:p>
        </w:tc>
      </w:tr>
      <w:tr>
        <w:trPr>
          <w:cantSplit/>
        </w:trPr>
        <w:tc>
          <w:tcPr>
            <w:tcW w:type="dxa" w:w="2268"/>
            <w:vAlign w:val="top"/>
            <w:shd w:fill="FFFFFF"/>
            <w:tcMar>
              <w:top w:w="65" w:type="dxa"/>
              <w:left w:w="95" w:type="dxa"/>
              <w:bottom w:w="65" w:type="dxa"/>
              <w:right w:w="95" w:type="dxa"/>
            </w:tcMar>
          </w:tcPr>
          <w:p>
            <w:pPr>
              <w:pStyle w:val="TableText"/>
            </w:pPr>
            <w:r>
              <w:rPr>
                <w:rFonts w:ascii="Arial" w:hAnsi="Arial"/>
                <w:b w:val="0"/>
              </w:rPr>
              <w:t>Mémoire de travail nouvelle</w:t>
            </w:r>
          </w:p>
        </w:tc>
        <w:tc>
          <w:tcPr>
            <w:tcW w:type="dxa" w:w="7597"/>
            <w:vAlign w:val="top"/>
            <w:shd w:fill="FFFFFF"/>
            <w:tcMar>
              <w:top w:w="65" w:type="dxa"/>
              <w:left w:w="95" w:type="dxa"/>
              <w:bottom w:w="65" w:type="dxa"/>
              <w:right w:w="95" w:type="dxa"/>
            </w:tcMar>
          </w:tcPr>
          <w:p>
            <w:pPr>
              <w:pStyle w:val="TableText"/>
            </w:pPr>
            <w:r>
              <w:rPr>
                <w:rFonts w:ascii="Arial" w:hAnsi="Arial"/>
                <w:b w:val="0"/>
              </w:rPr>
              <w:t>Elle conserve normalement ce que H₁ et elle vivent ensemble. L’oubli ne revient pas à chaque chapitre pour retarder une révélation.</w:t>
            </w:r>
          </w:p>
        </w:tc>
      </w:tr>
      <w:tr>
        <w:trPr>
          <w:cantSplit/>
        </w:trPr>
        <w:tc>
          <w:tcPr>
            <w:tcW w:type="dxa" w:w="2268"/>
            <w:vAlign w:val="top"/>
            <w:shd w:fill="F1F5F7"/>
            <w:tcMar>
              <w:top w:w="65" w:type="dxa"/>
              <w:left w:w="95" w:type="dxa"/>
              <w:bottom w:w="65" w:type="dxa"/>
              <w:right w:w="95" w:type="dxa"/>
            </w:tcMar>
          </w:tcPr>
          <w:p>
            <w:pPr>
              <w:pStyle w:val="TableText"/>
            </w:pPr>
            <w:r>
              <w:rPr>
                <w:rFonts w:ascii="Arial" w:hAnsi="Arial"/>
                <w:b w:val="0"/>
              </w:rPr>
              <w:t>Modules endommagés</w:t>
            </w:r>
          </w:p>
        </w:tc>
        <w:tc>
          <w:tcPr>
            <w:tcW w:type="dxa" w:w="7597"/>
            <w:vAlign w:val="top"/>
            <w:shd w:fill="F1F5F7"/>
            <w:tcMar>
              <w:top w:w="65" w:type="dxa"/>
              <w:left w:w="95" w:type="dxa"/>
              <w:bottom w:w="65" w:type="dxa"/>
              <w:right w:w="95" w:type="dxa"/>
            </w:tcMar>
          </w:tcPr>
          <w:p>
            <w:pPr>
              <w:pStyle w:val="TableText"/>
            </w:pPr>
            <w:r>
              <w:rPr>
                <w:rFonts w:ascii="Arial" w:hAnsi="Arial"/>
                <w:b w:val="0"/>
              </w:rPr>
              <w:t>La surcharge du secours a détruit des circuits de lecture et plusieurs index. Des données peuvent exister sans être encore décodables ; la réparation est matérielle, pas seulement morale.</w:t>
            </w:r>
          </w:p>
        </w:tc>
      </w:tr>
      <w:tr>
        <w:trPr>
          <w:cantSplit/>
        </w:trPr>
        <w:tc>
          <w:tcPr>
            <w:tcW w:type="dxa" w:w="2268"/>
            <w:vAlign w:val="top"/>
            <w:shd w:fill="FFFFFF"/>
            <w:tcMar>
              <w:top w:w="65" w:type="dxa"/>
              <w:left w:w="95" w:type="dxa"/>
              <w:bottom w:w="65" w:type="dxa"/>
              <w:right w:w="95" w:type="dxa"/>
            </w:tcMar>
          </w:tcPr>
          <w:p>
            <w:pPr>
              <w:pStyle w:val="TableText"/>
            </w:pPr>
            <w:r>
              <w:rPr>
                <w:rFonts w:ascii="Arial" w:hAnsi="Arial"/>
                <w:b w:val="0"/>
              </w:rPr>
              <w:t>Archives distribuées</w:t>
            </w:r>
          </w:p>
        </w:tc>
        <w:tc>
          <w:tcPr>
            <w:tcW w:type="dxa" w:w="7597"/>
            <w:vAlign w:val="top"/>
            <w:shd w:fill="FFFFFF"/>
            <w:tcMar>
              <w:top w:w="65" w:type="dxa"/>
              <w:left w:w="95" w:type="dxa"/>
              <w:bottom w:w="65" w:type="dxa"/>
              <w:right w:w="95" w:type="dxa"/>
            </w:tcMar>
          </w:tcPr>
          <w:p>
            <w:pPr>
              <w:pStyle w:val="TableText"/>
            </w:pPr>
            <w:r>
              <w:rPr>
                <w:rFonts w:ascii="Arial" w:hAnsi="Arial"/>
                <w:b w:val="0"/>
              </w:rPr>
              <w:t>H₀ travaillait avec plusieurs stations régionales. Elles possèdent des versions datées de ses travaux et de véritables témoignages. Toutes les vérités ne se trouvent pas dans la tête de Nacre.</w:t>
            </w:r>
          </w:p>
        </w:tc>
      </w:tr>
      <w:tr>
        <w:trPr>
          <w:cantSplit/>
        </w:trPr>
        <w:tc>
          <w:tcPr>
            <w:tcW w:type="dxa" w:w="2268"/>
            <w:vAlign w:val="top"/>
            <w:shd w:fill="F1F5F7"/>
            <w:tcMar>
              <w:top w:w="65" w:type="dxa"/>
              <w:left w:w="95" w:type="dxa"/>
              <w:bottom w:w="65" w:type="dxa"/>
              <w:right w:w="95" w:type="dxa"/>
            </w:tcMar>
          </w:tcPr>
          <w:p>
            <w:pPr>
              <w:pStyle w:val="TableText"/>
            </w:pPr>
            <w:r>
              <w:rPr>
                <w:rFonts w:ascii="Arial" w:hAnsi="Arial"/>
                <w:b w:val="0"/>
              </w:rPr>
              <w:t>Protection des personnes</w:t>
            </w:r>
          </w:p>
        </w:tc>
        <w:tc>
          <w:tcPr>
            <w:tcW w:type="dxa" w:w="7597"/>
            <w:vAlign w:val="top"/>
            <w:shd w:fill="F1F5F7"/>
            <w:tcMar>
              <w:top w:w="65" w:type="dxa"/>
              <w:left w:w="95" w:type="dxa"/>
              <w:bottom w:w="65" w:type="dxa"/>
              <w:right w:w="95" w:type="dxa"/>
            </w:tcMar>
          </w:tcPr>
          <w:p>
            <w:pPr>
              <w:pStyle w:val="TableText"/>
            </w:pPr>
            <w:r>
              <w:rPr>
                <w:rFonts w:ascii="Arial" w:hAnsi="Arial"/>
                <w:b w:val="0"/>
              </w:rPr>
              <w:t>Certains documents privés nécessitent l’accord de leurs dépositaires. Le récit présente cela comme un droit, pas comme une serrure magique qui exige de gagner un combat.</w:t>
            </w:r>
          </w:p>
        </w:tc>
      </w:tr>
      <w:tr>
        <w:trPr>
          <w:cantSplit/>
        </w:trPr>
        <w:tc>
          <w:tcPr>
            <w:tcW w:type="dxa" w:w="2268"/>
            <w:vAlign w:val="top"/>
            <w:shd w:fill="FFFFFF"/>
            <w:tcMar>
              <w:top w:w="65" w:type="dxa"/>
              <w:left w:w="95" w:type="dxa"/>
              <w:bottom w:w="65" w:type="dxa"/>
              <w:right w:w="95" w:type="dxa"/>
            </w:tcMar>
          </w:tcPr>
          <w:p>
            <w:pPr>
              <w:pStyle w:val="TableText"/>
            </w:pPr>
            <w:r>
              <w:rPr>
                <w:rFonts w:ascii="Arial" w:hAnsi="Arial"/>
                <w:b w:val="0"/>
              </w:rPr>
              <w:t>Fonction chronale</w:t>
            </w:r>
          </w:p>
        </w:tc>
        <w:tc>
          <w:tcPr>
            <w:tcW w:type="dxa" w:w="7597"/>
            <w:vAlign w:val="top"/>
            <w:shd w:fill="FFFFFF"/>
            <w:tcMar>
              <w:top w:w="65" w:type="dxa"/>
              <w:left w:w="95" w:type="dxa"/>
              <w:bottom w:w="65" w:type="dxa"/>
              <w:right w:w="95" w:type="dxa"/>
            </w:tcMar>
          </w:tcPr>
          <w:p>
            <w:pPr>
              <w:pStyle w:val="TableText"/>
            </w:pPr>
            <w:r>
              <w:rPr>
                <w:rFonts w:ascii="Arial" w:hAnsi="Arial"/>
                <w:b w:val="0"/>
              </w:rPr>
              <w:t>Nacre transporte l’interface de secours, maintient le reliquat de A₁ et finira par calculer son extraction. Elle ne contient pas une machine capable de ressusciter librement le monde.</w:t>
            </w:r>
          </w:p>
        </w:tc>
      </w:tr>
    </w:tbl>
    <w:p>
      <w:pPr>
        <w:spacing w:after="0"/>
      </w:pPr>
    </w:p>
    <w:p>
      <w:pPr>
        <w:pStyle w:val="Heading2"/>
      </w:pPr>
      <w:r>
        <w:t>Ce qu’elle sait et ce qu’elle ignore au départ</w:t>
      </w:r>
    </w:p>
    <w:p>
      <w:r>
        <w:rPr>
          <w:rFonts w:ascii="Arial" w:hAnsi="Arial"/>
          <w:b w:val="0"/>
        </w:rPr>
        <w:t>Elle peut identifier le présent Z, reconnaître Orthe et constater qu’un secours vient d’être exécuté. Elle ne possède plus le journal complet de l’assassinat, le détail de la mission de C ni la preuve que le noyau de C₁ est viable. Elle ne promet donc pas une résurrection certaine.</w:t>
      </w:r>
    </w:p>
    <w:p>
      <w:r>
        <w:rPr>
          <w:rFonts w:ascii="Arial" w:hAnsi="Arial"/>
          <w:b w:val="0"/>
        </w:rPr>
        <w:t>Lorsqu’une station ne contient que des mesures techniques, elle l’explique. Une mémoire retrouvée peut contredire une version impériale, mais doit être confrontée à d’autres traces lorsque son interprétation est incertaine.</w:t>
      </w:r>
    </w:p>
    <w:p>
      <w:pPr>
        <w:pStyle w:val="Heading2"/>
      </w:pPr>
      <w:r>
        <w:t>Son arc personnel</w:t>
      </w:r>
    </w:p>
    <w:p>
      <w:r>
        <w:rPr>
          <w:rFonts w:ascii="Arial" w:hAnsi="Arial"/>
          <w:b w:val="0"/>
        </w:rPr>
        <w:t>D’abord obsédée par les consignes laissées par H₀, Nacre apprend à formuler un avis et à reconnaître H₁ comme une personne distincte. Son humour vient de ses diagnostics trop littéraux et de ses petites préférences, pas d’un traitement infantilisant du héros.</w:t>
      </w:r>
    </w:p>
    <w:p>
      <w:r>
        <w:rPr>
          <w:rFonts w:ascii="Arial" w:hAnsi="Arial"/>
          <w:b w:val="0"/>
        </w:rPr>
        <w:t>Elle survit à la conclusion. Son accès exceptionnel au passé est consommé avec l’ancre ; ses souvenirs de l’aventure et sa personnalité restent intacts. Le compagnon ne doit pas subir une mort artificielle puis un rétablissement gratuit pour produire une émotion supplémentaire.</w:t>
      </w:r>
    </w:p>
    <w:p>
      <w:r>
        <w:br w:type="page"/>
      </w:r>
    </w:p>
    <w:p>
      <w:pPr>
        <w:spacing w:after="60"/>
      </w:pPr>
      <w:r>
        <w:rPr>
          <w:rFonts w:ascii="Arial" w:hAnsi="Arial"/>
          <w:b/>
          <w:color w:val="677784"/>
          <w:sz w:val="16"/>
        </w:rPr>
        <w:t>NOMS ET RANGS PROVISOIRES</w:t>
      </w:r>
    </w:p>
    <w:p>
      <w:bookmarkStart w:id="15" w:name="section_15"/>
      <w:pPr>
        <w:pStyle w:val="Heading1"/>
      </w:pPr>
      <w:r>
        <w:t>14 — Personnages structurants</w:t>
      </w:r>
      <w:bookmarkEnd w:id="15"/>
    </w:p>
    <w:tbl>
      <w:tblPr>
        <w:tblW w:type="auto" w:w="0"/>
        <w:jc w:val="center"/>
        <w:tblLayout w:type="fixed"/>
        <w:tblLook w:firstColumn="1" w:firstRow="1" w:lastColumn="0" w:lastRow="0" w:noHBand="0" w:noVBand="1" w:val="04A0"/>
      </w:tblPr>
      <w:tblGrid>
        <w:gridCol w:w="2608"/>
        <w:gridCol w:w="7257"/>
      </w:tblGrid>
      <w:tr>
        <w:trPr>
          <w:tblHeader/>
        </w:trPr>
        <w:tc>
          <w:tcPr>
            <w:tcW w:type="dxa" w:w="2608"/>
            <w:vAlign w:val="center"/>
            <w:shd w:fill="253A52"/>
            <w:tcMar>
              <w:top w:w="65" w:type="dxa"/>
              <w:left w:w="95" w:type="dxa"/>
              <w:bottom w:w="65" w:type="dxa"/>
              <w:right w:w="95" w:type="dxa"/>
            </w:tcMar>
          </w:tcPr>
          <w:p>
            <w:pPr>
              <w:pStyle w:val="TableText"/>
            </w:pPr>
            <w:r>
              <w:rPr>
                <w:rFonts w:ascii="Arial" w:hAnsi="Arial"/>
                <w:b/>
                <w:color w:val="FFFFFF"/>
              </w:rPr>
              <w:t>Personnage</w:t>
            </w:r>
          </w:p>
        </w:tc>
        <w:tc>
          <w:tcPr>
            <w:tcW w:type="dxa" w:w="7257"/>
            <w:vAlign w:val="center"/>
            <w:shd w:fill="253A52"/>
            <w:tcMar>
              <w:top w:w="65" w:type="dxa"/>
              <w:left w:w="95" w:type="dxa"/>
              <w:bottom w:w="65" w:type="dxa"/>
              <w:right w:w="95" w:type="dxa"/>
            </w:tcMar>
          </w:tcPr>
          <w:p>
            <w:pPr>
              <w:pStyle w:val="TableText"/>
            </w:pPr>
            <w:r>
              <w:rPr>
                <w:rFonts w:ascii="Arial" w:hAnsi="Arial"/>
                <w:b/>
                <w:color w:val="FFFFFF"/>
              </w:rPr>
              <w:t>Fonction, conflit et accès au groupe</w:t>
            </w:r>
          </w:p>
        </w:tc>
      </w:tr>
      <w:tr>
        <w:trPr>
          <w:cantSplit/>
        </w:trPr>
        <w:tc>
          <w:tcPr>
            <w:tcW w:type="dxa" w:w="2608"/>
            <w:vAlign w:val="top"/>
            <w:shd w:fill="F1F5F7"/>
            <w:tcMar>
              <w:top w:w="65" w:type="dxa"/>
              <w:left w:w="95" w:type="dxa"/>
              <w:bottom w:w="65" w:type="dxa"/>
              <w:right w:w="95" w:type="dxa"/>
            </w:tcMar>
          </w:tcPr>
          <w:p>
            <w:pPr>
              <w:pStyle w:val="TableText"/>
            </w:pPr>
            <w:r>
              <w:rPr>
                <w:rFonts w:ascii="Arial" w:hAnsi="Arial"/>
                <w:b/>
              </w:rPr>
              <w:t>Yselle • 4★</w:t>
            </w:r>
            <w:r>
              <w:rPr>
                <w:rFonts w:ascii="Arial" w:hAnsi="Arial"/>
                <w:b w:val="0"/>
              </w:rPr>
              <w:br/>
              <w:t>Havre des Traverses</w:t>
            </w:r>
          </w:p>
        </w:tc>
        <w:tc>
          <w:tcPr>
            <w:tcW w:type="dxa" w:w="7257"/>
            <w:vAlign w:val="top"/>
            <w:shd w:fill="F1F5F7"/>
            <w:tcMar>
              <w:top w:w="65" w:type="dxa"/>
              <w:left w:w="95" w:type="dxa"/>
              <w:bottom w:w="65" w:type="dxa"/>
              <w:right w:w="95" w:type="dxa"/>
            </w:tcMar>
          </w:tcPr>
          <w:p>
            <w:pPr>
              <w:pStyle w:val="TableText"/>
            </w:pPr>
            <w:r>
              <w:rPr>
                <w:rFonts w:ascii="Arial" w:hAnsi="Arial"/>
                <w:b w:val="0"/>
              </w:rPr>
              <w:t>Responsable humaine des quais. Elle organise l’accueil avant de croire au héros. Son désaccord : le refuge ne doit pas devenir une armée à sa disposition. Recrutement garanti après l’évacuation du premier quartier.</w:t>
            </w:r>
          </w:p>
        </w:tc>
      </w:tr>
      <w:tr>
        <w:trPr>
          <w:cantSplit/>
        </w:trPr>
        <w:tc>
          <w:tcPr>
            <w:tcW w:type="dxa" w:w="2608"/>
            <w:vAlign w:val="top"/>
            <w:shd w:fill="FFFFFF"/>
            <w:tcMar>
              <w:top w:w="65" w:type="dxa"/>
              <w:left w:w="95" w:type="dxa"/>
              <w:bottom w:w="65" w:type="dxa"/>
              <w:right w:w="95" w:type="dxa"/>
            </w:tcMar>
          </w:tcPr>
          <w:p>
            <w:pPr>
              <w:pStyle w:val="TableText"/>
            </w:pPr>
            <w:r>
              <w:rPr>
                <w:rFonts w:ascii="Arial" w:hAnsi="Arial"/>
                <w:b/>
              </w:rPr>
              <w:t>Varek • 4★</w:t>
            </w:r>
            <w:r>
              <w:rPr>
                <w:rFonts w:ascii="Arial" w:hAnsi="Arial"/>
                <w:b w:val="0"/>
              </w:rPr>
              <w:br/>
              <w:t>Havre / Chantiers</w:t>
            </w:r>
          </w:p>
        </w:tc>
        <w:tc>
          <w:tcPr>
            <w:tcW w:type="dxa" w:w="7257"/>
            <w:vAlign w:val="top"/>
            <w:shd w:fill="FFFFFF"/>
            <w:tcMar>
              <w:top w:w="65" w:type="dxa"/>
              <w:left w:w="95" w:type="dxa"/>
              <w:bottom w:w="65" w:type="dxa"/>
              <w:right w:w="95" w:type="dxa"/>
            </w:tcMar>
          </w:tcPr>
          <w:p>
            <w:pPr>
              <w:pStyle w:val="TableText"/>
            </w:pPr>
            <w:r>
              <w:rPr>
                <w:rFonts w:ascii="Arial" w:hAnsi="Arial"/>
                <w:b w:val="0"/>
              </w:rPr>
              <w:t>Ancien Porteur artisan, privé d’une capacité très précise de liaison des matériaux. Il accepte le premier réaccord contrôlé. Il veut transmettre son métier à des mortels, pas restaurer une caste.</w:t>
            </w:r>
          </w:p>
        </w:tc>
      </w:tr>
      <w:tr>
        <w:trPr>
          <w:cantSplit/>
        </w:trPr>
        <w:tc>
          <w:tcPr>
            <w:tcW w:type="dxa" w:w="2608"/>
            <w:vAlign w:val="top"/>
            <w:shd w:fill="F1F5F7"/>
            <w:tcMar>
              <w:top w:w="65" w:type="dxa"/>
              <w:left w:w="95" w:type="dxa"/>
              <w:bottom w:w="65" w:type="dxa"/>
              <w:right w:w="95" w:type="dxa"/>
            </w:tcMar>
          </w:tcPr>
          <w:p>
            <w:pPr>
              <w:pStyle w:val="TableText"/>
            </w:pPr>
            <w:r>
              <w:rPr>
                <w:rFonts w:ascii="Arial" w:hAnsi="Arial"/>
                <w:b/>
              </w:rPr>
              <w:t>Orsane • 5★</w:t>
            </w:r>
            <w:r>
              <w:rPr>
                <w:rFonts w:ascii="Arial" w:hAnsi="Arial"/>
                <w:b w:val="0"/>
              </w:rPr>
              <w:br/>
              <w:t>Palais de Sel</w:t>
            </w:r>
          </w:p>
        </w:tc>
        <w:tc>
          <w:tcPr>
            <w:tcW w:type="dxa" w:w="7257"/>
            <w:vAlign w:val="top"/>
            <w:shd w:fill="F1F5F7"/>
            <w:tcMar>
              <w:top w:w="65" w:type="dxa"/>
              <w:left w:w="95" w:type="dxa"/>
              <w:bottom w:w="65" w:type="dxa"/>
              <w:right w:w="95" w:type="dxa"/>
            </w:tcMar>
          </w:tcPr>
          <w:p>
            <w:pPr>
              <w:pStyle w:val="TableText"/>
            </w:pPr>
            <w:r>
              <w:rPr>
                <w:rFonts w:ascii="Arial" w:hAnsi="Arial"/>
                <w:b w:val="0"/>
              </w:rPr>
              <w:t>Archiviste qui protégea autrefois une version incomplète de la guerre pour empêcher une reprise des massacres. Elle doit admettre que le mensonge continue de tuer. Rencontre puis pacte lors de l’arc des archives.</w:t>
            </w:r>
          </w:p>
        </w:tc>
      </w:tr>
      <w:tr>
        <w:trPr>
          <w:cantSplit/>
        </w:trPr>
        <w:tc>
          <w:tcPr>
            <w:tcW w:type="dxa" w:w="2608"/>
            <w:vAlign w:val="top"/>
            <w:shd w:fill="FFFFFF"/>
            <w:tcMar>
              <w:top w:w="65" w:type="dxa"/>
              <w:left w:w="95" w:type="dxa"/>
              <w:bottom w:w="65" w:type="dxa"/>
              <w:right w:w="95" w:type="dxa"/>
            </w:tcMar>
          </w:tcPr>
          <w:p>
            <w:pPr>
              <w:pStyle w:val="TableText"/>
            </w:pPr>
            <w:r>
              <w:rPr>
                <w:rFonts w:ascii="Arial" w:hAnsi="Arial"/>
                <w:b/>
              </w:rPr>
              <w:t>Deme • 4★</w:t>
            </w:r>
            <w:r>
              <w:rPr>
                <w:rFonts w:ascii="Arial" w:hAnsi="Arial"/>
                <w:b w:val="0"/>
              </w:rPr>
              <w:br/>
              <w:t>Chantiers de Cendre</w:t>
            </w:r>
          </w:p>
        </w:tc>
        <w:tc>
          <w:tcPr>
            <w:tcW w:type="dxa" w:w="7257"/>
            <w:vAlign w:val="top"/>
            <w:shd w:fill="FFFFFF"/>
            <w:tcMar>
              <w:top w:w="65" w:type="dxa"/>
              <w:left w:w="95" w:type="dxa"/>
              <w:bottom w:w="65" w:type="dxa"/>
              <w:right w:w="95" w:type="dxa"/>
            </w:tcMar>
          </w:tcPr>
          <w:p>
            <w:pPr>
              <w:pStyle w:val="TableText"/>
            </w:pPr>
            <w:r>
              <w:rPr>
                <w:rFonts w:ascii="Arial" w:hAnsi="Arial"/>
                <w:b w:val="0"/>
              </w:rPr>
              <w:t>Ingénieure humaine. Elle admire les découvertes de H₀ et révèle pourtant leurs effets désastreux sur les ouvriers. Son équipement participe au réseau d’accord sans transformer son origine en pouvoir divin.</w:t>
            </w:r>
          </w:p>
        </w:tc>
      </w:tr>
      <w:tr>
        <w:trPr>
          <w:cantSplit/>
        </w:trPr>
        <w:tc>
          <w:tcPr>
            <w:tcW w:type="dxa" w:w="2608"/>
            <w:vAlign w:val="top"/>
            <w:shd w:fill="F1F5F7"/>
            <w:tcMar>
              <w:top w:w="65" w:type="dxa"/>
              <w:left w:w="95" w:type="dxa"/>
              <w:bottom w:w="65" w:type="dxa"/>
              <w:right w:w="95" w:type="dxa"/>
            </w:tcMar>
          </w:tcPr>
          <w:p>
            <w:pPr>
              <w:pStyle w:val="TableText"/>
            </w:pPr>
            <w:r>
              <w:rPr>
                <w:rFonts w:ascii="Arial" w:hAnsi="Arial"/>
                <w:b/>
              </w:rPr>
              <w:t>Nohé • 5★</w:t>
            </w:r>
            <w:r>
              <w:rPr>
                <w:rFonts w:ascii="Arial" w:hAnsi="Arial"/>
                <w:b w:val="0"/>
              </w:rPr>
              <w:br/>
              <w:t>Chantiers de Cendre</w:t>
            </w:r>
          </w:p>
        </w:tc>
        <w:tc>
          <w:tcPr>
            <w:tcW w:type="dxa" w:w="7257"/>
            <w:vAlign w:val="top"/>
            <w:shd w:fill="F1F5F7"/>
            <w:tcMar>
              <w:top w:w="65" w:type="dxa"/>
              <w:left w:w="95" w:type="dxa"/>
              <w:bottom w:w="65" w:type="dxa"/>
              <w:right w:w="95" w:type="dxa"/>
            </w:tcMar>
          </w:tcPr>
          <w:p>
            <w:pPr>
              <w:pStyle w:val="TableText"/>
            </w:pPr>
            <w:r>
              <w:rPr>
                <w:rFonts w:ascii="Arial" w:hAnsi="Arial"/>
                <w:b w:val="0"/>
              </w:rPr>
              <w:t>Ancien régulateur des infrastructures. Il a accepté le Bâillon pour sauver sa ville et en porte la honte. Le héros ne gagne son aide qu’en protégeant les habitants d’une coupure générale.</w:t>
            </w:r>
          </w:p>
        </w:tc>
      </w:tr>
      <w:tr>
        <w:trPr>
          <w:cantSplit/>
        </w:trPr>
        <w:tc>
          <w:tcPr>
            <w:tcW w:type="dxa" w:w="2608"/>
            <w:vAlign w:val="top"/>
            <w:shd w:fill="FFFFFF"/>
            <w:tcMar>
              <w:top w:w="65" w:type="dxa"/>
              <w:left w:w="95" w:type="dxa"/>
              <w:bottom w:w="65" w:type="dxa"/>
              <w:right w:w="95" w:type="dxa"/>
            </w:tcMar>
          </w:tcPr>
          <w:p>
            <w:pPr>
              <w:pStyle w:val="TableText"/>
            </w:pPr>
            <w:r>
              <w:rPr>
                <w:rFonts w:ascii="Arial" w:hAnsi="Arial"/>
                <w:b/>
              </w:rPr>
              <w:t>Miren • 4★</w:t>
            </w:r>
            <w:r>
              <w:rPr>
                <w:rFonts w:ascii="Arial" w:hAnsi="Arial"/>
                <w:b w:val="0"/>
              </w:rPr>
              <w:br/>
              <w:t>Jardins du Seuil</w:t>
            </w:r>
          </w:p>
        </w:tc>
        <w:tc>
          <w:tcPr>
            <w:tcW w:type="dxa" w:w="7257"/>
            <w:vAlign w:val="top"/>
            <w:shd w:fill="FFFFFF"/>
            <w:tcMar>
              <w:top w:w="65" w:type="dxa"/>
              <w:left w:w="95" w:type="dxa"/>
              <w:bottom w:w="65" w:type="dxa"/>
              <w:right w:w="95" w:type="dxa"/>
            </w:tcMar>
          </w:tcPr>
          <w:p>
            <w:pPr>
              <w:pStyle w:val="TableText"/>
            </w:pPr>
            <w:r>
              <w:rPr>
                <w:rFonts w:ascii="Arial" w:hAnsi="Arial"/>
                <w:b w:val="0"/>
              </w:rPr>
              <w:t>Soignant humain qui accompagne les mourants ordinaires. Il conteste l’obsession des immortels pour leur propre survie. Son rôle permet de distinguer restaurer un noyau et nier la mort de tout être.</w:t>
            </w:r>
          </w:p>
        </w:tc>
      </w:tr>
      <w:tr>
        <w:trPr>
          <w:cantSplit/>
        </w:trPr>
        <w:tc>
          <w:tcPr>
            <w:tcW w:type="dxa" w:w="2608"/>
            <w:vAlign w:val="top"/>
            <w:shd w:fill="F1F5F7"/>
            <w:tcMar>
              <w:top w:w="65" w:type="dxa"/>
              <w:left w:w="95" w:type="dxa"/>
              <w:bottom w:w="65" w:type="dxa"/>
              <w:right w:w="95" w:type="dxa"/>
            </w:tcMar>
          </w:tcPr>
          <w:p>
            <w:pPr>
              <w:pStyle w:val="TableText"/>
            </w:pPr>
            <w:r>
              <w:rPr>
                <w:rFonts w:ascii="Arial" w:hAnsi="Arial"/>
                <w:b/>
              </w:rPr>
              <w:t>Éloa • 5★</w:t>
            </w:r>
            <w:r>
              <w:rPr>
                <w:rFonts w:ascii="Arial" w:hAnsi="Arial"/>
                <w:b w:val="0"/>
              </w:rPr>
              <w:br/>
              <w:t>Jardins du Seuil</w:t>
            </w:r>
          </w:p>
        </w:tc>
        <w:tc>
          <w:tcPr>
            <w:tcW w:type="dxa" w:w="7257"/>
            <w:vAlign w:val="top"/>
            <w:shd w:fill="F1F5F7"/>
            <w:tcMar>
              <w:top w:w="65" w:type="dxa"/>
              <w:left w:w="95" w:type="dxa"/>
              <w:bottom w:w="65" w:type="dxa"/>
              <w:right w:w="95" w:type="dxa"/>
            </w:tcMar>
          </w:tcPr>
          <w:p>
            <w:pPr>
              <w:pStyle w:val="TableText"/>
            </w:pPr>
            <w:r>
              <w:rPr>
                <w:rFonts w:ascii="Arial" w:hAnsi="Arial"/>
                <w:b w:val="0"/>
              </w:rPr>
              <w:t>Porteuse capable de stabiliser des transitions biologiques, pas de créer une personne disparue. Elle identifie l’espoir concret pour C₁ et refuse une réparation alimentée par le sacrifice d’autrui.</w:t>
            </w:r>
          </w:p>
        </w:tc>
      </w:tr>
      <w:tr>
        <w:trPr>
          <w:cantSplit/>
        </w:trPr>
        <w:tc>
          <w:tcPr>
            <w:tcW w:type="dxa" w:w="2608"/>
            <w:vAlign w:val="top"/>
            <w:shd w:fill="FFFFFF"/>
            <w:tcMar>
              <w:top w:w="65" w:type="dxa"/>
              <w:left w:w="95" w:type="dxa"/>
              <w:bottom w:w="65" w:type="dxa"/>
              <w:right w:w="95" w:type="dxa"/>
            </w:tcMar>
          </w:tcPr>
          <w:p>
            <w:pPr>
              <w:pStyle w:val="TableText"/>
            </w:pPr>
            <w:r>
              <w:rPr>
                <w:rFonts w:ascii="Arial" w:hAnsi="Arial"/>
                <w:b/>
              </w:rPr>
              <w:t>Léandre • 4★</w:t>
            </w:r>
            <w:r>
              <w:rPr>
                <w:rFonts w:ascii="Arial" w:hAnsi="Arial"/>
                <w:b w:val="0"/>
              </w:rPr>
              <w:br/>
              <w:t>Villes du Contrejour</w:t>
            </w:r>
          </w:p>
        </w:tc>
        <w:tc>
          <w:tcPr>
            <w:tcW w:type="dxa" w:w="7257"/>
            <w:vAlign w:val="top"/>
            <w:shd w:fill="FFFFFF"/>
            <w:tcMar>
              <w:top w:w="65" w:type="dxa"/>
              <w:left w:w="95" w:type="dxa"/>
              <w:bottom w:w="65" w:type="dxa"/>
              <w:right w:w="95" w:type="dxa"/>
            </w:tcMar>
          </w:tcPr>
          <w:p>
            <w:pPr>
              <w:pStyle w:val="TableText"/>
            </w:pPr>
            <w:r>
              <w:rPr>
                <w:rFonts w:ascii="Arial" w:hAnsi="Arial"/>
                <w:b w:val="0"/>
              </w:rPr>
              <w:t>Juriste et enquêteur humain. Il dissocie les preuves contre H₀ des actes de H₁. Ni accusateur caricatural ni avocat inconditionnel du héros.</w:t>
            </w:r>
          </w:p>
        </w:tc>
      </w:tr>
      <w:tr>
        <w:trPr>
          <w:cantSplit/>
        </w:trPr>
        <w:tc>
          <w:tcPr>
            <w:tcW w:type="dxa" w:w="2608"/>
            <w:vAlign w:val="top"/>
            <w:shd w:fill="F1F5F7"/>
            <w:tcMar>
              <w:top w:w="65" w:type="dxa"/>
              <w:left w:w="95" w:type="dxa"/>
              <w:bottom w:w="65" w:type="dxa"/>
              <w:right w:w="95" w:type="dxa"/>
            </w:tcMar>
          </w:tcPr>
          <w:p>
            <w:pPr>
              <w:pStyle w:val="TableText"/>
            </w:pPr>
            <w:r>
              <w:rPr>
                <w:rFonts w:ascii="Arial" w:hAnsi="Arial"/>
                <w:b/>
              </w:rPr>
              <w:t>Saren • 5★</w:t>
            </w:r>
            <w:r>
              <w:rPr>
                <w:rFonts w:ascii="Arial" w:hAnsi="Arial"/>
                <w:b w:val="0"/>
              </w:rPr>
              <w:br/>
              <w:t>Concordat</w:t>
            </w:r>
          </w:p>
        </w:tc>
        <w:tc>
          <w:tcPr>
            <w:tcW w:type="dxa" w:w="7257"/>
            <w:vAlign w:val="top"/>
            <w:shd w:fill="F1F5F7"/>
            <w:tcMar>
              <w:top w:w="65" w:type="dxa"/>
              <w:left w:w="95" w:type="dxa"/>
              <w:bottom w:w="65" w:type="dxa"/>
              <w:right w:w="95" w:type="dxa"/>
            </w:tcMar>
          </w:tcPr>
          <w:p>
            <w:pPr>
              <w:pStyle w:val="TableText"/>
            </w:pPr>
            <w:r>
              <w:rPr>
                <w:rFonts w:ascii="Arial" w:hAnsi="Arial"/>
                <w:b w:val="0"/>
              </w:rPr>
              <w:t>Commandant rencontré comme adversaire. Les preuves du rationnement meurtrier le poussent à rompre, après avoir réparé une partie de ses actes. Il n’entre dans les tirages qu’après coopération explicite.</w:t>
            </w:r>
          </w:p>
        </w:tc>
      </w:tr>
      <w:tr>
        <w:trPr>
          <w:cantSplit/>
        </w:trPr>
        <w:tc>
          <w:tcPr>
            <w:tcW w:type="dxa" w:w="2608"/>
            <w:vAlign w:val="top"/>
            <w:shd w:fill="FFFFFF"/>
            <w:tcMar>
              <w:top w:w="65" w:type="dxa"/>
              <w:left w:w="95" w:type="dxa"/>
              <w:bottom w:w="65" w:type="dxa"/>
              <w:right w:w="95" w:type="dxa"/>
            </w:tcMar>
          </w:tcPr>
          <w:p>
            <w:pPr>
              <w:pStyle w:val="TableText"/>
            </w:pPr>
            <w:r>
              <w:rPr>
                <w:rFonts w:ascii="Arial" w:hAnsi="Arial"/>
                <w:b/>
              </w:rPr>
              <w:t>Thyr • 5★</w:t>
            </w:r>
            <w:r>
              <w:rPr>
                <w:rFonts w:ascii="Arial" w:hAnsi="Arial"/>
                <w:b w:val="0"/>
              </w:rPr>
              <w:br/>
              <w:t>Couronne des Marées</w:t>
            </w:r>
          </w:p>
        </w:tc>
        <w:tc>
          <w:tcPr>
            <w:tcW w:type="dxa" w:w="7257"/>
            <w:vAlign w:val="top"/>
            <w:shd w:fill="FFFFFF"/>
            <w:tcMar>
              <w:top w:w="65" w:type="dxa"/>
              <w:left w:w="95" w:type="dxa"/>
              <w:bottom w:w="65" w:type="dxa"/>
              <w:right w:w="95" w:type="dxa"/>
            </w:tcMar>
          </w:tcPr>
          <w:p>
            <w:pPr>
              <w:pStyle w:val="TableText"/>
            </w:pPr>
            <w:r>
              <w:rPr>
                <w:rFonts w:ascii="Arial" w:hAnsi="Arial"/>
                <w:b w:val="0"/>
              </w:rPr>
              <w:t>Navigateur des routes instables. Il prédit des tendances, pas un destin certain. Il aide H à choisir un plan risqué mais libre plutôt qu’un avenir garanti par la coercition.</w:t>
            </w:r>
          </w:p>
        </w:tc>
      </w:tr>
    </w:tbl>
    <w:p>
      <w:pPr>
        <w:spacing w:after="0"/>
      </w:pPr>
    </w:p>
    <w:p>
      <w:r>
        <w:rPr>
          <w:rFonts w:ascii="Arial" w:hAnsi="Arial"/>
          <w:b w:val="0"/>
        </w:rPr>
        <w:t>Les rangs désignent une complexité de stabilisation et de jeu, pas une valeur humaine. Les personnages quatre étoiles doivent disposer de compétences décisives et d’arcs personnels complets. Ce noyau de distribution n’est pas la liste exhaustive du futur gacha.</w:t>
      </w:r>
    </w:p>
    <w:p>
      <w:r>
        <w:br w:type="page"/>
      </w:r>
    </w:p>
    <w:p>
      <w:pPr>
        <w:spacing w:after="60"/>
      </w:pPr>
      <w:r>
        <w:rPr>
          <w:rFonts w:ascii="Arial" w:hAnsi="Arial"/>
          <w:b/>
          <w:color w:val="677784"/>
          <w:sz w:val="16"/>
        </w:rPr>
        <w:t>CARTE NARRATIVE SANS CARTE GÉOGRAPHIQUE IMPOSÉE</w:t>
      </w:r>
    </w:p>
    <w:p>
      <w:bookmarkStart w:id="16" w:name="section_16"/>
      <w:pPr>
        <w:pStyle w:val="Heading1"/>
      </w:pPr>
      <w:r>
        <w:t>15 — Les régions et leurs enjeux</w:t>
      </w:r>
      <w:bookmarkEnd w:id="16"/>
    </w:p>
    <w:tbl>
      <w:tblPr>
        <w:tblW w:type="auto" w:w="0"/>
        <w:jc w:val="center"/>
        <w:tblLayout w:type="fixed"/>
        <w:tblLook w:firstColumn="1" w:firstRow="1" w:lastColumn="0" w:lastRow="0" w:noHBand="0" w:noVBand="1" w:val="04A0"/>
      </w:tblPr>
      <w:tblGrid>
        <w:gridCol w:w="1928"/>
        <w:gridCol w:w="4082"/>
        <w:gridCol w:w="3855"/>
      </w:tblGrid>
      <w:tr>
        <w:trPr>
          <w:tblHeader/>
        </w:trPr>
        <w:tc>
          <w:tcPr>
            <w:tcW w:type="dxa" w:w="1928"/>
            <w:vAlign w:val="center"/>
            <w:shd w:fill="253A52"/>
            <w:tcMar>
              <w:top w:w="65" w:type="dxa"/>
              <w:left w:w="95" w:type="dxa"/>
              <w:bottom w:w="65" w:type="dxa"/>
              <w:right w:w="95" w:type="dxa"/>
            </w:tcMar>
          </w:tcPr>
          <w:p>
            <w:pPr>
              <w:pStyle w:val="TableText"/>
            </w:pPr>
            <w:r>
              <w:rPr>
                <w:rFonts w:ascii="Arial" w:hAnsi="Arial"/>
                <w:b/>
                <w:color w:val="FFFFFF"/>
              </w:rPr>
              <w:t>Région</w:t>
            </w:r>
          </w:p>
        </w:tc>
        <w:tc>
          <w:tcPr>
            <w:tcW w:type="dxa" w:w="4082"/>
            <w:vAlign w:val="center"/>
            <w:shd w:fill="253A52"/>
            <w:tcMar>
              <w:top w:w="65" w:type="dxa"/>
              <w:left w:w="95" w:type="dxa"/>
              <w:bottom w:w="65" w:type="dxa"/>
              <w:right w:w="95" w:type="dxa"/>
            </w:tcMar>
          </w:tcPr>
          <w:p>
            <w:pPr>
              <w:pStyle w:val="TableText"/>
            </w:pPr>
            <w:r>
              <w:rPr>
                <w:rFonts w:ascii="Arial" w:hAnsi="Arial"/>
                <w:b/>
                <w:color w:val="FFFFFF"/>
              </w:rPr>
              <w:t>Vie propre et conflit</w:t>
            </w:r>
          </w:p>
        </w:tc>
        <w:tc>
          <w:tcPr>
            <w:tcW w:type="dxa" w:w="3855"/>
            <w:vAlign w:val="center"/>
            <w:shd w:fill="253A52"/>
            <w:tcMar>
              <w:top w:w="65" w:type="dxa"/>
              <w:left w:w="95" w:type="dxa"/>
              <w:bottom w:w="65" w:type="dxa"/>
              <w:right w:w="95" w:type="dxa"/>
            </w:tcMar>
          </w:tcPr>
          <w:p>
            <w:pPr>
              <w:pStyle w:val="TableText"/>
            </w:pPr>
            <w:r>
              <w:rPr>
                <w:rFonts w:ascii="Arial" w:hAnsi="Arial"/>
                <w:b/>
                <w:color w:val="FFFFFF"/>
              </w:rPr>
              <w:t>Concepts et contribution</w:t>
            </w:r>
          </w:p>
        </w:tc>
      </w:tr>
      <w:tr>
        <w:trPr>
          <w:cantSplit/>
        </w:trPr>
        <w:tc>
          <w:tcPr>
            <w:tcW w:type="dxa" w:w="1928"/>
            <w:vAlign w:val="top"/>
            <w:shd w:fill="F1F5F7"/>
            <w:tcMar>
              <w:top w:w="65" w:type="dxa"/>
              <w:left w:w="95" w:type="dxa"/>
              <w:bottom w:w="65" w:type="dxa"/>
              <w:right w:w="95" w:type="dxa"/>
            </w:tcMar>
          </w:tcPr>
          <w:p>
            <w:pPr>
              <w:pStyle w:val="TableText"/>
            </w:pPr>
            <w:r>
              <w:rPr>
                <w:rFonts w:ascii="Arial" w:hAnsi="Arial"/>
                <w:b w:val="0"/>
              </w:rPr>
              <w:t>Havre des Traverses</w:t>
            </w:r>
          </w:p>
        </w:tc>
        <w:tc>
          <w:tcPr>
            <w:tcW w:type="dxa" w:w="4082"/>
            <w:vAlign w:val="top"/>
            <w:shd w:fill="F1F5F7"/>
            <w:tcMar>
              <w:top w:w="65" w:type="dxa"/>
              <w:left w:w="95" w:type="dxa"/>
              <w:bottom w:w="65" w:type="dxa"/>
              <w:right w:w="95" w:type="dxa"/>
            </w:tcMar>
          </w:tcPr>
          <w:p>
            <w:pPr>
              <w:pStyle w:val="TableText"/>
            </w:pPr>
            <w:r>
              <w:rPr>
                <w:rFonts w:ascii="Arial" w:hAnsi="Arial"/>
                <w:b w:val="0"/>
              </w:rPr>
              <w:t>Un port de réfugiés construit sur d’anciennes routes suspendues. Faut-il fermer les passages pour protéger les réserves, ou accepter une nouvelle vague d’arrivants ?</w:t>
            </w:r>
          </w:p>
        </w:tc>
        <w:tc>
          <w:tcPr>
            <w:tcW w:type="dxa" w:w="3855"/>
            <w:vAlign w:val="top"/>
            <w:shd w:fill="F1F5F7"/>
            <w:tcMar>
              <w:top w:w="65" w:type="dxa"/>
              <w:left w:w="95" w:type="dxa"/>
              <w:bottom w:w="65" w:type="dxa"/>
              <w:right w:w="95" w:type="dxa"/>
            </w:tcMar>
          </w:tcPr>
          <w:p>
            <w:pPr>
              <w:pStyle w:val="TableText"/>
            </w:pPr>
            <w:r>
              <w:rPr>
                <w:rFonts w:ascii="Arial" w:hAnsi="Arial"/>
                <w:b w:val="0"/>
              </w:rPr>
              <w:t>Appartenance, accueil, confiance. Réparer les liaisons et démontrer le premier réaccord.</w:t>
            </w:r>
          </w:p>
        </w:tc>
      </w:tr>
      <w:tr>
        <w:trPr>
          <w:cantSplit/>
        </w:trPr>
        <w:tc>
          <w:tcPr>
            <w:tcW w:type="dxa" w:w="1928"/>
            <w:vAlign w:val="top"/>
            <w:shd w:fill="FFFFFF"/>
            <w:tcMar>
              <w:top w:w="65" w:type="dxa"/>
              <w:left w:w="95" w:type="dxa"/>
              <w:bottom w:w="65" w:type="dxa"/>
              <w:right w:w="95" w:type="dxa"/>
            </w:tcMar>
          </w:tcPr>
          <w:p>
            <w:pPr>
              <w:pStyle w:val="TableText"/>
            </w:pPr>
            <w:r>
              <w:rPr>
                <w:rFonts w:ascii="Arial" w:hAnsi="Arial"/>
                <w:b w:val="0"/>
              </w:rPr>
              <w:t>Palais de Sel</w:t>
            </w:r>
          </w:p>
        </w:tc>
        <w:tc>
          <w:tcPr>
            <w:tcW w:type="dxa" w:w="4082"/>
            <w:vAlign w:val="top"/>
            <w:shd w:fill="FFFFFF"/>
            <w:tcMar>
              <w:top w:w="65" w:type="dxa"/>
              <w:left w:w="95" w:type="dxa"/>
              <w:bottom w:w="65" w:type="dxa"/>
              <w:right w:w="95" w:type="dxa"/>
            </w:tcMar>
          </w:tcPr>
          <w:p>
            <w:pPr>
              <w:pStyle w:val="TableText"/>
            </w:pPr>
            <w:r>
              <w:rPr>
                <w:rFonts w:ascii="Arial" w:hAnsi="Arial"/>
                <w:b w:val="0"/>
              </w:rPr>
              <w:t>Une région de lacs évaporés, d’archives minérales et de villes de mémoire. Une histoire officielle dissimule un massacre et alimente de fausses demandes de réparation.</w:t>
            </w:r>
          </w:p>
        </w:tc>
        <w:tc>
          <w:tcPr>
            <w:tcW w:type="dxa" w:w="3855"/>
            <w:vAlign w:val="top"/>
            <w:shd w:fill="FFFFFF"/>
            <w:tcMar>
              <w:top w:w="65" w:type="dxa"/>
              <w:left w:w="95" w:type="dxa"/>
              <w:bottom w:w="65" w:type="dxa"/>
              <w:right w:w="95" w:type="dxa"/>
            </w:tcMar>
          </w:tcPr>
          <w:p>
            <w:pPr>
              <w:pStyle w:val="TableText"/>
            </w:pPr>
            <w:r>
              <w:rPr>
                <w:rFonts w:ascii="Arial" w:hAnsi="Arial"/>
                <w:b w:val="0"/>
              </w:rPr>
              <w:t>Mémoire, vérité, responsabilité. Restaurer les outils de lecture et croiser les premiers témoignages sur H₀.</w:t>
            </w:r>
          </w:p>
        </w:tc>
      </w:tr>
      <w:tr>
        <w:trPr>
          <w:cantSplit/>
        </w:trPr>
        <w:tc>
          <w:tcPr>
            <w:tcW w:type="dxa" w:w="1928"/>
            <w:vAlign w:val="top"/>
            <w:shd w:fill="F1F5F7"/>
            <w:tcMar>
              <w:top w:w="65" w:type="dxa"/>
              <w:left w:w="95" w:type="dxa"/>
              <w:bottom w:w="65" w:type="dxa"/>
              <w:right w:w="95" w:type="dxa"/>
            </w:tcMar>
          </w:tcPr>
          <w:p>
            <w:pPr>
              <w:pStyle w:val="TableText"/>
            </w:pPr>
            <w:r>
              <w:rPr>
                <w:rFonts w:ascii="Arial" w:hAnsi="Arial"/>
                <w:b w:val="0"/>
              </w:rPr>
              <w:t>Chantiers de Cendre</w:t>
            </w:r>
          </w:p>
        </w:tc>
        <w:tc>
          <w:tcPr>
            <w:tcW w:type="dxa" w:w="4082"/>
            <w:vAlign w:val="top"/>
            <w:shd w:fill="F1F5F7"/>
            <w:tcMar>
              <w:top w:w="65" w:type="dxa"/>
              <w:left w:w="95" w:type="dxa"/>
              <w:bottom w:w="65" w:type="dxa"/>
              <w:right w:w="95" w:type="dxa"/>
            </w:tcMar>
          </w:tcPr>
          <w:p>
            <w:pPr>
              <w:pStyle w:val="TableText"/>
            </w:pPr>
            <w:r>
              <w:rPr>
                <w:rFonts w:ascii="Arial" w:hAnsi="Arial"/>
                <w:b w:val="0"/>
              </w:rPr>
              <w:t>Des villes verticales accrochées à leurs machines de survie. Le retrait de l’empire menacerait aussi l’eau, la chaleur et le travail.</w:t>
            </w:r>
          </w:p>
        </w:tc>
        <w:tc>
          <w:tcPr>
            <w:tcW w:type="dxa" w:w="3855"/>
            <w:vAlign w:val="top"/>
            <w:shd w:fill="F1F5F7"/>
            <w:tcMar>
              <w:top w:w="65" w:type="dxa"/>
              <w:left w:w="95" w:type="dxa"/>
              <w:bottom w:w="65" w:type="dxa"/>
              <w:right w:w="95" w:type="dxa"/>
            </w:tcMar>
          </w:tcPr>
          <w:p>
            <w:pPr>
              <w:pStyle w:val="TableText"/>
            </w:pPr>
            <w:r>
              <w:rPr>
                <w:rFonts w:ascii="Arial" w:hAnsi="Arial"/>
                <w:b w:val="0"/>
              </w:rPr>
              <w:t>Volonté, dette, autonomie. Concevoir une libération qui ne condamne pas les civils.</w:t>
            </w:r>
          </w:p>
        </w:tc>
      </w:tr>
      <w:tr>
        <w:trPr>
          <w:cantSplit/>
        </w:trPr>
        <w:tc>
          <w:tcPr>
            <w:tcW w:type="dxa" w:w="1928"/>
            <w:vAlign w:val="top"/>
            <w:shd w:fill="FFFFFF"/>
            <w:tcMar>
              <w:top w:w="65" w:type="dxa"/>
              <w:left w:w="95" w:type="dxa"/>
              <w:bottom w:w="65" w:type="dxa"/>
              <w:right w:w="95" w:type="dxa"/>
            </w:tcMar>
          </w:tcPr>
          <w:p>
            <w:pPr>
              <w:pStyle w:val="TableText"/>
            </w:pPr>
            <w:r>
              <w:rPr>
                <w:rFonts w:ascii="Arial" w:hAnsi="Arial"/>
                <w:b w:val="0"/>
              </w:rPr>
              <w:t>Jardins du Seuil</w:t>
            </w:r>
          </w:p>
        </w:tc>
        <w:tc>
          <w:tcPr>
            <w:tcW w:type="dxa" w:w="4082"/>
            <w:vAlign w:val="top"/>
            <w:shd w:fill="FFFFFF"/>
            <w:tcMar>
              <w:top w:w="65" w:type="dxa"/>
              <w:left w:w="95" w:type="dxa"/>
              <w:bottom w:w="65" w:type="dxa"/>
              <w:right w:w="95" w:type="dxa"/>
            </w:tcMar>
          </w:tcPr>
          <w:p>
            <w:pPr>
              <w:pStyle w:val="TableText"/>
            </w:pPr>
            <w:r>
              <w:rPr>
                <w:rFonts w:ascii="Arial" w:hAnsi="Arial"/>
                <w:b w:val="0"/>
              </w:rPr>
              <w:t>Des paysages cultivés autour de mémoriaux vivants et de lieux de soins. Les immortels possèdent des ressources que les communautés mortelles réclament.</w:t>
            </w:r>
          </w:p>
        </w:tc>
        <w:tc>
          <w:tcPr>
            <w:tcW w:type="dxa" w:w="3855"/>
            <w:vAlign w:val="top"/>
            <w:shd w:fill="FFFFFF"/>
            <w:tcMar>
              <w:top w:w="65" w:type="dxa"/>
              <w:left w:w="95" w:type="dxa"/>
              <w:bottom w:w="65" w:type="dxa"/>
              <w:right w:w="95" w:type="dxa"/>
            </w:tcMar>
          </w:tcPr>
          <w:p>
            <w:pPr>
              <w:pStyle w:val="TableText"/>
            </w:pPr>
            <w:r>
              <w:rPr>
                <w:rFonts w:ascii="Arial" w:hAnsi="Arial"/>
                <w:b w:val="0"/>
              </w:rPr>
              <w:t>Deuil, limite, soin. Comprendre ce qui peut réellement être sauvé et ce qui ne peut pas revenir.</w:t>
            </w:r>
          </w:p>
        </w:tc>
      </w:tr>
      <w:tr>
        <w:trPr>
          <w:cantSplit/>
        </w:trPr>
        <w:tc>
          <w:tcPr>
            <w:tcW w:type="dxa" w:w="1928"/>
            <w:vAlign w:val="top"/>
            <w:shd w:fill="F1F5F7"/>
            <w:tcMar>
              <w:top w:w="65" w:type="dxa"/>
              <w:left w:w="95" w:type="dxa"/>
              <w:bottom w:w="65" w:type="dxa"/>
              <w:right w:w="95" w:type="dxa"/>
            </w:tcMar>
          </w:tcPr>
          <w:p>
            <w:pPr>
              <w:pStyle w:val="TableText"/>
            </w:pPr>
            <w:r>
              <w:rPr>
                <w:rFonts w:ascii="Arial" w:hAnsi="Arial"/>
                <w:b w:val="0"/>
              </w:rPr>
              <w:t>Villes du Contrejour</w:t>
            </w:r>
          </w:p>
        </w:tc>
        <w:tc>
          <w:tcPr>
            <w:tcW w:type="dxa" w:w="4082"/>
            <w:vAlign w:val="top"/>
            <w:shd w:fill="F1F5F7"/>
            <w:tcMar>
              <w:top w:w="65" w:type="dxa"/>
              <w:left w:w="95" w:type="dxa"/>
              <w:bottom w:w="65" w:type="dxa"/>
              <w:right w:w="95" w:type="dxa"/>
            </w:tcMar>
          </w:tcPr>
          <w:p>
            <w:pPr>
              <w:pStyle w:val="TableText"/>
            </w:pPr>
            <w:r>
              <w:rPr>
                <w:rFonts w:ascii="Arial" w:hAnsi="Arial"/>
                <w:b w:val="0"/>
              </w:rPr>
              <w:t>Des quartiers à identités administratives mouvantes, tribunaux et ateliers de masques civils. Les protections contre la persécution peuvent aussi cacher des responsables.</w:t>
            </w:r>
          </w:p>
        </w:tc>
        <w:tc>
          <w:tcPr>
            <w:tcW w:type="dxa" w:w="3855"/>
            <w:vAlign w:val="top"/>
            <w:shd w:fill="F1F5F7"/>
            <w:tcMar>
              <w:top w:w="65" w:type="dxa"/>
              <w:left w:w="95" w:type="dxa"/>
              <w:bottom w:w="65" w:type="dxa"/>
              <w:right w:w="95" w:type="dxa"/>
            </w:tcMar>
          </w:tcPr>
          <w:p>
            <w:pPr>
              <w:pStyle w:val="TableText"/>
            </w:pPr>
            <w:r>
              <w:rPr>
                <w:rFonts w:ascii="Arial" w:hAnsi="Arial"/>
                <w:b w:val="0"/>
              </w:rPr>
              <w:t>Identité, consentement, justice. Éclaircir l’origine de H et le choix personnel de C.</w:t>
            </w:r>
          </w:p>
        </w:tc>
      </w:tr>
      <w:tr>
        <w:trPr>
          <w:cantSplit/>
        </w:trPr>
        <w:tc>
          <w:tcPr>
            <w:tcW w:type="dxa" w:w="1928"/>
            <w:vAlign w:val="top"/>
            <w:shd w:fill="FFFFFF"/>
            <w:tcMar>
              <w:top w:w="65" w:type="dxa"/>
              <w:left w:w="95" w:type="dxa"/>
              <w:bottom w:w="65" w:type="dxa"/>
              <w:right w:w="95" w:type="dxa"/>
            </w:tcMar>
          </w:tcPr>
          <w:p>
            <w:pPr>
              <w:pStyle w:val="TableText"/>
            </w:pPr>
            <w:r>
              <w:rPr>
                <w:rFonts w:ascii="Arial" w:hAnsi="Arial"/>
                <w:b w:val="0"/>
              </w:rPr>
              <w:t>Couronne des Marées</w:t>
            </w:r>
          </w:p>
        </w:tc>
        <w:tc>
          <w:tcPr>
            <w:tcW w:type="dxa" w:w="4082"/>
            <w:vAlign w:val="top"/>
            <w:shd w:fill="FFFFFF"/>
            <w:tcMar>
              <w:top w:w="65" w:type="dxa"/>
              <w:left w:w="95" w:type="dxa"/>
              <w:bottom w:w="65" w:type="dxa"/>
              <w:right w:w="95" w:type="dxa"/>
            </w:tcMar>
          </w:tcPr>
          <w:p>
            <w:pPr>
              <w:pStyle w:val="TableText"/>
            </w:pPr>
            <w:r>
              <w:rPr>
                <w:rFonts w:ascii="Arial" w:hAnsi="Arial"/>
                <w:b w:val="0"/>
              </w:rPr>
              <w:t>Un archipel de plateaux dont les passages s’ouvrent selon des cycles instables. Une machine impériale propose des routes parfaitement sûres en supprimant toute circulation imprévue.</w:t>
            </w:r>
          </w:p>
        </w:tc>
        <w:tc>
          <w:tcPr>
            <w:tcW w:type="dxa" w:w="3855"/>
            <w:vAlign w:val="top"/>
            <w:shd w:fill="FFFFFF"/>
            <w:tcMar>
              <w:top w:w="65" w:type="dxa"/>
              <w:left w:w="95" w:type="dxa"/>
              <w:bottom w:w="65" w:type="dxa"/>
              <w:right w:w="95" w:type="dxa"/>
            </w:tcMar>
          </w:tcPr>
          <w:p>
            <w:pPr>
              <w:pStyle w:val="TableText"/>
            </w:pPr>
            <w:r>
              <w:rPr>
                <w:rFonts w:ascii="Arial" w:hAnsi="Arial"/>
                <w:b w:val="0"/>
              </w:rPr>
              <w:t>Devenir, risque, liberté. Construire une coordination partagée et retrouver le dernier dossier de Z.</w:t>
            </w:r>
          </w:p>
        </w:tc>
      </w:tr>
      <w:tr>
        <w:trPr>
          <w:cantSplit/>
        </w:trPr>
        <w:tc>
          <w:tcPr>
            <w:tcW w:type="dxa" w:w="1928"/>
            <w:vAlign w:val="top"/>
            <w:shd w:fill="F1F5F7"/>
            <w:tcMar>
              <w:top w:w="65" w:type="dxa"/>
              <w:left w:w="95" w:type="dxa"/>
              <w:bottom w:w="65" w:type="dxa"/>
              <w:right w:w="95" w:type="dxa"/>
            </w:tcMar>
          </w:tcPr>
          <w:p>
            <w:pPr>
              <w:pStyle w:val="TableText"/>
            </w:pPr>
            <w:r>
              <w:rPr>
                <w:rFonts w:ascii="Arial" w:hAnsi="Arial"/>
                <w:b w:val="0"/>
              </w:rPr>
              <w:t>Le Méridien</w:t>
            </w:r>
          </w:p>
        </w:tc>
        <w:tc>
          <w:tcPr>
            <w:tcW w:type="dxa" w:w="4082"/>
            <w:vAlign w:val="top"/>
            <w:shd w:fill="F1F5F7"/>
            <w:tcMar>
              <w:top w:w="65" w:type="dxa"/>
              <w:left w:w="95" w:type="dxa"/>
              <w:bottom w:w="65" w:type="dxa"/>
              <w:right w:w="95" w:type="dxa"/>
            </w:tcMar>
          </w:tcPr>
          <w:p>
            <w:pPr>
              <w:pStyle w:val="TableText"/>
            </w:pPr>
            <w:r>
              <w:rPr>
                <w:rFonts w:ascii="Arial" w:hAnsi="Arial"/>
                <w:b w:val="0"/>
              </w:rPr>
              <w:t>Ancien carrefour des fonctions de fondation, transformé en capitale et prison du pouvoir impérial.</w:t>
            </w:r>
          </w:p>
        </w:tc>
        <w:tc>
          <w:tcPr>
            <w:tcW w:type="dxa" w:w="3855"/>
            <w:vAlign w:val="top"/>
            <w:shd w:fill="F1F5F7"/>
            <w:tcMar>
              <w:top w:w="65" w:type="dxa"/>
              <w:left w:w="95" w:type="dxa"/>
              <w:bottom w:w="65" w:type="dxa"/>
              <w:right w:w="95" w:type="dxa"/>
            </w:tcMar>
          </w:tcPr>
          <w:p>
            <w:pPr>
              <w:pStyle w:val="TableText"/>
            </w:pPr>
            <w:r>
              <w:rPr>
                <w:rFonts w:ascii="Arial" w:hAnsi="Arial"/>
                <w:b w:val="0"/>
              </w:rPr>
              <w:t>Résolution : reprendre les infrastructures avant d’affronter le Régent. Ce n’est pas une septième nation à collecter.</w:t>
            </w:r>
          </w:p>
        </w:tc>
      </w:tr>
    </w:tbl>
    <w:p>
      <w:pPr>
        <w:spacing w:after="0"/>
      </w:pPr>
    </w:p>
    <w:p>
      <w:r>
        <w:rPr>
          <w:rFonts w:ascii="Arial" w:hAnsi="Arial"/>
          <w:b w:val="0"/>
        </w:rPr>
        <w:t>Les concepts ne sont pas des dieux littéraux qu’il suffit de vaincre. Chaque société les exprime de plusieurs façons. On peut rencontrer de l’amour dans les Chantiers, de la peur au Havre et des débats sur le destin dans toutes les régions.</w:t>
      </w:r>
    </w:p>
    <w:p>
      <w:r>
        <w:rPr>
          <w:rFonts w:ascii="Arial" w:hAnsi="Arial"/>
          <w:b w:val="0"/>
        </w:rPr>
        <w:t>Le rythme alterne exploration, enquête, coopération, conflit social, soins et affrontements. L’obtention d’une capacité de Nacre doit résulter d’un événement concret, pas du simple fait d’avoir terminé la zone.</w:t>
      </w:r>
    </w:p>
    <w:p>
      <w:r>
        <w:br w:type="page"/>
      </w:r>
    </w:p>
    <w:p>
      <w:pPr>
        <w:spacing w:after="60"/>
      </w:pPr>
      <w:r>
        <w:rPr>
          <w:rFonts w:ascii="Arial" w:hAnsi="Arial"/>
          <w:b/>
          <w:color w:val="677784"/>
          <w:sz w:val="16"/>
        </w:rPr>
        <w:t>DÉVELOPPEMENT DES DEUX PREMIERS ARCS</w:t>
      </w:r>
    </w:p>
    <w:p>
      <w:bookmarkStart w:id="17" w:name="section_17"/>
      <w:pPr>
        <w:pStyle w:val="Heading1"/>
      </w:pPr>
      <w:r>
        <w:t>16 — Régions : accueil et mémoire</w:t>
      </w:r>
      <w:bookmarkEnd w:id="17"/>
    </w:p>
    <w:p>
      <w:pPr>
        <w:pStyle w:val="Heading2"/>
      </w:pPr>
      <w:r>
        <w:t>Havre des Traverses : sauver sans réclamer une dette</w:t>
      </w:r>
    </w:p>
    <w:p>
      <w:r>
        <w:rPr>
          <w:rFonts w:ascii="Arial" w:hAnsi="Arial"/>
          <w:b w:val="0"/>
        </w:rPr>
        <w:t>Le héros arrive dans un quartier menacé par la fermeture d’un passage. Yselle reconnaît le visage de H₀, mais refuse de sacrifier son port à une affaire qu’elle ne comprend pas. Une communauté locale accuse les nouveaux réfugiés de prendre ses réserves ; des agents impériaux entretiennent cette peur pour faire accepter un contrôle militaire.</w:t>
      </w:r>
    </w:p>
    <w:p>
      <w:r>
        <w:rPr>
          <w:rFonts w:ascii="Arial" w:hAnsi="Arial"/>
          <w:b w:val="0"/>
        </w:rPr>
        <w:t>Le premier objectif est une évacuation concrète. H répare une liaison avec Varek, puis découvre qu’un réaccord forcé peut blesser son bénéficiaire. Il recommence en suivant les sensations de l’artisan plutôt qu’en traitant son corps comme une machine. Cette première réussite introduit le combat en groupe et le recrutement garanti.</w:t>
      </w:r>
    </w:p>
    <w:p>
      <w:r>
        <w:rPr>
          <w:rFonts w:ascii="Arial" w:hAnsi="Arial"/>
          <w:b w:val="0"/>
        </w:rPr>
        <w:t>L’arc se conclut par une organisation des passages et des ressources décidée avec les habitants. Le port n’est pas « guéri pour toujours » ; il possède une manière plus juste de traverser sa crise. Nacre retrouve ses repères chronologiques grâce à un relais entretenu ici par H₀. Le décalage de quatorze ans cesse d’être un mystère artificiellement prolongé.</w:t>
      </w:r>
    </w:p>
    <w:p>
      <w:r>
        <w:rPr>
          <w:rFonts w:ascii="Arial" w:hAnsi="Arial"/>
          <w:b/>
        </w:rPr>
        <w:t>Trace durable :</w:t>
      </w:r>
      <w:r>
        <w:rPr>
          <w:rFonts w:ascii="Arial" w:hAnsi="Arial"/>
          <w:b w:val="0"/>
        </w:rPr>
        <w:t xml:space="preserve"> le quartier réparé reste visible et les équipes d’Yselle deviennent un soutien logistique ultérieur. </w:t>
      </w:r>
      <w:r>
        <w:rPr>
          <w:rFonts w:ascii="Arial" w:hAnsi="Arial"/>
          <w:b/>
        </w:rPr>
        <w:t>Indice :</w:t>
      </w:r>
      <w:r>
        <w:rPr>
          <w:rFonts w:ascii="Arial" w:hAnsi="Arial"/>
          <w:b w:val="0"/>
        </w:rPr>
        <w:t xml:space="preserve"> un portrait montre H₀ plus marqué, aux côtés de personnes que H₁ rencontre pour la première fois.</w:t>
      </w:r>
    </w:p>
    <w:p>
      <w:r>
        <w:rPr>
          <w:rFonts w:ascii="Arial" w:hAnsi="Arial"/>
          <w:b/>
        </w:rPr>
        <w:t>Séquence jouable :</w:t>
      </w:r>
      <w:r>
        <w:rPr>
          <w:rFonts w:ascii="Arial" w:hAnsi="Arial"/>
          <w:b w:val="0"/>
        </w:rPr>
        <w:t xml:space="preserve"> les rues suspendues du Havre se déplient autour d’un convoi de réfugiés. Le Collecteur des Routes, un automate impérial, absorbe les charges des passages. Varek fixe temporairement les ponts tandis que le groupe détourne ses harpons. L’objectif est de faire traverser le convoi, pas seulement de vider une barre de vie.</w:t>
      </w:r>
    </w:p>
    <w:p>
      <w:pPr>
        <w:pStyle w:val="Heading2"/>
      </w:pPr>
      <w:r>
        <w:t>Palais de Sel : ne pas rendre le mensonge confortable</w:t>
      </w:r>
    </w:p>
    <w:p>
      <w:r>
        <w:rPr>
          <w:rFonts w:ascii="Arial" w:hAnsi="Arial"/>
          <w:b w:val="0"/>
        </w:rPr>
        <w:t>Orsane protège des archives dont la révélation pourrait rallumer une guerre entre descendants de victimes et de collaborateurs. Le Concordat a utilisé les falsifications pour réclamer des réparations aux mauvaises communautés. Dissimuler la vérité n’empêche donc déjà plus la violence ; cela l’oriente vers d’autres personnes.</w:t>
      </w:r>
    </w:p>
    <w:p>
      <w:r>
        <w:rPr>
          <w:rFonts w:ascii="Arial" w:hAnsi="Arial"/>
          <w:b w:val="0"/>
        </w:rPr>
        <w:t>Le joueur croise des témoignages, explore des lieux de mémoire et prépare la protection des personnes menacées. La réponse n’est ni de brûler les archives, ni de publier une liste de noms sans précaution. L’action principale organise une divulgation vérifiable accompagnée de garanties civiles.</w:t>
      </w:r>
    </w:p>
    <w:p>
      <w:r>
        <w:rPr>
          <w:rFonts w:ascii="Arial" w:hAnsi="Arial"/>
          <w:b w:val="0"/>
        </w:rPr>
        <w:t>Les archives établissent que C est originaire d’Orthe. Un témoin le dit dès qu’il reconnaît cette personne et rapporte aussi sa disparition lors d’une évacuation, plusieurs années après A. Cette date contredit le drame vécu par H. Les circonstances exactes, la preuve de la mort de C₀ et les choix privés de C restent à établir ; personne ne cache une information qu’il connaît.</w:t>
      </w:r>
    </w:p>
    <w:p>
      <w:r>
        <w:rPr>
          <w:rFonts w:ascii="Arial" w:hAnsi="Arial"/>
          <w:b/>
        </w:rPr>
        <w:t>Contribution :</w:t>
      </w:r>
      <w:r>
        <w:rPr>
          <w:rFonts w:ascii="Arial" w:hAnsi="Arial"/>
          <w:b w:val="0"/>
        </w:rPr>
        <w:t xml:space="preserve"> réparation des circuits de lecture de Nacre. </w:t>
      </w:r>
      <w:r>
        <w:rPr>
          <w:rFonts w:ascii="Arial" w:hAnsi="Arial"/>
          <w:b/>
        </w:rPr>
        <w:t>Renversement :</w:t>
      </w:r>
      <w:r>
        <w:rPr>
          <w:rFonts w:ascii="Arial" w:hAnsi="Arial"/>
          <w:b w:val="0"/>
        </w:rPr>
        <w:t xml:space="preserve"> H₀ apparaît non seulement comme un allié, mais aussi comme le signataire de décisions contestées.</w:t>
      </w:r>
    </w:p>
    <w:p>
      <w:r>
        <w:rPr>
          <w:rFonts w:ascii="Arial" w:hAnsi="Arial"/>
          <w:b/>
        </w:rPr>
        <w:t>Séquence jouable :</w:t>
      </w:r>
      <w:r>
        <w:rPr>
          <w:rFonts w:ascii="Arial" w:hAnsi="Arial"/>
          <w:b w:val="0"/>
        </w:rPr>
        <w:t xml:space="preserve"> une bibliothèque minérale conserve des voix dans ses parois de sel. Le Scribe blanc, mécanisme de censure, reproduit des attaques apprises dans ses archives. Le joueur doit rétablir les inscriptions effacées pour exposer ses fausses lectures. Ces projections ne sont pas des personnes recréées ni de nouvelles fenêtres temporelles.</w:t>
      </w:r>
    </w:p>
    <w:p>
      <w:r>
        <w:br w:type="page"/>
      </w:r>
    </w:p>
    <w:p>
      <w:pPr>
        <w:spacing w:after="60"/>
      </w:pPr>
      <w:r>
        <w:rPr>
          <w:rFonts w:ascii="Arial" w:hAnsi="Arial"/>
          <w:b/>
          <w:color w:val="677784"/>
          <w:sz w:val="16"/>
        </w:rPr>
        <w:t>DÉVELOPPEMENT DES ARCS CENTRAUX</w:t>
      </w:r>
    </w:p>
    <w:p>
      <w:bookmarkStart w:id="18" w:name="section_18"/>
      <w:pPr>
        <w:pStyle w:val="Heading1"/>
      </w:pPr>
      <w:r>
        <w:t>17 — Régions : travail et deuil</w:t>
      </w:r>
      <w:bookmarkEnd w:id="18"/>
    </w:p>
    <w:p>
      <w:pPr>
        <w:pStyle w:val="Heading2"/>
      </w:pPr>
      <w:r>
        <w:t>Chantiers de Cendre : libérer n’est pas simplement couper</w:t>
      </w:r>
    </w:p>
    <w:p>
      <w:r>
        <w:rPr>
          <w:rFonts w:ascii="Arial" w:hAnsi="Arial"/>
          <w:b w:val="0"/>
        </w:rPr>
        <w:t>Les habitants subissent un système qui conditionne leur accès à l’eau et à la chaleur à leur obéissance. Le réseau a pourtant été amélioré grâce à H₀, et le débrancher provoquerait une catastrophe. Deme souhaite le réparer ; Nohé veut préserver la ville ; un mouvement de résistance prépare une attaque sans mesurer tous ses effets.</w:t>
      </w:r>
    </w:p>
    <w:p>
      <w:r>
        <w:rPr>
          <w:rFonts w:ascii="Arial" w:hAnsi="Arial"/>
          <w:b w:val="0"/>
        </w:rPr>
        <w:t>H est sommé de répondre des travaux de son autre version. Léandre peut intervenir comme enquêteur extérieur : la responsabilité personnelle de H₁ n’est pas celle de H₀, mais ses connaissances peuvent aider. Le héros n’exige pas l’effacement des preuves contre le scientifique en échange de son assistance.</w:t>
      </w:r>
    </w:p>
    <w:p>
      <w:r>
        <w:rPr>
          <w:rFonts w:ascii="Arial" w:hAnsi="Arial"/>
          <w:b w:val="0"/>
        </w:rPr>
        <w:t>L’arc construit des alimentations indépendantes avant le soulèvement. La victoire dépend de la coopération entre Porteurs et ingénieurs mortels. Un boss impérial constitue l’obstacle militaire, mais son élimination ne fournit pas par magie de l’eau à la population.</w:t>
      </w:r>
    </w:p>
    <w:p>
      <w:r>
        <w:rPr>
          <w:rFonts w:ascii="Arial" w:hAnsi="Arial"/>
          <w:b/>
        </w:rPr>
        <w:t>Contribution :</w:t>
      </w:r>
      <w:r>
        <w:rPr>
          <w:rFonts w:ascii="Arial" w:hAnsi="Arial"/>
          <w:b w:val="0"/>
        </w:rPr>
        <w:t xml:space="preserve"> répartir les charges du système et améliorer la stabilité des réaccords. </w:t>
      </w:r>
      <w:r>
        <w:rPr>
          <w:rFonts w:ascii="Arial" w:hAnsi="Arial"/>
          <w:b/>
        </w:rPr>
        <w:t>Trace :</w:t>
      </w:r>
      <w:r>
        <w:rPr>
          <w:rFonts w:ascii="Arial" w:hAnsi="Arial"/>
          <w:b w:val="0"/>
        </w:rPr>
        <w:t xml:space="preserve"> les ateliers libérés deviennent un lieu de fabrication, d’entraînement et de production non soumis au Concordat.</w:t>
      </w:r>
    </w:p>
    <w:p>
      <w:r>
        <w:rPr>
          <w:rFonts w:ascii="Arial" w:hAnsi="Arial"/>
          <w:b/>
        </w:rPr>
        <w:t>Séquence jouable :</w:t>
      </w:r>
      <w:r>
        <w:rPr>
          <w:rFonts w:ascii="Arial" w:hAnsi="Arial"/>
          <w:b w:val="0"/>
        </w:rPr>
        <w:t xml:space="preserve"> le Géant de suie est une plateforme de guerre incorporée à une centrale. Les combats se déplacent entre convoyeurs et cheminées, pendant que Deme maintient une alimentation de secours. Détruire le cœur sans préparer ce relais gagnerait la bataille en condamnant les quartiers voisins ; le plan principal impose de protéger les deux.</w:t>
      </w:r>
    </w:p>
    <w:p>
      <w:pPr>
        <w:pStyle w:val="Heading2"/>
      </w:pPr>
      <w:r>
        <w:t>Jardins du Seuil : quel sauvetage est encore possible ?</w:t>
      </w:r>
    </w:p>
    <w:p>
      <w:r>
        <w:rPr>
          <w:rFonts w:ascii="Arial" w:hAnsi="Arial"/>
          <w:b w:val="0"/>
        </w:rPr>
        <w:t>Des ressources stabilisent les noyaux anciens alors que des patients humains ne reçoivent pas assez de soins. Miren n’accuse pas les immortels d’exister ; il refuse que leur longévité constitue un droit automatique à passer avant les autres. Éloa tente de maintenir un système devenu injuste par accumulation de privilèges.</w:t>
      </w:r>
    </w:p>
    <w:p>
      <w:r>
        <w:rPr>
          <w:rFonts w:ascii="Arial" w:hAnsi="Arial"/>
          <w:b w:val="0"/>
        </w:rPr>
        <w:t>H découvre la tombe de C₀ et les conditions de sa mort. L’archive n’explique pas que le partenaire « est mort deux fois » au sens d’une seule vie ; elle montre deux continuités différentes. La source est irréparable, tandis que des mesures de l’ancre révèlent un noyau viable pour C₁.</w:t>
      </w:r>
    </w:p>
    <w:p>
      <w:r>
        <w:rPr>
          <w:rFonts w:ascii="Arial" w:hAnsi="Arial"/>
          <w:b w:val="0"/>
        </w:rPr>
        <w:t>Une méthode rapide permettrait de maintenir l’ancre en prélevant brutalement l’énergie des services de soin. H la refuse sans disposer immédiatement d’un plan garanti. Cette décision est son véritable tournant moral : les habitants ne sont pas le carburant de son histoire d’amour.</w:t>
      </w:r>
    </w:p>
    <w:p>
      <w:r>
        <w:rPr>
          <w:rFonts w:ascii="Arial" w:hAnsi="Arial"/>
          <w:b/>
        </w:rPr>
        <w:t>Contribution :</w:t>
      </w:r>
      <w:r>
        <w:rPr>
          <w:rFonts w:ascii="Arial" w:hAnsi="Arial"/>
          <w:b w:val="0"/>
        </w:rPr>
        <w:t xml:space="preserve"> diagnostic biologique et protocole de restauration limitée. </w:t>
      </w:r>
      <w:r>
        <w:rPr>
          <w:rFonts w:ascii="Arial" w:hAnsi="Arial"/>
          <w:b/>
        </w:rPr>
        <w:t>Trace :</w:t>
      </w:r>
      <w:r>
        <w:rPr>
          <w:rFonts w:ascii="Arial" w:hAnsi="Arial"/>
          <w:b w:val="0"/>
        </w:rPr>
        <w:t xml:space="preserve"> une distribution plus juste des soins ; aucune résurrection collective ne vient effacer le cimetière.</w:t>
      </w:r>
    </w:p>
    <w:p>
      <w:r>
        <w:rPr>
          <w:rFonts w:ascii="Arial" w:hAnsi="Arial"/>
          <w:b/>
        </w:rPr>
        <w:t>Séquence jouable :</w:t>
      </w:r>
      <w:r>
        <w:rPr>
          <w:rFonts w:ascii="Arial" w:hAnsi="Arial"/>
          <w:b w:val="0"/>
        </w:rPr>
        <w:t xml:space="preserve"> un Cerf de verre, ancien gardien biologique, propage involontairement les douleurs qu’il devait apaiser. Éloa guide une opération de stabilisation à travers ses ramures lumineuses. La victoire le libère du dispositif impérial plutôt que de le tuer, et prépare visuellement le soin du noyau de C.</w:t>
      </w:r>
    </w:p>
    <w:p>
      <w:r>
        <w:br w:type="page"/>
      </w:r>
    </w:p>
    <w:p>
      <w:pPr>
        <w:spacing w:after="60"/>
      </w:pPr>
      <w:r>
        <w:rPr>
          <w:rFonts w:ascii="Arial" w:hAnsi="Arial"/>
          <w:b/>
          <w:color w:val="677784"/>
          <w:sz w:val="16"/>
        </w:rPr>
        <w:t>DERNIERS ARCS AVANT LA RÉSOLUTION</w:t>
      </w:r>
    </w:p>
    <w:p>
      <w:bookmarkStart w:id="19" w:name="section_19"/>
      <w:pPr>
        <w:pStyle w:val="Heading1"/>
      </w:pPr>
      <w:r>
        <w:t>18 — Régions : identité et avenir</w:t>
      </w:r>
      <w:bookmarkEnd w:id="19"/>
    </w:p>
    <w:p>
      <w:pPr>
        <w:pStyle w:val="Heading2"/>
      </w:pPr>
      <w:r>
        <w:t>Villes du Contrejour : l’identité n’est pas un verdict</w:t>
      </w:r>
    </w:p>
    <w:p>
      <w:r>
        <w:rPr>
          <w:rFonts w:ascii="Arial" w:hAnsi="Arial"/>
          <w:b w:val="0"/>
        </w:rPr>
        <w:t>Dans cette région, des citoyens ont changé de nom pour échapper au Concordat, tandis que des responsables de violences ont utilisé les mêmes protections. Une campagne impériale associe H au visage de H₀ pour discréditer les réaccords. Le héros peut être contesté sans que tous ses opposants deviennent des ennemis à battre.</w:t>
      </w:r>
    </w:p>
    <w:p>
      <w:r>
        <w:rPr>
          <w:rFonts w:ascii="Arial" w:hAnsi="Arial"/>
          <w:b w:val="0"/>
        </w:rPr>
        <w:t>Les enquêtes mettent au jour la capsule, la période de stase et la signature jamais enregistrée de H. Elles révèlent aussi la mission de C et sa rupture avec l’institution qui la commanditait. Des dossiers incomplets pourraient faire croire que toute leur relation était une opération ; une lettre datée, une démission et des témoins montrent la chronologie exacte.</w:t>
      </w:r>
    </w:p>
    <w:p>
      <w:r>
        <w:rPr>
          <w:rFonts w:ascii="Arial" w:hAnsi="Arial"/>
          <w:b w:val="0"/>
        </w:rPr>
        <w:t>Le récit n’impose pas la réaction affective du héros comme un devoir de pardon. Il peut continuer à vouloir sauver C tout en se sentant blessé. Saren, confronté aux usages mensongers des preuves qu’il protégeait, amorce sa rupture avec le Concordat. Son pacte attend des actes de réparation concrets.</w:t>
      </w:r>
    </w:p>
    <w:p>
      <w:r>
        <w:rPr>
          <w:rFonts w:ascii="Arial" w:hAnsi="Arial"/>
          <w:b/>
        </w:rPr>
        <w:t>Contribution :</w:t>
      </w:r>
      <w:r>
        <w:rPr>
          <w:rFonts w:ascii="Arial" w:hAnsi="Arial"/>
          <w:b w:val="0"/>
        </w:rPr>
        <w:t xml:space="preserve"> rétablir les droits d’accès des véritables dépositaires, plutôt que remplacer l’identité impériale par un nouveau registre absolu. </w:t>
      </w:r>
      <w:r>
        <w:rPr>
          <w:rFonts w:ascii="Arial" w:hAnsi="Arial"/>
          <w:b/>
        </w:rPr>
        <w:t>Trace :</w:t>
      </w:r>
      <w:r>
        <w:rPr>
          <w:rFonts w:ascii="Arial" w:hAnsi="Arial"/>
          <w:b w:val="0"/>
        </w:rPr>
        <w:t xml:space="preserve"> une justice qui juge des actes sans réduire chacun à son origine.</w:t>
      </w:r>
    </w:p>
    <w:p>
      <w:r>
        <w:rPr>
          <w:rFonts w:ascii="Arial" w:hAnsi="Arial"/>
          <w:b/>
        </w:rPr>
        <w:t>Séquence jouable :</w:t>
      </w:r>
      <w:r>
        <w:rPr>
          <w:rFonts w:ascii="Arial" w:hAnsi="Arial"/>
          <w:b w:val="0"/>
        </w:rPr>
        <w:t xml:space="preserve"> dans la Galerie des Reflets absents, un adversaire masqué reproduit les habitudes de combat du héros à partir de données volées. Changer de partenaire et de rythme brise son modèle. Cette rencontre illustre le thème de l’identité sans ajouter un nouveau double temporel conscient.</w:t>
      </w:r>
    </w:p>
    <w:p>
      <w:pPr>
        <w:pStyle w:val="Heading2"/>
      </w:pPr>
      <w:r>
        <w:t>Couronne des Marées : renoncer au futur garanti</w:t>
      </w:r>
    </w:p>
    <w:p>
      <w:r>
        <w:rPr>
          <w:rFonts w:ascii="Arial" w:hAnsi="Arial"/>
          <w:b w:val="0"/>
        </w:rPr>
        <w:t>Une infrastructure du Concordat peut maintenir des passages toujours ouverts, mais seulement en interdisant toute route imprévue. Les habitants doivent choisir entre une sécurité immédiatement séduisante et une organisation plus incertaine. Thyr connaît les pertes causées par l’instabilité ; il ne défend donc pas le risque comme un privilège d’aventurier.</w:t>
      </w:r>
    </w:p>
    <w:p>
      <w:r>
        <w:rPr>
          <w:rFonts w:ascii="Arial" w:hAnsi="Arial"/>
          <w:b w:val="0"/>
        </w:rPr>
        <w:t>H conçoit un fonctionnement partagé dans lequel plusieurs équipages et stations peuvent prendre le relais. Le plan ne supprime pas tous les dangers, mais empêche un seul souverain de bloquer les vies. La dernière archive montre la révolte de H₀ contre Séveran, sa mort et le protocole qui a sauvé H₁.</w:t>
      </w:r>
    </w:p>
    <w:p>
      <w:r>
        <w:rPr>
          <w:rFonts w:ascii="Arial" w:hAnsi="Arial"/>
          <w:b/>
        </w:rPr>
        <w:t>Contribution :</w:t>
      </w:r>
      <w:r>
        <w:rPr>
          <w:rFonts w:ascii="Arial" w:hAnsi="Arial"/>
          <w:b w:val="0"/>
        </w:rPr>
        <w:t xml:space="preserve"> synchroniser les infrastructures sans centre unique. </w:t>
      </w:r>
      <w:r>
        <w:rPr>
          <w:rFonts w:ascii="Arial" w:hAnsi="Arial"/>
          <w:b/>
        </w:rPr>
        <w:t>Trace :</w:t>
      </w:r>
      <w:r>
        <w:rPr>
          <w:rFonts w:ascii="Arial" w:hAnsi="Arial"/>
          <w:b w:val="0"/>
        </w:rPr>
        <w:t xml:space="preserve"> une coalition avec des intérêts parfois opposés, mais une capacité réelle à agir ensemble. C’est cette coalition, et non la perfection du héros, qui rend le final possible.</w:t>
      </w:r>
    </w:p>
    <w:p>
      <w:r>
        <w:rPr>
          <w:rFonts w:ascii="Arial" w:hAnsi="Arial"/>
          <w:b/>
        </w:rPr>
        <w:t>Séquence jouable :</w:t>
      </w:r>
      <w:r>
        <w:rPr>
          <w:rFonts w:ascii="Arial" w:hAnsi="Arial"/>
          <w:b w:val="0"/>
        </w:rPr>
        <w:t xml:space="preserve"> l’Aiguilleur tente d’immobiliser par gravité les passerelles d’un archipel en mouvement. Thyr ouvre une route entre les îles tandis que plusieurs équipes reprennent les stations. Il s’agit de positions et de forces, pas d’un arrêt magique du temps extérieur qui contredirait les limites de la machine.</w:t>
      </w:r>
    </w:p>
    <w:p>
      <w:r>
        <w:br w:type="page"/>
      </w:r>
    </w:p>
    <w:p>
      <w:pPr>
        <w:spacing w:after="60"/>
      </w:pPr>
      <w:r>
        <w:rPr>
          <w:rFonts w:ascii="Arial" w:hAnsi="Arial"/>
          <w:b/>
          <w:color w:val="677784"/>
          <w:sz w:val="16"/>
        </w:rPr>
        <w:t>RENCONTRE → RESTITUTION → ACCORD</w:t>
      </w:r>
    </w:p>
    <w:p>
      <w:bookmarkStart w:id="20" w:name="section_20"/>
      <w:pPr>
        <w:pStyle w:val="Heading1"/>
      </w:pPr>
      <w:r>
        <w:t>19 — Le gacha dans l’univers</w:t>
      </w:r>
      <w:bookmarkEnd w:id="20"/>
    </w:p>
    <w:p>
      <w:r>
        <w:rPr>
          <w:rFonts w:ascii="Arial" w:hAnsi="Arial"/>
          <w:b w:val="0"/>
        </w:rPr>
        <w:t xml:space="preserve">Le système proposé s’appelle provisoirement </w:t>
      </w:r>
      <w:r>
        <w:rPr>
          <w:rFonts w:ascii="Arial" w:hAnsi="Arial"/>
          <w:b/>
        </w:rPr>
        <w:t>les Accords</w:t>
      </w:r>
      <w:r>
        <w:rPr>
          <w:rFonts w:ascii="Arial" w:hAnsi="Arial"/>
          <w:b w:val="0"/>
        </w:rPr>
        <w:t>. On n’invoque ni une personne inconnue depuis le néant, ni une copie docile. Le joueur stabilise une coopération avec un allié réellement rencontré, capable de décider et de vivre ailleurs que dans son équipe.</w:t>
      </w:r>
    </w:p>
    <w:tbl>
      <w:tblPr>
        <w:tblW w:type="auto" w:w="0"/>
        <w:jc w:val="center"/>
        <w:tblLayout w:type="fixed"/>
        <w:tblLook w:firstColumn="1" w:firstRow="1" w:lastColumn="0" w:lastRow="0" w:noHBand="0" w:noVBand="1" w:val="04A0"/>
      </w:tblPr>
      <w:tblGrid>
        <w:gridCol w:w="1531"/>
        <w:gridCol w:w="4195"/>
        <w:gridCol w:w="4139"/>
      </w:tblGrid>
      <w:tr>
        <w:trPr>
          <w:tblHeader/>
        </w:trPr>
        <w:tc>
          <w:tcPr>
            <w:tcW w:type="dxa" w:w="1531"/>
            <w:vAlign w:val="center"/>
            <w:shd w:fill="253A52"/>
            <w:tcMar>
              <w:top w:w="65" w:type="dxa"/>
              <w:left w:w="95" w:type="dxa"/>
              <w:bottom w:w="65" w:type="dxa"/>
              <w:right w:w="95" w:type="dxa"/>
            </w:tcMar>
          </w:tcPr>
          <w:p>
            <w:pPr>
              <w:pStyle w:val="TableText"/>
            </w:pPr>
            <w:r>
              <w:rPr>
                <w:rFonts w:ascii="Arial" w:hAnsi="Arial"/>
                <w:b/>
                <w:color w:val="FFFFFF"/>
              </w:rPr>
              <w:t>Étape</w:t>
            </w:r>
          </w:p>
        </w:tc>
        <w:tc>
          <w:tcPr>
            <w:tcW w:type="dxa" w:w="4195"/>
            <w:vAlign w:val="center"/>
            <w:shd w:fill="253A52"/>
            <w:tcMar>
              <w:top w:w="65" w:type="dxa"/>
              <w:left w:w="95" w:type="dxa"/>
              <w:bottom w:w="65" w:type="dxa"/>
              <w:right w:w="95" w:type="dxa"/>
            </w:tcMar>
          </w:tcPr>
          <w:p>
            <w:pPr>
              <w:pStyle w:val="TableText"/>
            </w:pPr>
            <w:r>
              <w:rPr>
                <w:rFonts w:ascii="Arial" w:hAnsi="Arial"/>
                <w:b/>
                <w:color w:val="FFFFFF"/>
              </w:rPr>
              <w:t>Ce qui est vrai dans l’histoire</w:t>
            </w:r>
          </w:p>
        </w:tc>
        <w:tc>
          <w:tcPr>
            <w:tcW w:type="dxa" w:w="4139"/>
            <w:vAlign w:val="center"/>
            <w:shd w:fill="253A52"/>
            <w:tcMar>
              <w:top w:w="65" w:type="dxa"/>
              <w:left w:w="95" w:type="dxa"/>
              <w:bottom w:w="65" w:type="dxa"/>
              <w:right w:w="95" w:type="dxa"/>
            </w:tcMar>
          </w:tcPr>
          <w:p>
            <w:pPr>
              <w:pStyle w:val="TableText"/>
            </w:pPr>
            <w:r>
              <w:rPr>
                <w:rFonts w:ascii="Arial" w:hAnsi="Arial"/>
                <w:b/>
                <w:color w:val="FFFFFF"/>
              </w:rPr>
              <w:t>Conséquence dans le jeu</w:t>
            </w:r>
          </w:p>
        </w:tc>
      </w:tr>
      <w:tr>
        <w:trPr>
          <w:cantSplit/>
        </w:trPr>
        <w:tc>
          <w:tcPr>
            <w:tcW w:type="dxa" w:w="1531"/>
            <w:vAlign w:val="top"/>
            <w:shd w:fill="F1F5F7"/>
            <w:tcMar>
              <w:top w:w="65" w:type="dxa"/>
              <w:left w:w="95" w:type="dxa"/>
              <w:bottom w:w="65" w:type="dxa"/>
              <w:right w:w="95" w:type="dxa"/>
            </w:tcMar>
          </w:tcPr>
          <w:p>
            <w:pPr>
              <w:pStyle w:val="TableText"/>
            </w:pPr>
            <w:r>
              <w:rPr>
                <w:rFonts w:ascii="Arial" w:hAnsi="Arial"/>
                <w:b w:val="0"/>
              </w:rPr>
              <w:t>1. Rencontre</w:t>
            </w:r>
          </w:p>
        </w:tc>
        <w:tc>
          <w:tcPr>
            <w:tcW w:type="dxa" w:w="4195"/>
            <w:vAlign w:val="top"/>
            <w:shd w:fill="F1F5F7"/>
            <w:tcMar>
              <w:top w:w="65" w:type="dxa"/>
              <w:left w:w="95" w:type="dxa"/>
              <w:bottom w:w="65" w:type="dxa"/>
              <w:right w:w="95" w:type="dxa"/>
            </w:tcMar>
          </w:tcPr>
          <w:p>
            <w:pPr>
              <w:pStyle w:val="TableText"/>
            </w:pPr>
            <w:r>
              <w:rPr>
                <w:rFonts w:ascii="Arial" w:hAnsi="Arial"/>
                <w:b w:val="0"/>
              </w:rPr>
              <w:t>Un échange narratif identifiable a lieu. Une silhouette ou un nom lu dans une affiche ne suffit pas.</w:t>
            </w:r>
          </w:p>
        </w:tc>
        <w:tc>
          <w:tcPr>
            <w:tcW w:type="dxa" w:w="4139"/>
            <w:vAlign w:val="top"/>
            <w:shd w:fill="F1F5F7"/>
            <w:tcMar>
              <w:top w:w="65" w:type="dxa"/>
              <w:left w:w="95" w:type="dxa"/>
              <w:bottom w:w="65" w:type="dxa"/>
              <w:right w:w="95" w:type="dxa"/>
            </w:tcMar>
          </w:tcPr>
          <w:p>
            <w:pPr>
              <w:pStyle w:val="TableText"/>
            </w:pPr>
            <w:r>
              <w:rPr>
                <w:rFonts w:ascii="Arial" w:hAnsi="Arial"/>
                <w:b w:val="0"/>
              </w:rPr>
              <w:t>Le personnage entre dans le codex des personnes rencontrées, pas encore dans tous les tirages.</w:t>
            </w:r>
          </w:p>
        </w:tc>
      </w:tr>
      <w:tr>
        <w:trPr>
          <w:cantSplit/>
        </w:trPr>
        <w:tc>
          <w:tcPr>
            <w:tcW w:type="dxa" w:w="1531"/>
            <w:vAlign w:val="top"/>
            <w:shd w:fill="FFFFFF"/>
            <w:tcMar>
              <w:top w:w="65" w:type="dxa"/>
              <w:left w:w="95" w:type="dxa"/>
              <w:bottom w:w="65" w:type="dxa"/>
              <w:right w:w="95" w:type="dxa"/>
            </w:tcMar>
          </w:tcPr>
          <w:p>
            <w:pPr>
              <w:pStyle w:val="TableText"/>
            </w:pPr>
            <w:r>
              <w:rPr>
                <w:rFonts w:ascii="Arial" w:hAnsi="Arial"/>
                <w:b w:val="0"/>
              </w:rPr>
              <w:t>2. Consentement</w:t>
            </w:r>
          </w:p>
        </w:tc>
        <w:tc>
          <w:tcPr>
            <w:tcW w:type="dxa" w:w="4195"/>
            <w:vAlign w:val="top"/>
            <w:shd w:fill="FFFFFF"/>
            <w:tcMar>
              <w:top w:w="65" w:type="dxa"/>
              <w:left w:w="95" w:type="dxa"/>
              <w:bottom w:w="65" w:type="dxa"/>
              <w:right w:w="95" w:type="dxa"/>
            </w:tcMar>
          </w:tcPr>
          <w:p>
            <w:pPr>
              <w:pStyle w:val="TableText"/>
            </w:pPr>
            <w:r>
              <w:rPr>
                <w:rFonts w:ascii="Arial" w:hAnsi="Arial"/>
                <w:b w:val="0"/>
              </w:rPr>
              <w:t>L’individu accepte de coopérer. Un adversaire connu ne devient pas recrutable tant que cette étape manque.</w:t>
            </w:r>
          </w:p>
        </w:tc>
        <w:tc>
          <w:tcPr>
            <w:tcW w:type="dxa" w:w="4139"/>
            <w:vAlign w:val="top"/>
            <w:shd w:fill="FFFFFF"/>
            <w:tcMar>
              <w:top w:w="65" w:type="dxa"/>
              <w:left w:w="95" w:type="dxa"/>
              <w:bottom w:w="65" w:type="dxa"/>
              <w:right w:w="95" w:type="dxa"/>
            </w:tcMar>
          </w:tcPr>
          <w:p>
            <w:pPr>
              <w:pStyle w:val="TableText"/>
            </w:pPr>
            <w:r>
              <w:rPr>
                <w:rFonts w:ascii="Arial" w:hAnsi="Arial"/>
                <w:b w:val="0"/>
              </w:rPr>
              <w:t>Un état distinct valide l’éligibilité à une future coopération.</w:t>
            </w:r>
          </w:p>
        </w:tc>
      </w:tr>
      <w:tr>
        <w:trPr>
          <w:cantSplit/>
        </w:trPr>
        <w:tc>
          <w:tcPr>
            <w:tcW w:type="dxa" w:w="1531"/>
            <w:vAlign w:val="top"/>
            <w:shd w:fill="F1F5F7"/>
            <w:tcMar>
              <w:top w:w="65" w:type="dxa"/>
              <w:left w:w="95" w:type="dxa"/>
              <w:bottom w:w="65" w:type="dxa"/>
              <w:right w:w="95" w:type="dxa"/>
            </w:tcMar>
          </w:tcPr>
          <w:p>
            <w:pPr>
              <w:pStyle w:val="TableText"/>
            </w:pPr>
            <w:r>
              <w:rPr>
                <w:rFonts w:ascii="Arial" w:hAnsi="Arial"/>
                <w:b w:val="0"/>
              </w:rPr>
              <w:t>3. Restitution initiale</w:t>
            </w:r>
          </w:p>
        </w:tc>
        <w:tc>
          <w:tcPr>
            <w:tcW w:type="dxa" w:w="4195"/>
            <w:vAlign w:val="top"/>
            <w:shd w:fill="F1F5F7"/>
            <w:tcMar>
              <w:top w:w="65" w:type="dxa"/>
              <w:left w:w="95" w:type="dxa"/>
              <w:bottom w:w="65" w:type="dxa"/>
              <w:right w:w="95" w:type="dxa"/>
            </w:tcMar>
          </w:tcPr>
          <w:p>
            <w:pPr>
              <w:pStyle w:val="TableText"/>
            </w:pPr>
            <w:r>
              <w:rPr>
                <w:rFonts w:ascii="Arial" w:hAnsi="Arial"/>
                <w:b w:val="0"/>
              </w:rPr>
              <w:t>Le verrou d’un Porteur est réparé, ou l’équipement d’un allié mortel devient compatible. Ce résultat appartient au récit.</w:t>
            </w:r>
          </w:p>
        </w:tc>
        <w:tc>
          <w:tcPr>
            <w:tcW w:type="dxa" w:w="4139"/>
            <w:vAlign w:val="top"/>
            <w:shd w:fill="F1F5F7"/>
            <w:tcMar>
              <w:top w:w="65" w:type="dxa"/>
              <w:left w:w="95" w:type="dxa"/>
              <w:bottom w:w="65" w:type="dxa"/>
              <w:right w:w="95" w:type="dxa"/>
            </w:tcMar>
          </w:tcPr>
          <w:p>
            <w:pPr>
              <w:pStyle w:val="TableText"/>
            </w:pPr>
            <w:r>
              <w:rPr>
                <w:rFonts w:ascii="Arial" w:hAnsi="Arial"/>
                <w:b w:val="0"/>
              </w:rPr>
              <w:t>Une quête donne accès à une version d’essai ou à un recrutement garanti lorsque l’histoire l’exige.</w:t>
            </w:r>
          </w:p>
        </w:tc>
      </w:tr>
      <w:tr>
        <w:trPr>
          <w:cantSplit/>
        </w:trPr>
        <w:tc>
          <w:tcPr>
            <w:tcW w:type="dxa" w:w="1531"/>
            <w:vAlign w:val="top"/>
            <w:shd w:fill="FFFFFF"/>
            <w:tcMar>
              <w:top w:w="65" w:type="dxa"/>
              <w:left w:w="95" w:type="dxa"/>
              <w:bottom w:w="65" w:type="dxa"/>
              <w:right w:w="95" w:type="dxa"/>
            </w:tcMar>
          </w:tcPr>
          <w:p>
            <w:pPr>
              <w:pStyle w:val="TableText"/>
            </w:pPr>
            <w:r>
              <w:rPr>
                <w:rFonts w:ascii="Arial" w:hAnsi="Arial"/>
                <w:b w:val="0"/>
              </w:rPr>
              <w:t>4. Accord stable</w:t>
            </w:r>
          </w:p>
        </w:tc>
        <w:tc>
          <w:tcPr>
            <w:tcW w:type="dxa" w:w="4195"/>
            <w:vAlign w:val="top"/>
            <w:shd w:fill="FFFFFF"/>
            <w:tcMar>
              <w:top w:w="65" w:type="dxa"/>
              <w:left w:w="95" w:type="dxa"/>
              <w:bottom w:w="65" w:type="dxa"/>
              <w:right w:w="95" w:type="dxa"/>
            </w:tcMar>
          </w:tcPr>
          <w:p>
            <w:pPr>
              <w:pStyle w:val="TableText"/>
            </w:pPr>
            <w:r>
              <w:rPr>
                <w:rFonts w:ascii="Arial" w:hAnsi="Arial"/>
                <w:b w:val="0"/>
              </w:rPr>
              <w:t>Le réseau ajuste les modes de circulation d’énergie entre l’allié, son équipement et l’équipe. Les ressources d’accord produisent des configurations variables.</w:t>
            </w:r>
          </w:p>
        </w:tc>
        <w:tc>
          <w:tcPr>
            <w:tcW w:type="dxa" w:w="4139"/>
            <w:vAlign w:val="top"/>
            <w:shd w:fill="FFFFFF"/>
            <w:tcMar>
              <w:top w:w="65" w:type="dxa"/>
              <w:left w:w="95" w:type="dxa"/>
              <w:bottom w:w="65" w:type="dxa"/>
              <w:right w:w="95" w:type="dxa"/>
            </w:tcMar>
          </w:tcPr>
          <w:p>
            <w:pPr>
              <w:pStyle w:val="TableText"/>
            </w:pPr>
            <w:r>
              <w:rPr>
                <w:rFonts w:ascii="Arial" w:hAnsi="Arial"/>
                <w:b w:val="0"/>
              </w:rPr>
              <w:t>Le tirage peut stabiliser un personnage éligible ou fournir des matériaux utiles ; il n’achète pas son consentement.</w:t>
            </w:r>
          </w:p>
        </w:tc>
      </w:tr>
      <w:tr>
        <w:trPr>
          <w:cantSplit/>
        </w:trPr>
        <w:tc>
          <w:tcPr>
            <w:tcW w:type="dxa" w:w="1531"/>
            <w:vAlign w:val="top"/>
            <w:shd w:fill="F1F5F7"/>
            <w:tcMar>
              <w:top w:w="65" w:type="dxa"/>
              <w:left w:w="95" w:type="dxa"/>
              <w:bottom w:w="65" w:type="dxa"/>
              <w:right w:w="95" w:type="dxa"/>
            </w:tcMar>
          </w:tcPr>
          <w:p>
            <w:pPr>
              <w:pStyle w:val="TableText"/>
            </w:pPr>
            <w:r>
              <w:rPr>
                <w:rFonts w:ascii="Arial" w:hAnsi="Arial"/>
                <w:b w:val="0"/>
              </w:rPr>
              <w:t>5. Déploiement</w:t>
            </w:r>
          </w:p>
        </w:tc>
        <w:tc>
          <w:tcPr>
            <w:tcW w:type="dxa" w:w="4195"/>
            <w:vAlign w:val="top"/>
            <w:shd w:fill="F1F5F7"/>
            <w:tcMar>
              <w:top w:w="65" w:type="dxa"/>
              <w:left w:w="95" w:type="dxa"/>
              <w:bottom w:w="65" w:type="dxa"/>
              <w:right w:w="95" w:type="dxa"/>
            </w:tcMar>
          </w:tcPr>
          <w:p>
            <w:pPr>
              <w:pStyle w:val="TableText"/>
            </w:pPr>
            <w:r>
              <w:rPr>
                <w:rFonts w:ascii="Arial" w:hAnsi="Arial"/>
                <w:b w:val="0"/>
              </w:rPr>
              <w:t>L’allié rejoint un camp, une mission ou un passage sécurisé. Il demeure une personne réelle.</w:t>
            </w:r>
          </w:p>
        </w:tc>
        <w:tc>
          <w:tcPr>
            <w:tcW w:type="dxa" w:w="4139"/>
            <w:vAlign w:val="top"/>
            <w:shd w:fill="F1F5F7"/>
            <w:tcMar>
              <w:top w:w="65" w:type="dxa"/>
              <w:left w:w="95" w:type="dxa"/>
              <w:bottom w:w="65" w:type="dxa"/>
              <w:right w:w="95" w:type="dxa"/>
            </w:tcMar>
          </w:tcPr>
          <w:p>
            <w:pPr>
              <w:pStyle w:val="TableText"/>
            </w:pPr>
            <w:r>
              <w:rPr>
                <w:rFonts w:ascii="Arial" w:hAnsi="Arial"/>
                <w:b w:val="0"/>
              </w:rPr>
              <w:t>Le personnage obtenu entre dans les équipes, avec niveau, équipement et spécialités.</w:t>
            </w:r>
          </w:p>
        </w:tc>
      </w:tr>
      <w:tr>
        <w:trPr>
          <w:cantSplit/>
        </w:trPr>
        <w:tc>
          <w:tcPr>
            <w:tcW w:type="dxa" w:w="1531"/>
            <w:vAlign w:val="top"/>
            <w:shd w:fill="FFFFFF"/>
            <w:tcMar>
              <w:top w:w="65" w:type="dxa"/>
              <w:left w:w="95" w:type="dxa"/>
              <w:bottom w:w="65" w:type="dxa"/>
              <w:right w:w="95" w:type="dxa"/>
            </w:tcMar>
          </w:tcPr>
          <w:p>
            <w:pPr>
              <w:pStyle w:val="TableText"/>
            </w:pPr>
            <w:r>
              <w:rPr>
                <w:rFonts w:ascii="Arial" w:hAnsi="Arial"/>
                <w:b w:val="0"/>
              </w:rPr>
              <w:t>6. Accord approfondi</w:t>
            </w:r>
          </w:p>
        </w:tc>
        <w:tc>
          <w:tcPr>
            <w:tcW w:type="dxa" w:w="4195"/>
            <w:vAlign w:val="top"/>
            <w:shd w:fill="FFFFFF"/>
            <w:tcMar>
              <w:top w:w="65" w:type="dxa"/>
              <w:left w:w="95" w:type="dxa"/>
              <w:bottom w:w="65" w:type="dxa"/>
              <w:right w:w="95" w:type="dxa"/>
            </w:tcMar>
          </w:tcPr>
          <w:p>
            <w:pPr>
              <w:pStyle w:val="TableText"/>
            </w:pPr>
            <w:r>
              <w:rPr>
                <w:rFonts w:ascii="Arial" w:hAnsi="Arial"/>
                <w:b w:val="0"/>
              </w:rPr>
              <w:t>Des configurations supplémentaires améliorent la coopération et la maîtrise.</w:t>
            </w:r>
          </w:p>
        </w:tc>
        <w:tc>
          <w:tcPr>
            <w:tcW w:type="dxa" w:w="4139"/>
            <w:vAlign w:val="top"/>
            <w:shd w:fill="FFFFFF"/>
            <w:tcMar>
              <w:top w:w="65" w:type="dxa"/>
              <w:left w:w="95" w:type="dxa"/>
              <w:bottom w:w="65" w:type="dxa"/>
              <w:right w:w="95" w:type="dxa"/>
            </w:tcMar>
          </w:tcPr>
          <w:p>
            <w:pPr>
              <w:pStyle w:val="TableText"/>
            </w:pPr>
            <w:r>
              <w:rPr>
                <w:rFonts w:ascii="Arial" w:hAnsi="Arial"/>
                <w:b w:val="0"/>
              </w:rPr>
              <w:t>Un doublon ouvre un perfectionnement ; il ne crée pas un second exemplaire humain.</w:t>
            </w:r>
          </w:p>
        </w:tc>
      </w:tr>
    </w:tbl>
    <w:p>
      <w:pPr>
        <w:spacing w:after="0"/>
      </w:pPr>
    </w:p>
    <w:p>
      <w:pPr>
        <w:pStyle w:val="Heading2"/>
      </w:pPr>
      <w:r>
        <w:t>Ce que le hasard représente</w:t>
      </w:r>
    </w:p>
    <w:p>
      <w:r>
        <w:rPr>
          <w:rFonts w:ascii="Arial" w:hAnsi="Arial"/>
          <w:b w:val="0"/>
        </w:rPr>
        <w:t>Il porte sur une stabilisation technique, pas sur la réussite morale d’un sauvetage. L’interface peut représenter un réseau de signatures déjà connues. Les détails de probabilité restent du game design : le lore n’a pas besoin de faire croire que chaque chiffre d’équilibrage est une loi physique.</w:t>
      </w:r>
    </w:p>
    <w:p>
      <w:pPr>
        <w:pStyle w:val="Heading2"/>
      </w:pPr>
      <w:r>
        <w:t>Quatre et cinq étoiles</w:t>
      </w:r>
    </w:p>
    <w:p>
      <w:r>
        <w:rPr>
          <w:rFonts w:ascii="Arial" w:hAnsi="Arial"/>
          <w:b w:val="0"/>
        </w:rPr>
        <w:t>Un accord quatre étoiles porte généralement sur une capacité spécialisée ou un équipement plus simple à stabiliser. Un accord cinq étoiles possède une architecture plus vaste ou singulière. Cela ne constitue ni une noblesse biologique, ni une garantie que le cinq étoiles est meilleur dans tous les rôles.</w:t>
      </w:r>
    </w:p>
    <w:p>
      <w:r>
        <w:br w:type="page"/>
      </w:r>
    </w:p>
    <w:p>
      <w:pPr>
        <w:spacing w:after="60"/>
      </w:pPr>
      <w:r>
        <w:rPr>
          <w:rFonts w:ascii="Arial" w:hAnsi="Arial"/>
          <w:b/>
          <w:color w:val="677784"/>
          <w:sz w:val="16"/>
        </w:rPr>
        <w:t>CAS LIMITES ET PROGRESSION</w:t>
      </w:r>
    </w:p>
    <w:p>
      <w:bookmarkStart w:id="21" w:name="section_21"/>
      <w:pPr>
        <w:pStyle w:val="Heading1"/>
      </w:pPr>
      <w:r>
        <w:t>20 — Gacha : règles à ne pas contourner</w:t>
      </w:r>
      <w:bookmarkEnd w:id="21"/>
    </w:p>
    <w:tbl>
      <w:tblPr>
        <w:tblW w:type="auto" w:w="0"/>
        <w:jc w:val="center"/>
        <w:tblLayout w:type="fixed"/>
        <w:tblLook w:firstColumn="1" w:firstRow="1" w:lastColumn="0" w:lastRow="0" w:noHBand="0" w:noVBand="1" w:val="04A0"/>
      </w:tblPr>
      <w:tblGrid>
        <w:gridCol w:w="2494"/>
        <w:gridCol w:w="7370"/>
      </w:tblGrid>
      <w:tr>
        <w:trPr>
          <w:tblHeader/>
        </w:trPr>
        <w:tc>
          <w:tcPr>
            <w:tcW w:type="dxa" w:w="2494"/>
            <w:vAlign w:val="center"/>
            <w:shd w:fill="253A52"/>
            <w:tcMar>
              <w:top w:w="65" w:type="dxa"/>
              <w:left w:w="95" w:type="dxa"/>
              <w:bottom w:w="65" w:type="dxa"/>
              <w:right w:w="95" w:type="dxa"/>
            </w:tcMar>
          </w:tcPr>
          <w:p>
            <w:pPr>
              <w:pStyle w:val="TableText"/>
            </w:pPr>
            <w:r>
              <w:rPr>
                <w:rFonts w:ascii="Arial" w:hAnsi="Arial"/>
                <w:b/>
                <w:color w:val="FFFFFF"/>
              </w:rPr>
              <w:t>Situation</w:t>
            </w:r>
          </w:p>
        </w:tc>
        <w:tc>
          <w:tcPr>
            <w:tcW w:type="dxa" w:w="7370"/>
            <w:vAlign w:val="center"/>
            <w:shd w:fill="253A52"/>
            <w:tcMar>
              <w:top w:w="65" w:type="dxa"/>
              <w:left w:w="95" w:type="dxa"/>
              <w:bottom w:w="65" w:type="dxa"/>
              <w:right w:w="95" w:type="dxa"/>
            </w:tcMar>
          </w:tcPr>
          <w:p>
            <w:pPr>
              <w:pStyle w:val="TableText"/>
            </w:pPr>
            <w:r>
              <w:rPr>
                <w:rFonts w:ascii="Arial" w:hAnsi="Arial"/>
                <w:b/>
                <w:color w:val="FFFFFF"/>
              </w:rPr>
              <w:t>Décision de conception</w:t>
            </w:r>
          </w:p>
        </w:tc>
      </w:tr>
      <w:tr>
        <w:trPr>
          <w:cantSplit/>
        </w:trPr>
        <w:tc>
          <w:tcPr>
            <w:tcW w:type="dxa" w:w="2494"/>
            <w:vAlign w:val="top"/>
            <w:shd w:fill="F1F5F7"/>
            <w:tcMar>
              <w:top w:w="65" w:type="dxa"/>
              <w:left w:w="95" w:type="dxa"/>
              <w:bottom w:w="65" w:type="dxa"/>
              <w:right w:w="95" w:type="dxa"/>
            </w:tcMar>
          </w:tcPr>
          <w:p>
            <w:pPr>
              <w:pStyle w:val="TableText"/>
            </w:pPr>
            <w:r>
              <w:rPr>
                <w:rFonts w:ascii="Arial" w:hAnsi="Arial"/>
                <w:b w:val="0"/>
              </w:rPr>
              <w:t>Personnage non rencontré</w:t>
            </w:r>
          </w:p>
        </w:tc>
        <w:tc>
          <w:tcPr>
            <w:tcW w:type="dxa" w:w="7370"/>
            <w:vAlign w:val="top"/>
            <w:shd w:fill="F1F5F7"/>
            <w:tcMar>
              <w:top w:w="65" w:type="dxa"/>
              <w:left w:w="95" w:type="dxa"/>
              <w:bottom w:w="65" w:type="dxa"/>
              <w:right w:w="95" w:type="dxa"/>
            </w:tcMar>
          </w:tcPr>
          <w:p>
            <w:pPr>
              <w:pStyle w:val="TableText"/>
            </w:pPr>
            <w:r>
              <w:rPr>
                <w:rFonts w:ascii="Arial" w:hAnsi="Arial"/>
                <w:b w:val="0"/>
              </w:rPr>
              <w:t>Absent du pool personnel. L’affiche d’une bannière ne vaut jamais rencontre. Le jeu propose sa quête de présentation uniquement lorsqu’elle est accessible sans casser la chronologie.</w:t>
            </w:r>
          </w:p>
        </w:tc>
      </w:tr>
      <w:tr>
        <w:trPr>
          <w:cantSplit/>
        </w:trPr>
        <w:tc>
          <w:tcPr>
            <w:tcW w:type="dxa" w:w="2494"/>
            <w:vAlign w:val="top"/>
            <w:shd w:fill="FFFFFF"/>
            <w:tcMar>
              <w:top w:w="65" w:type="dxa"/>
              <w:left w:w="95" w:type="dxa"/>
              <w:bottom w:w="65" w:type="dxa"/>
              <w:right w:w="95" w:type="dxa"/>
            </w:tcMar>
          </w:tcPr>
          <w:p>
            <w:pPr>
              <w:pStyle w:val="TableText"/>
            </w:pPr>
            <w:r>
              <w:rPr>
                <w:rFonts w:ascii="Arial" w:hAnsi="Arial"/>
                <w:b w:val="0"/>
              </w:rPr>
              <w:t>Rencontré mais encore ennemi</w:t>
            </w:r>
          </w:p>
        </w:tc>
        <w:tc>
          <w:tcPr>
            <w:tcW w:type="dxa" w:w="7370"/>
            <w:vAlign w:val="top"/>
            <w:shd w:fill="FFFFFF"/>
            <w:tcMar>
              <w:top w:w="65" w:type="dxa"/>
              <w:left w:w="95" w:type="dxa"/>
              <w:bottom w:w="65" w:type="dxa"/>
              <w:right w:w="95" w:type="dxa"/>
            </w:tcMar>
          </w:tcPr>
          <w:p>
            <w:pPr>
              <w:pStyle w:val="TableText"/>
            </w:pPr>
            <w:r>
              <w:rPr>
                <w:rFonts w:ascii="Arial" w:hAnsi="Arial"/>
                <w:b w:val="0"/>
              </w:rPr>
              <w:t>Inéligible tant qu’un pacte de coopération n’est pas établi. Saren en est le cas de référence.</w:t>
            </w:r>
          </w:p>
        </w:tc>
      </w:tr>
      <w:tr>
        <w:trPr>
          <w:cantSplit/>
        </w:trPr>
        <w:tc>
          <w:tcPr>
            <w:tcW w:type="dxa" w:w="2494"/>
            <w:vAlign w:val="top"/>
            <w:shd w:fill="F1F5F7"/>
            <w:tcMar>
              <w:top w:w="65" w:type="dxa"/>
              <w:left w:w="95" w:type="dxa"/>
              <w:bottom w:w="65" w:type="dxa"/>
              <w:right w:w="95" w:type="dxa"/>
            </w:tcMar>
          </w:tcPr>
          <w:p>
            <w:pPr>
              <w:pStyle w:val="TableText"/>
            </w:pPr>
            <w:r>
              <w:rPr>
                <w:rFonts w:ascii="Arial" w:hAnsi="Arial"/>
                <w:b w:val="0"/>
              </w:rPr>
              <w:t>Personnage indispensable au chapitre</w:t>
            </w:r>
          </w:p>
        </w:tc>
        <w:tc>
          <w:tcPr>
            <w:tcW w:type="dxa" w:w="7370"/>
            <w:vAlign w:val="top"/>
            <w:shd w:fill="F1F5F7"/>
            <w:tcMar>
              <w:top w:w="65" w:type="dxa"/>
              <w:left w:w="95" w:type="dxa"/>
              <w:bottom w:w="65" w:type="dxa"/>
              <w:right w:w="95" w:type="dxa"/>
            </w:tcMar>
          </w:tcPr>
          <w:p>
            <w:pPr>
              <w:pStyle w:val="TableText"/>
            </w:pPr>
            <w:r>
              <w:rPr>
                <w:rFonts w:ascii="Arial" w:hAnsi="Arial"/>
                <w:b w:val="0"/>
              </w:rPr>
              <w:t>Fourni par l’histoire ou disponible en personnage d’essai. Aucune bonne ou vraie fin n’exige un tirage chanceux.</w:t>
            </w:r>
          </w:p>
        </w:tc>
      </w:tr>
      <w:tr>
        <w:trPr>
          <w:cantSplit/>
        </w:trPr>
        <w:tc>
          <w:tcPr>
            <w:tcW w:type="dxa" w:w="2494"/>
            <w:vAlign w:val="top"/>
            <w:shd w:fill="FFFFFF"/>
            <w:tcMar>
              <w:top w:w="65" w:type="dxa"/>
              <w:left w:w="95" w:type="dxa"/>
              <w:bottom w:w="65" w:type="dxa"/>
              <w:right w:w="95" w:type="dxa"/>
            </w:tcMar>
          </w:tcPr>
          <w:p>
            <w:pPr>
              <w:pStyle w:val="TableText"/>
            </w:pPr>
            <w:r>
              <w:rPr>
                <w:rFonts w:ascii="Arial" w:hAnsi="Arial"/>
                <w:b w:val="0"/>
              </w:rPr>
              <w:t>Bannière avant sa région</w:t>
            </w:r>
          </w:p>
        </w:tc>
        <w:tc>
          <w:tcPr>
            <w:tcW w:type="dxa" w:w="7370"/>
            <w:vAlign w:val="top"/>
            <w:shd w:fill="FFFFFF"/>
            <w:tcMar>
              <w:top w:w="65" w:type="dxa"/>
              <w:left w:w="95" w:type="dxa"/>
              <w:bottom w:w="65" w:type="dxa"/>
              <w:right w:w="95" w:type="dxa"/>
            </w:tcMar>
          </w:tcPr>
          <w:p>
            <w:pPr>
              <w:pStyle w:val="TableText"/>
            </w:pPr>
            <w:r>
              <w:rPr>
                <w:rFonts w:ascii="Arial" w:hAnsi="Arial"/>
                <w:b w:val="0"/>
              </w:rPr>
              <w:t>Le joueur peut consulter une version non divulgâchante ou attendre le déblocage. La bannière personnelle commence après les prérequis plutôt que forcer une rencontre prématurée.</w:t>
            </w:r>
          </w:p>
        </w:tc>
      </w:tr>
      <w:tr>
        <w:trPr>
          <w:cantSplit/>
        </w:trPr>
        <w:tc>
          <w:tcPr>
            <w:tcW w:type="dxa" w:w="2494"/>
            <w:vAlign w:val="top"/>
            <w:shd w:fill="F1F5F7"/>
            <w:tcMar>
              <w:top w:w="65" w:type="dxa"/>
              <w:left w:w="95" w:type="dxa"/>
              <w:bottom w:w="65" w:type="dxa"/>
              <w:right w:w="95" w:type="dxa"/>
            </w:tcMar>
          </w:tcPr>
          <w:p>
            <w:pPr>
              <w:pStyle w:val="TableText"/>
            </w:pPr>
            <w:r>
              <w:rPr>
                <w:rFonts w:ascii="Arial" w:hAnsi="Arial"/>
                <w:b w:val="0"/>
              </w:rPr>
              <w:t>Pool vide ou cible verrouillée</w:t>
            </w:r>
          </w:p>
        </w:tc>
        <w:tc>
          <w:tcPr>
            <w:tcW w:type="dxa" w:w="7370"/>
            <w:vAlign w:val="top"/>
            <w:shd w:fill="F1F5F7"/>
            <w:tcMar>
              <w:top w:w="65" w:type="dxa"/>
              <w:left w:w="95" w:type="dxa"/>
              <w:bottom w:w="65" w:type="dxa"/>
              <w:right w:w="95" w:type="dxa"/>
            </w:tcMar>
          </w:tcPr>
          <w:p>
            <w:pPr>
              <w:pStyle w:val="TableText"/>
            </w:pPr>
            <w:r>
              <w:rPr>
                <w:rFonts w:ascii="Arial" w:hAnsi="Arial"/>
                <w:b w:val="0"/>
              </w:rPr>
              <w:t>Le tirage est empêché avant toute dépense. L’interface explique quel prérequis manque. Aucun coût n’est consommé pour une tentative impossible.</w:t>
            </w:r>
          </w:p>
        </w:tc>
      </w:tr>
      <w:tr>
        <w:trPr>
          <w:cantSplit/>
        </w:trPr>
        <w:tc>
          <w:tcPr>
            <w:tcW w:type="dxa" w:w="2494"/>
            <w:vAlign w:val="top"/>
            <w:shd w:fill="FFFFFF"/>
            <w:tcMar>
              <w:top w:w="65" w:type="dxa"/>
              <w:left w:w="95" w:type="dxa"/>
              <w:bottom w:w="65" w:type="dxa"/>
              <w:right w:w="95" w:type="dxa"/>
            </w:tcMar>
          </w:tcPr>
          <w:p>
            <w:pPr>
              <w:pStyle w:val="TableText"/>
            </w:pPr>
            <w:r>
              <w:rPr>
                <w:rFonts w:ascii="Arial" w:hAnsi="Arial"/>
                <w:b w:val="0"/>
              </w:rPr>
              <w:t>Garantie / compteur</w:t>
            </w:r>
          </w:p>
        </w:tc>
        <w:tc>
          <w:tcPr>
            <w:tcW w:type="dxa" w:w="7370"/>
            <w:vAlign w:val="top"/>
            <w:shd w:fill="FFFFFF"/>
            <w:tcMar>
              <w:top w:w="65" w:type="dxa"/>
              <w:left w:w="95" w:type="dxa"/>
              <w:bottom w:w="65" w:type="dxa"/>
              <w:right w:w="95" w:type="dxa"/>
            </w:tcMar>
          </w:tcPr>
          <w:p>
            <w:pPr>
              <w:pStyle w:val="TableText"/>
            </w:pPr>
            <w:r>
              <w:rPr>
                <w:rFonts w:ascii="Arial" w:hAnsi="Arial"/>
                <w:b w:val="0"/>
              </w:rPr>
              <w:t>Les tirages admissibles alimentent une garantie lisible. Le déblocage d’un nouveau personnage ne réinitialise pas arbitrairement les progrès déjà acquis.</w:t>
            </w:r>
          </w:p>
        </w:tc>
      </w:tr>
      <w:tr>
        <w:trPr>
          <w:cantSplit/>
        </w:trPr>
        <w:tc>
          <w:tcPr>
            <w:tcW w:type="dxa" w:w="2494"/>
            <w:vAlign w:val="top"/>
            <w:shd w:fill="F1F5F7"/>
            <w:tcMar>
              <w:top w:w="65" w:type="dxa"/>
              <w:left w:w="95" w:type="dxa"/>
              <w:bottom w:w="65" w:type="dxa"/>
              <w:right w:w="95" w:type="dxa"/>
            </w:tcMar>
          </w:tcPr>
          <w:p>
            <w:pPr>
              <w:pStyle w:val="TableText"/>
            </w:pPr>
            <w:r>
              <w:rPr>
                <w:rFonts w:ascii="Arial" w:hAnsi="Arial"/>
                <w:b w:val="0"/>
              </w:rPr>
              <w:t>Doublons au plafond</w:t>
            </w:r>
          </w:p>
        </w:tc>
        <w:tc>
          <w:tcPr>
            <w:tcW w:type="dxa" w:w="7370"/>
            <w:vAlign w:val="top"/>
            <w:shd w:fill="F1F5F7"/>
            <w:tcMar>
              <w:top w:w="65" w:type="dxa"/>
              <w:left w:w="95" w:type="dxa"/>
              <w:bottom w:w="65" w:type="dxa"/>
              <w:right w:w="95" w:type="dxa"/>
            </w:tcMar>
          </w:tcPr>
          <w:p>
            <w:pPr>
              <w:pStyle w:val="TableText"/>
            </w:pPr>
            <w:r>
              <w:rPr>
                <w:rFonts w:ascii="Arial" w:hAnsi="Arial"/>
                <w:b w:val="0"/>
              </w:rPr>
              <w:t>Ils sont convertis en une ressource utile de perfectionnement. Les valeurs économiques sont à équilibrer séparément, sans les inventer comme contraintes de lore.</w:t>
            </w:r>
          </w:p>
        </w:tc>
      </w:tr>
      <w:tr>
        <w:trPr>
          <w:cantSplit/>
        </w:trPr>
        <w:tc>
          <w:tcPr>
            <w:tcW w:type="dxa" w:w="2494"/>
            <w:vAlign w:val="top"/>
            <w:shd w:fill="FFFFFF"/>
            <w:tcMar>
              <w:top w:w="65" w:type="dxa"/>
              <w:left w:w="95" w:type="dxa"/>
              <w:bottom w:w="65" w:type="dxa"/>
              <w:right w:w="95" w:type="dxa"/>
            </w:tcMar>
          </w:tcPr>
          <w:p>
            <w:pPr>
              <w:pStyle w:val="TableText"/>
            </w:pPr>
            <w:r>
              <w:rPr>
                <w:rFonts w:ascii="Arial" w:hAnsi="Arial"/>
                <w:b w:val="0"/>
              </w:rPr>
              <w:t>Allié occupé ailleurs</w:t>
            </w:r>
          </w:p>
        </w:tc>
        <w:tc>
          <w:tcPr>
            <w:tcW w:type="dxa" w:w="7370"/>
            <w:vAlign w:val="top"/>
            <w:shd w:fill="FFFFFF"/>
            <w:tcMar>
              <w:top w:w="65" w:type="dxa"/>
              <w:left w:w="95" w:type="dxa"/>
              <w:bottom w:w="65" w:type="dxa"/>
              <w:right w:w="95" w:type="dxa"/>
            </w:tcMar>
          </w:tcPr>
          <w:p>
            <w:pPr>
              <w:pStyle w:val="TableText"/>
            </w:pPr>
            <w:r>
              <w:rPr>
                <w:rFonts w:ascii="Arial" w:hAnsi="Arial"/>
                <w:b w:val="0"/>
              </w:rPr>
              <w:t>Les missions déployées ont une continuité cohérente. Le montage de gameplay peut condenser des déplacements ; il ne faut pas écrire simultanément le même individu dans deux lieux incompatibles.</w:t>
            </w:r>
          </w:p>
        </w:tc>
      </w:tr>
      <w:tr>
        <w:trPr>
          <w:cantSplit/>
        </w:trPr>
        <w:tc>
          <w:tcPr>
            <w:tcW w:type="dxa" w:w="2494"/>
            <w:vAlign w:val="top"/>
            <w:shd w:fill="F1F5F7"/>
            <w:tcMar>
              <w:top w:w="65" w:type="dxa"/>
              <w:left w:w="95" w:type="dxa"/>
              <w:bottom w:w="65" w:type="dxa"/>
              <w:right w:w="95" w:type="dxa"/>
            </w:tcMar>
          </w:tcPr>
          <w:p>
            <w:pPr>
              <w:pStyle w:val="TableText"/>
            </w:pPr>
            <w:r>
              <w:rPr>
                <w:rFonts w:ascii="Arial" w:hAnsi="Arial"/>
                <w:b w:val="0"/>
              </w:rPr>
              <w:t>Défaite en combat</w:t>
            </w:r>
          </w:p>
        </w:tc>
        <w:tc>
          <w:tcPr>
            <w:tcW w:type="dxa" w:w="7370"/>
            <w:vAlign w:val="top"/>
            <w:shd w:fill="F1F5F7"/>
            <w:tcMar>
              <w:top w:w="65" w:type="dxa"/>
              <w:left w:w="95" w:type="dxa"/>
              <w:bottom w:w="65" w:type="dxa"/>
              <w:right w:w="95" w:type="dxa"/>
            </w:tcMar>
          </w:tcPr>
          <w:p>
            <w:pPr>
              <w:pStyle w:val="TableText"/>
            </w:pPr>
            <w:r>
              <w:rPr>
                <w:rFonts w:ascii="Arial" w:hAnsi="Arial"/>
                <w:b w:val="0"/>
              </w:rPr>
              <w:t>Dans les activités répétables, elle représente normalement retraite ou incapacité, pas une mort suivie d’une résurrection canonique systématique.</w:t>
            </w:r>
          </w:p>
        </w:tc>
      </w:tr>
      <w:tr>
        <w:trPr>
          <w:cantSplit/>
        </w:trPr>
        <w:tc>
          <w:tcPr>
            <w:tcW w:type="dxa" w:w="2494"/>
            <w:vAlign w:val="top"/>
            <w:shd w:fill="FFFFFF"/>
            <w:tcMar>
              <w:top w:w="65" w:type="dxa"/>
              <w:left w:w="95" w:type="dxa"/>
              <w:bottom w:w="65" w:type="dxa"/>
              <w:right w:w="95" w:type="dxa"/>
            </w:tcMar>
          </w:tcPr>
          <w:p>
            <w:pPr>
              <w:pStyle w:val="TableText"/>
            </w:pPr>
            <w:r>
              <w:rPr>
                <w:rFonts w:ascii="Arial" w:hAnsi="Arial"/>
                <w:b w:val="0"/>
              </w:rPr>
              <w:t>Mort dans une quête future</w:t>
            </w:r>
          </w:p>
        </w:tc>
        <w:tc>
          <w:tcPr>
            <w:tcW w:type="dxa" w:w="7370"/>
            <w:vAlign w:val="top"/>
            <w:shd w:fill="FFFFFF"/>
            <w:tcMar>
              <w:top w:w="65" w:type="dxa"/>
              <w:left w:w="95" w:type="dxa"/>
              <w:bottom w:w="65" w:type="dxa"/>
              <w:right w:w="95" w:type="dxa"/>
            </w:tcMar>
          </w:tcPr>
          <w:p>
            <w:pPr>
              <w:pStyle w:val="TableText"/>
            </w:pPr>
            <w:r>
              <w:rPr>
                <w:rFonts w:ascii="Arial" w:hAnsi="Arial"/>
                <w:b w:val="0"/>
              </w:rPr>
              <w:t>Ne pas tuer définitivement un membre central recruté puis prétendre que la collection le ressuscite. Les défis historiques peuvent rester jouables comme reconstitutions explicitement non contemporaines.</w:t>
            </w:r>
          </w:p>
        </w:tc>
      </w:tr>
      <w:tr>
        <w:trPr>
          <w:cantSplit/>
        </w:trPr>
        <w:tc>
          <w:tcPr>
            <w:tcW w:type="dxa" w:w="2494"/>
            <w:vAlign w:val="top"/>
            <w:shd w:fill="F1F5F7"/>
            <w:tcMar>
              <w:top w:w="65" w:type="dxa"/>
              <w:left w:w="95" w:type="dxa"/>
              <w:bottom w:w="65" w:type="dxa"/>
              <w:right w:w="95" w:type="dxa"/>
            </w:tcMar>
          </w:tcPr>
          <w:p>
            <w:pPr>
              <w:pStyle w:val="TableText"/>
            </w:pPr>
            <w:r>
              <w:rPr>
                <w:rFonts w:ascii="Arial" w:hAnsi="Arial"/>
                <w:b w:val="0"/>
              </w:rPr>
              <w:t>Personnages de même rareté</w:t>
            </w:r>
          </w:p>
        </w:tc>
        <w:tc>
          <w:tcPr>
            <w:tcW w:type="dxa" w:w="7370"/>
            <w:vAlign w:val="top"/>
            <w:shd w:fill="F1F5F7"/>
            <w:tcMar>
              <w:top w:w="65" w:type="dxa"/>
              <w:left w:w="95" w:type="dxa"/>
              <w:bottom w:w="65" w:type="dxa"/>
              <w:right w:w="95" w:type="dxa"/>
            </w:tcMar>
          </w:tcPr>
          <w:p>
            <w:pPr>
              <w:pStyle w:val="TableText"/>
            </w:pPr>
            <w:r>
              <w:rPr>
                <w:rFonts w:ascii="Arial" w:hAnsi="Arial"/>
                <w:b w:val="0"/>
              </w:rPr>
              <w:t>La variété vient des rôles, des synergies et des choix, non d’une succession de nouveaux élus toujours plus puissants.</w:t>
            </w:r>
          </w:p>
        </w:tc>
      </w:tr>
      <w:tr>
        <w:trPr>
          <w:cantSplit/>
        </w:trPr>
        <w:tc>
          <w:tcPr>
            <w:tcW w:type="dxa" w:w="2494"/>
            <w:vAlign w:val="top"/>
            <w:shd w:fill="FFFFFF"/>
            <w:tcMar>
              <w:top w:w="65" w:type="dxa"/>
              <w:left w:w="95" w:type="dxa"/>
              <w:bottom w:w="65" w:type="dxa"/>
              <w:right w:w="95" w:type="dxa"/>
            </w:tcMar>
          </w:tcPr>
          <w:p>
            <w:pPr>
              <w:pStyle w:val="TableText"/>
            </w:pPr>
            <w:r>
              <w:rPr>
                <w:rFonts w:ascii="Arial" w:hAnsi="Arial"/>
                <w:b w:val="0"/>
              </w:rPr>
              <w:t>Sauvetage de C₁</w:t>
            </w:r>
          </w:p>
        </w:tc>
        <w:tc>
          <w:tcPr>
            <w:tcW w:type="dxa" w:w="7370"/>
            <w:vAlign w:val="top"/>
            <w:shd w:fill="FFFFFF"/>
            <w:tcMar>
              <w:top w:w="65" w:type="dxa"/>
              <w:left w:w="95" w:type="dxa"/>
              <w:bottom w:w="65" w:type="dxa"/>
              <w:right w:w="95" w:type="dxa"/>
            </w:tcMar>
          </w:tcPr>
          <w:p>
            <w:pPr>
              <w:pStyle w:val="TableText"/>
            </w:pPr>
            <w:r>
              <w:rPr>
                <w:rFonts w:ascii="Arial" w:hAnsi="Arial"/>
                <w:b w:val="0"/>
              </w:rPr>
              <w:t>Garanti par la campagne réussie et ses choix scénaristiques. Le partenaire peut ensuite être obtenu gratuitement ; sa relation n’est jamais une récompense aléatoire.</w:t>
            </w:r>
          </w:p>
        </w:tc>
      </w:tr>
    </w:tbl>
    <w:p>
      <w:pPr>
        <w:spacing w:after="0"/>
      </w:pPr>
    </w:p>
    <w:p>
      <w:r>
        <w:rPr>
          <w:rFonts w:ascii="Arial" w:hAnsi="Arial"/>
          <w:b/>
        </w:rPr>
        <w:t>Progression générale :</w:t>
      </w:r>
      <w:r>
        <w:rPr>
          <w:rFonts w:ascii="Arial" w:hAnsi="Arial"/>
          <w:b w:val="0"/>
        </w:rPr>
        <w:t xml:space="preserve"> niveaux = entraînement ; équipements = artisanat ; talents = maîtrise d’un accord ; équipes = coopération ; ressources = économie réelle d’Orthe. Les systèmes peuvent reprendre l’architecture de gameplay du projet existant, mais les noms et les justifications doivent rester propres à ce nouvel univers.</w:t>
      </w:r>
    </w:p>
    <w:p>
      <w:r>
        <w:br w:type="page"/>
      </w:r>
    </w:p>
    <w:p>
      <w:pPr>
        <w:spacing w:after="60"/>
      </w:pPr>
      <w:r>
        <w:rPr>
          <w:rFonts w:ascii="Arial" w:hAnsi="Arial"/>
          <w:b/>
          <w:color w:val="677784"/>
          <w:sz w:val="16"/>
        </w:rPr>
        <w:t>SYNOPSIS DE CAMPAGNE • ACTE I</w:t>
      </w:r>
    </w:p>
    <w:p>
      <w:bookmarkStart w:id="22" w:name="section_22"/>
      <w:pPr>
        <w:pStyle w:val="Heading1"/>
      </w:pPr>
      <w:r>
        <w:t>21 — Chapitres 0 à 4</w:t>
      </w:r>
      <w:bookmarkEnd w:id="22"/>
    </w:p>
    <w:tbl>
      <w:tblPr>
        <w:tblW w:type="auto" w:w="0"/>
        <w:jc w:val="center"/>
        <w:tblLayout w:type="fixed"/>
        <w:tblLook w:firstColumn="1" w:firstRow="1" w:lastColumn="0" w:lastRow="0" w:noHBand="0" w:noVBand="1" w:val="04A0"/>
      </w:tblPr>
      <w:tblGrid>
        <w:gridCol w:w="2353"/>
        <w:gridCol w:w="7512"/>
      </w:tblGrid>
      <w:tr>
        <w:trPr>
          <w:tblHeader/>
        </w:trPr>
        <w:tc>
          <w:tcPr>
            <w:tcW w:type="dxa" w:w="2353"/>
            <w:vAlign w:val="center"/>
            <w:shd w:fill="253A52"/>
            <w:tcMar>
              <w:top w:w="65" w:type="dxa"/>
              <w:left w:w="95" w:type="dxa"/>
              <w:bottom w:w="65" w:type="dxa"/>
              <w:right w:w="95" w:type="dxa"/>
            </w:tcMar>
          </w:tcPr>
          <w:p>
            <w:pPr>
              <w:pStyle w:val="TableText"/>
            </w:pPr>
            <w:r>
              <w:rPr>
                <w:rFonts w:ascii="Arial" w:hAnsi="Arial"/>
                <w:b/>
                <w:color w:val="FFFFFF"/>
              </w:rPr>
              <w:t>Chapitre</w:t>
            </w:r>
          </w:p>
        </w:tc>
        <w:tc>
          <w:tcPr>
            <w:tcW w:type="dxa" w:w="7512"/>
            <w:vAlign w:val="center"/>
            <w:shd w:fill="253A52"/>
            <w:tcMar>
              <w:top w:w="65" w:type="dxa"/>
              <w:left w:w="95" w:type="dxa"/>
              <w:bottom w:w="65" w:type="dxa"/>
              <w:right w:w="95" w:type="dxa"/>
            </w:tcMar>
          </w:tcPr>
          <w:p>
            <w:pPr>
              <w:pStyle w:val="TableText"/>
            </w:pPr>
            <w:r>
              <w:rPr>
                <w:rFonts w:ascii="Arial" w:hAnsi="Arial"/>
                <w:b/>
                <w:color w:val="FFFFFF"/>
              </w:rPr>
              <w:t>Résumé, révélation et conséquence</w:t>
            </w:r>
          </w:p>
        </w:tc>
      </w:tr>
      <w:tr>
        <w:trPr>
          <w:cantSplit/>
        </w:trPr>
        <w:tc>
          <w:tcPr>
            <w:tcW w:type="dxa" w:w="2353"/>
            <w:vAlign w:val="top"/>
            <w:shd w:fill="F1F5F7"/>
            <w:tcMar>
              <w:top w:w="65" w:type="dxa"/>
              <w:left w:w="95" w:type="dxa"/>
              <w:bottom w:w="65" w:type="dxa"/>
              <w:right w:w="95" w:type="dxa"/>
            </w:tcMar>
          </w:tcPr>
          <w:p>
            <w:pPr>
              <w:pStyle w:val="TableText"/>
            </w:pPr>
            <w:r>
              <w:rPr>
                <w:rFonts w:ascii="Arial" w:hAnsi="Arial"/>
                <w:b/>
              </w:rPr>
              <w:t>0 — Une place à côté de toi</w:t>
            </w:r>
          </w:p>
        </w:tc>
        <w:tc>
          <w:tcPr>
            <w:tcW w:type="dxa" w:w="7512"/>
            <w:vAlign w:val="top"/>
            <w:shd w:fill="F1F5F7"/>
            <w:tcMar>
              <w:top w:w="65" w:type="dxa"/>
              <w:left w:w="95" w:type="dxa"/>
              <w:bottom w:w="65" w:type="dxa"/>
              <w:right w:w="95" w:type="dxa"/>
            </w:tcMar>
          </w:tcPr>
          <w:p>
            <w:pPr>
              <w:pStyle w:val="TableText"/>
            </w:pPr>
            <w:r>
              <w:rPr>
                <w:rFonts w:ascii="Arial" w:hAnsi="Arial"/>
                <w:b w:val="0"/>
              </w:rPr>
              <w:t>Un bref souvenir partagé et une scène de travail présentent le couple avant le drame. L’anneau témoin s’allume ; l’assaillant apparaît. C utilise un geste défensif que H ne comprend pas, s’interpose et tombe. Nacre détourne H vers un passage. Le jeu n’explique pas encore qu’il s’agit de A₁, mais montre l’anneau et un reste lumineux au niveau du partenaire.</w:t>
            </w:r>
          </w:p>
        </w:tc>
      </w:tr>
      <w:tr>
        <w:trPr>
          <w:cantSplit/>
        </w:trPr>
        <w:tc>
          <w:tcPr>
            <w:tcW w:type="dxa" w:w="2353"/>
            <w:vAlign w:val="top"/>
            <w:shd w:fill="FFFFFF"/>
            <w:tcMar>
              <w:top w:w="65" w:type="dxa"/>
              <w:left w:w="95" w:type="dxa"/>
              <w:bottom w:w="65" w:type="dxa"/>
              <w:right w:w="95" w:type="dxa"/>
            </w:tcMar>
          </w:tcPr>
          <w:p>
            <w:pPr>
              <w:pStyle w:val="TableText"/>
            </w:pPr>
            <w:r>
              <w:rPr>
                <w:rFonts w:ascii="Arial" w:hAnsi="Arial"/>
                <w:b/>
              </w:rPr>
              <w:t>1 — Ceux qui prononcent ton nom</w:t>
            </w:r>
          </w:p>
        </w:tc>
        <w:tc>
          <w:tcPr>
            <w:tcW w:type="dxa" w:w="7512"/>
            <w:vAlign w:val="top"/>
            <w:shd w:fill="FFFFFF"/>
            <w:tcMar>
              <w:top w:w="65" w:type="dxa"/>
              <w:left w:w="95" w:type="dxa"/>
              <w:bottom w:w="65" w:type="dxa"/>
              <w:right w:w="95" w:type="dxa"/>
            </w:tcMar>
          </w:tcPr>
          <w:p>
            <w:pPr>
              <w:pStyle w:val="TableText"/>
            </w:pPr>
            <w:r>
              <w:rPr>
                <w:rFonts w:ascii="Arial" w:hAnsi="Arial"/>
                <w:b w:val="0"/>
              </w:rPr>
              <w:t>Au Havre, des habitants reconnaissent H et le voient pourtant inexpérimenté. Nacre vérifie le présent : quatorze ans ont passé dans le monde extérieur. Elle reconnaît avoir été construite par une autre continuation de sa vie. L’objectif immédiat devient survivre et chercher une possibilité crédible pour C, non résoudre toute la cosmologie.</w:t>
            </w:r>
          </w:p>
        </w:tc>
      </w:tr>
      <w:tr>
        <w:trPr>
          <w:cantSplit/>
        </w:trPr>
        <w:tc>
          <w:tcPr>
            <w:tcW w:type="dxa" w:w="2353"/>
            <w:vAlign w:val="top"/>
            <w:shd w:fill="F1F5F7"/>
            <w:tcMar>
              <w:top w:w="65" w:type="dxa"/>
              <w:left w:w="95" w:type="dxa"/>
              <w:bottom w:w="65" w:type="dxa"/>
              <w:right w:w="95" w:type="dxa"/>
            </w:tcMar>
          </w:tcPr>
          <w:p>
            <w:pPr>
              <w:pStyle w:val="TableText"/>
            </w:pPr>
            <w:r>
              <w:rPr>
                <w:rFonts w:ascii="Arial" w:hAnsi="Arial"/>
                <w:b/>
              </w:rPr>
              <w:t>2 — Le prix d’un refuge</w:t>
            </w:r>
          </w:p>
        </w:tc>
        <w:tc>
          <w:tcPr>
            <w:tcW w:type="dxa" w:w="7512"/>
            <w:vAlign w:val="top"/>
            <w:shd w:fill="F1F5F7"/>
            <w:tcMar>
              <w:top w:w="65" w:type="dxa"/>
              <w:left w:w="95" w:type="dxa"/>
              <w:bottom w:w="65" w:type="dxa"/>
              <w:right w:w="95" w:type="dxa"/>
            </w:tcMar>
          </w:tcPr>
          <w:p>
            <w:pPr>
              <w:pStyle w:val="TableText"/>
            </w:pPr>
            <w:r>
              <w:rPr>
                <w:rFonts w:ascii="Arial" w:hAnsi="Arial"/>
                <w:b w:val="0"/>
              </w:rPr>
              <w:t>H participe à une évacuation et apprend le premier réaccord avec Varek. Yselle exige qu’il protège les réfugiés avant de réquisitionner les routes. Le camp et le groupe se mettent en place. Un portrait de H₀ rend concrète la différence entre le visage connu et la personne présente.</w:t>
            </w:r>
          </w:p>
        </w:tc>
      </w:tr>
      <w:tr>
        <w:trPr>
          <w:cantSplit/>
        </w:trPr>
        <w:tc>
          <w:tcPr>
            <w:tcW w:type="dxa" w:w="2353"/>
            <w:vAlign w:val="top"/>
            <w:shd w:fill="FFFFFF"/>
            <w:tcMar>
              <w:top w:w="65" w:type="dxa"/>
              <w:left w:w="95" w:type="dxa"/>
              <w:bottom w:w="65" w:type="dxa"/>
              <w:right w:w="95" w:type="dxa"/>
            </w:tcMar>
          </w:tcPr>
          <w:p>
            <w:pPr>
              <w:pStyle w:val="TableText"/>
            </w:pPr>
            <w:r>
              <w:rPr>
                <w:rFonts w:ascii="Arial" w:hAnsi="Arial"/>
                <w:b/>
              </w:rPr>
              <w:t>3 — Les absents ont une voix</w:t>
            </w:r>
          </w:p>
        </w:tc>
        <w:tc>
          <w:tcPr>
            <w:tcW w:type="dxa" w:w="7512"/>
            <w:vAlign w:val="top"/>
            <w:shd w:fill="FFFFFF"/>
            <w:tcMar>
              <w:top w:w="65" w:type="dxa"/>
              <w:left w:w="95" w:type="dxa"/>
              <w:bottom w:w="65" w:type="dxa"/>
              <w:right w:w="95" w:type="dxa"/>
            </w:tcMar>
          </w:tcPr>
          <w:p>
            <w:pPr>
              <w:pStyle w:val="TableText"/>
            </w:pPr>
            <w:r>
              <w:rPr>
                <w:rFonts w:ascii="Arial" w:hAnsi="Arial"/>
                <w:b w:val="0"/>
              </w:rPr>
              <w:t>Aux Palais de Sel, l’enquête révèle des récits contradictoires sur une guerre ancienne. Un témoin reconnaît C comme une personne d’Orthe et raconte sa disparition lors d’une évacuation postérieure à A. Cette date ne correspond pas au prologue. Le joueur découvre une autre vie du partenaire, sans disposer encore des preuves de son dénouement.</w:t>
            </w:r>
          </w:p>
        </w:tc>
      </w:tr>
      <w:tr>
        <w:trPr>
          <w:cantSplit/>
        </w:trPr>
        <w:tc>
          <w:tcPr>
            <w:tcW w:type="dxa" w:w="2353"/>
            <w:vAlign w:val="top"/>
            <w:shd w:fill="F1F5F7"/>
            <w:tcMar>
              <w:top w:w="65" w:type="dxa"/>
              <w:left w:w="95" w:type="dxa"/>
              <w:bottom w:w="65" w:type="dxa"/>
              <w:right w:w="95" w:type="dxa"/>
            </w:tcMar>
          </w:tcPr>
          <w:p>
            <w:pPr>
              <w:pStyle w:val="TableText"/>
            </w:pPr>
            <w:r>
              <w:rPr>
                <w:rFonts w:ascii="Arial" w:hAnsi="Arial"/>
                <w:b/>
              </w:rPr>
              <w:t>4 — La dette des archives</w:t>
            </w:r>
          </w:p>
        </w:tc>
        <w:tc>
          <w:tcPr>
            <w:tcW w:type="dxa" w:w="7512"/>
            <w:vAlign w:val="top"/>
            <w:shd w:fill="F1F5F7"/>
            <w:tcMar>
              <w:top w:w="65" w:type="dxa"/>
              <w:left w:w="95" w:type="dxa"/>
              <w:bottom w:w="65" w:type="dxa"/>
              <w:right w:w="95" w:type="dxa"/>
            </w:tcMar>
          </w:tcPr>
          <w:p>
            <w:pPr>
              <w:pStyle w:val="TableText"/>
            </w:pPr>
            <w:r>
              <w:rPr>
                <w:rFonts w:ascii="Arial" w:hAnsi="Arial"/>
                <w:b w:val="0"/>
              </w:rPr>
              <w:t>H et Orsane protègent les témoins avant de rétablir une vérité falsifiée. Nacre retrouve ses outils de lecture. Des décisions signées par H₀ apparaissent dans les dossiers : son rôle dans le monde n’a pas été uniquement bienveillant. Le chapitre se clôt sur une aide réciproque, pas une population qui pardonne parce que le héros a gagné un combat.</w:t>
            </w:r>
          </w:p>
        </w:tc>
      </w:tr>
    </w:tbl>
    <w:p>
      <w:pPr>
        <w:spacing w:after="0"/>
      </w:pPr>
    </w:p>
    <w:p>
      <w:pPr>
        <w:pStyle w:val="Heading2"/>
      </w:pPr>
      <w:r>
        <w:t>État du joueur à la fin de l’acte</w:t>
      </w:r>
    </w:p>
    <w:p>
      <w:r>
        <w:rPr>
          <w:rFonts w:ascii="Arial" w:hAnsi="Arial"/>
          <w:b w:val="0"/>
        </w:rPr>
        <w:t>Il sait qu’il a été extrait d’un ancien instant, que H₀ a vécu sur Orthe et que C en est originaire. Il ne connaît pas encore les compromissions précises du scientifique, les circonstances prouvées de la disparition de C₀, le fonctionnement complet de l’ancre ni l’existence d’un sauvetage possible pour C₁.</w:t>
      </w:r>
    </w:p>
    <w:p>
      <w:r>
        <w:rPr>
          <w:rFonts w:ascii="Arial" w:hAnsi="Arial"/>
          <w:b w:val="0"/>
        </w:rPr>
        <w:t>Les premières activités annexes approfondissent les habitants du port, leur famille et leur travail. Elles ne transforment pas chaque personnage en détenteur d’un secret sur le héros.</w:t>
      </w:r>
    </w:p>
    <w:p>
      <w:r>
        <w:br w:type="page"/>
      </w:r>
    </w:p>
    <w:p>
      <w:pPr>
        <w:spacing w:after="60"/>
      </w:pPr>
      <w:r>
        <w:rPr>
          <w:rFonts w:ascii="Arial" w:hAnsi="Arial"/>
          <w:b/>
          <w:color w:val="677784"/>
          <w:sz w:val="16"/>
        </w:rPr>
        <w:t>SYNOPSIS DE CAMPAGNE • ACTE II</w:t>
      </w:r>
    </w:p>
    <w:p>
      <w:bookmarkStart w:id="23" w:name="section_23"/>
      <w:pPr>
        <w:pStyle w:val="Heading1"/>
      </w:pPr>
      <w:r>
        <w:t>22 — Chapitres 5 à 8</w:t>
      </w:r>
      <w:bookmarkEnd w:id="23"/>
    </w:p>
    <w:tbl>
      <w:tblPr>
        <w:tblW w:type="auto" w:w="0"/>
        <w:jc w:val="center"/>
        <w:tblLayout w:type="fixed"/>
        <w:tblLook w:firstColumn="1" w:firstRow="1" w:lastColumn="0" w:lastRow="0" w:noHBand="0" w:noVBand="1" w:val="04A0"/>
      </w:tblPr>
      <w:tblGrid>
        <w:gridCol w:w="2353"/>
        <w:gridCol w:w="7512"/>
      </w:tblGrid>
      <w:tr>
        <w:trPr>
          <w:tblHeader/>
        </w:trPr>
        <w:tc>
          <w:tcPr>
            <w:tcW w:type="dxa" w:w="2353"/>
            <w:vAlign w:val="center"/>
            <w:shd w:fill="253A52"/>
            <w:tcMar>
              <w:top w:w="65" w:type="dxa"/>
              <w:left w:w="95" w:type="dxa"/>
              <w:bottom w:w="65" w:type="dxa"/>
              <w:right w:w="95" w:type="dxa"/>
            </w:tcMar>
          </w:tcPr>
          <w:p>
            <w:pPr>
              <w:pStyle w:val="TableText"/>
            </w:pPr>
            <w:r>
              <w:rPr>
                <w:rFonts w:ascii="Arial" w:hAnsi="Arial"/>
                <w:b/>
                <w:color w:val="FFFFFF"/>
              </w:rPr>
              <w:t>Chapitre</w:t>
            </w:r>
          </w:p>
        </w:tc>
        <w:tc>
          <w:tcPr>
            <w:tcW w:type="dxa" w:w="7512"/>
            <w:vAlign w:val="center"/>
            <w:shd w:fill="253A52"/>
            <w:tcMar>
              <w:top w:w="65" w:type="dxa"/>
              <w:left w:w="95" w:type="dxa"/>
              <w:bottom w:w="65" w:type="dxa"/>
              <w:right w:w="95" w:type="dxa"/>
            </w:tcMar>
          </w:tcPr>
          <w:p>
            <w:pPr>
              <w:pStyle w:val="TableText"/>
            </w:pPr>
            <w:r>
              <w:rPr>
                <w:rFonts w:ascii="Arial" w:hAnsi="Arial"/>
                <w:b/>
                <w:color w:val="FFFFFF"/>
              </w:rPr>
              <w:t>Résumé, révélation et conséquence</w:t>
            </w:r>
          </w:p>
        </w:tc>
      </w:tr>
      <w:tr>
        <w:trPr>
          <w:cantSplit/>
        </w:trPr>
        <w:tc>
          <w:tcPr>
            <w:tcW w:type="dxa" w:w="2353"/>
            <w:vAlign w:val="top"/>
            <w:shd w:fill="F1F5F7"/>
            <w:tcMar>
              <w:top w:w="65" w:type="dxa"/>
              <w:left w:w="95" w:type="dxa"/>
              <w:bottom w:w="65" w:type="dxa"/>
              <w:right w:w="95" w:type="dxa"/>
            </w:tcMar>
          </w:tcPr>
          <w:p>
            <w:pPr>
              <w:pStyle w:val="TableText"/>
            </w:pPr>
            <w:r>
              <w:rPr>
                <w:rFonts w:ascii="Arial" w:hAnsi="Arial"/>
                <w:b/>
              </w:rPr>
              <w:t>5 — Les mains libres</w:t>
            </w:r>
          </w:p>
        </w:tc>
        <w:tc>
          <w:tcPr>
            <w:tcW w:type="dxa" w:w="7512"/>
            <w:vAlign w:val="top"/>
            <w:shd w:fill="F1F5F7"/>
            <w:tcMar>
              <w:top w:w="65" w:type="dxa"/>
              <w:left w:w="95" w:type="dxa"/>
              <w:bottom w:w="65" w:type="dxa"/>
              <w:right w:w="95" w:type="dxa"/>
            </w:tcMar>
          </w:tcPr>
          <w:p>
            <w:pPr>
              <w:pStyle w:val="TableText"/>
            </w:pPr>
            <w:r>
              <w:rPr>
                <w:rFonts w:ascii="Arial" w:hAnsi="Arial"/>
                <w:b w:val="0"/>
              </w:rPr>
              <w:t>Aux Chantiers, les habitants dépendent d’installations impériales. Deme présente des preuves du rôle de H₀ dans leur construction. Une résistance prépare une coupure dangereuse. H doit concevoir avec les ouvriers une solution de remplacement avant tout affrontement décisif.</w:t>
            </w:r>
          </w:p>
        </w:tc>
      </w:tr>
      <w:tr>
        <w:trPr>
          <w:cantSplit/>
        </w:trPr>
        <w:tc>
          <w:tcPr>
            <w:tcW w:type="dxa" w:w="2353"/>
            <w:vAlign w:val="top"/>
            <w:shd w:fill="FFFFFF"/>
            <w:tcMar>
              <w:top w:w="65" w:type="dxa"/>
              <w:left w:w="95" w:type="dxa"/>
              <w:bottom w:w="65" w:type="dxa"/>
              <w:right w:w="95" w:type="dxa"/>
            </w:tcMar>
          </w:tcPr>
          <w:p>
            <w:pPr>
              <w:pStyle w:val="TableText"/>
            </w:pPr>
            <w:r>
              <w:rPr>
                <w:rFonts w:ascii="Arial" w:hAnsi="Arial"/>
                <w:b/>
              </w:rPr>
              <w:t>6 — Ce qu’on ne rachète pas</w:t>
            </w:r>
          </w:p>
        </w:tc>
        <w:tc>
          <w:tcPr>
            <w:tcW w:type="dxa" w:w="7512"/>
            <w:vAlign w:val="top"/>
            <w:shd w:fill="FFFFFF"/>
            <w:tcMar>
              <w:top w:w="65" w:type="dxa"/>
              <w:left w:w="95" w:type="dxa"/>
              <w:bottom w:w="65" w:type="dxa"/>
              <w:right w:w="95" w:type="dxa"/>
            </w:tcMar>
          </w:tcPr>
          <w:p>
            <w:pPr>
              <w:pStyle w:val="TableText"/>
            </w:pPr>
            <w:r>
              <w:rPr>
                <w:rFonts w:ascii="Arial" w:hAnsi="Arial"/>
                <w:b w:val="0"/>
              </w:rPr>
              <w:t>Une opération permet d’isoler les dispositifs de contrôle sans interrompre l’eau et la chaleur. Nohé retrouve des capacités limitées. Un témoignage public distingue H₁ de H₀ tout en conservant les preuves contre ce dernier. Le héros comprend que réparer n’achète ni pardon ni obéissance.</w:t>
            </w:r>
          </w:p>
        </w:tc>
      </w:tr>
      <w:tr>
        <w:trPr>
          <w:cantSplit/>
        </w:trPr>
        <w:tc>
          <w:tcPr>
            <w:tcW w:type="dxa" w:w="2353"/>
            <w:vAlign w:val="top"/>
            <w:shd w:fill="F1F5F7"/>
            <w:tcMar>
              <w:top w:w="65" w:type="dxa"/>
              <w:left w:w="95" w:type="dxa"/>
              <w:bottom w:w="65" w:type="dxa"/>
              <w:right w:w="95" w:type="dxa"/>
            </w:tcMar>
          </w:tcPr>
          <w:p>
            <w:pPr>
              <w:pStyle w:val="TableText"/>
            </w:pPr>
            <w:r>
              <w:rPr>
                <w:rFonts w:ascii="Arial" w:hAnsi="Arial"/>
                <w:b/>
              </w:rPr>
              <w:t>7 — Un tombeau, deux histoires</w:t>
            </w:r>
          </w:p>
        </w:tc>
        <w:tc>
          <w:tcPr>
            <w:tcW w:type="dxa" w:w="7512"/>
            <w:vAlign w:val="top"/>
            <w:shd w:fill="F1F5F7"/>
            <w:tcMar>
              <w:top w:w="65" w:type="dxa"/>
              <w:left w:w="95" w:type="dxa"/>
              <w:bottom w:w="65" w:type="dxa"/>
              <w:right w:w="95" w:type="dxa"/>
            </w:tcMar>
          </w:tcPr>
          <w:p>
            <w:pPr>
              <w:pStyle w:val="TableText"/>
            </w:pPr>
            <w:r>
              <w:rPr>
                <w:rFonts w:ascii="Arial" w:hAnsi="Arial"/>
                <w:b w:val="0"/>
              </w:rPr>
              <w:t>Dans les Jardins, H découvre C₀ mort après avoir sauvé une cité. Nacre et Éloa expliquent enfin la séparation précise des deux continuités. Le partenaire enterré n’est pas celui resté dans la scène suspendue. Les fragments racontent aussi l’aggravation du besoin de contrôle chez H₀ après ce deuil.</w:t>
            </w:r>
          </w:p>
        </w:tc>
      </w:tr>
      <w:tr>
        <w:trPr>
          <w:cantSplit/>
        </w:trPr>
        <w:tc>
          <w:tcPr>
            <w:tcW w:type="dxa" w:w="2353"/>
            <w:vAlign w:val="top"/>
            <w:shd w:fill="FFFFFF"/>
            <w:tcMar>
              <w:top w:w="65" w:type="dxa"/>
              <w:left w:w="95" w:type="dxa"/>
              <w:bottom w:w="65" w:type="dxa"/>
              <w:right w:w="95" w:type="dxa"/>
            </w:tcMar>
          </w:tcPr>
          <w:p>
            <w:pPr>
              <w:pStyle w:val="TableText"/>
            </w:pPr>
            <w:r>
              <w:rPr>
                <w:rFonts w:ascii="Arial" w:hAnsi="Arial"/>
                <w:b/>
              </w:rPr>
              <w:t>8 — Les vivants ne sont pas une réserve</w:t>
            </w:r>
          </w:p>
        </w:tc>
        <w:tc>
          <w:tcPr>
            <w:tcW w:type="dxa" w:w="7512"/>
            <w:vAlign w:val="top"/>
            <w:shd w:fill="FFFFFF"/>
            <w:tcMar>
              <w:top w:w="65" w:type="dxa"/>
              <w:left w:w="95" w:type="dxa"/>
              <w:bottom w:w="65" w:type="dxa"/>
              <w:right w:w="95" w:type="dxa"/>
            </w:tcMar>
          </w:tcPr>
          <w:p>
            <w:pPr>
              <w:pStyle w:val="TableText"/>
            </w:pPr>
            <w:r>
              <w:rPr>
                <w:rFonts w:ascii="Arial" w:hAnsi="Arial"/>
                <w:b w:val="0"/>
              </w:rPr>
              <w:t>Éloa détecte un noyau encore viable dans A₁. L’espoir devient concret, avec des limites : il faut stabiliser et extraire cette continuité avant son effondrement. H refuse de détourner les moyens de soin d’une population entière pour accélérer l’opération. Miren et les équipes locales élaborent avec lui un plan plus lent, plus risqué et collectivement soutenable.</w:t>
            </w:r>
          </w:p>
        </w:tc>
      </w:tr>
    </w:tbl>
    <w:p>
      <w:pPr>
        <w:spacing w:after="0"/>
      </w:pPr>
    </w:p>
    <w:p>
      <w:pPr>
        <w:pStyle w:val="Heading2"/>
      </w:pPr>
      <w:r>
        <w:t>Pourquoi le milieu de l’histoire doit changer le héros</w:t>
      </w:r>
    </w:p>
    <w:p>
      <w:r>
        <w:rPr>
          <w:rFonts w:ascii="Arial" w:hAnsi="Arial"/>
          <w:b w:val="0"/>
        </w:rPr>
        <w:t>Jusqu’ici, H pouvait considérer son aide aux régions comme le prix à payer pour récupérer C. Le huitième chapitre doit rendre cette logique insuffisante. Il protège les habitants sans recevoir d’abord la garantie que ce choix sauvera son couple.</w:t>
      </w:r>
    </w:p>
    <w:p>
      <w:r>
        <w:rPr>
          <w:rFonts w:ascii="Arial" w:hAnsi="Arial"/>
          <w:b w:val="0"/>
        </w:rPr>
        <w:t>L’histoire peut proposer des variations de dialogue ou de méthode, mais ne doit pas cacher sa trajectoire derrière un faux choix : sacrifier une ville et obtenir tout de même la même fin chaleureuse contredirait le propos. La version de référence retient le refus de ce sacrifice comme décision principale.</w:t>
      </w:r>
    </w:p>
    <w:p>
      <w:pPr>
        <w:pStyle w:val="Heading2"/>
      </w:pPr>
      <w:r>
        <w:t>État de Nacre</w:t>
      </w:r>
    </w:p>
    <w:p>
      <w:r>
        <w:rPr>
          <w:rFonts w:ascii="Arial" w:hAnsi="Arial"/>
          <w:b w:val="0"/>
        </w:rPr>
        <w:t>Ses capacités techniques progressent ; elle conserve encore des lacunes sur les derniers jours de H₀. Elle commence à contester certaines anciennes consignes lorsqu’elles entrent en conflit avec les personnes présentes. Le joueur peut voir les documents déjà récupérés sans attendre un monologue imposé.</w:t>
      </w:r>
    </w:p>
    <w:p>
      <w:r>
        <w:br w:type="page"/>
      </w:r>
    </w:p>
    <w:p>
      <w:pPr>
        <w:spacing w:after="60"/>
      </w:pPr>
      <w:r>
        <w:rPr>
          <w:rFonts w:ascii="Arial" w:hAnsi="Arial"/>
          <w:b/>
          <w:color w:val="677784"/>
          <w:sz w:val="16"/>
        </w:rPr>
        <w:t>SYNOPSIS DE CAMPAGNE • ACTE III</w:t>
      </w:r>
    </w:p>
    <w:p>
      <w:bookmarkStart w:id="24" w:name="section_24"/>
      <w:pPr>
        <w:pStyle w:val="Heading1"/>
      </w:pPr>
      <w:r>
        <w:t>23 — Chapitres 9 à 12</w:t>
      </w:r>
      <w:bookmarkEnd w:id="24"/>
    </w:p>
    <w:tbl>
      <w:tblPr>
        <w:tblW w:type="auto" w:w="0"/>
        <w:jc w:val="center"/>
        <w:tblLayout w:type="fixed"/>
        <w:tblLook w:firstColumn="1" w:firstRow="1" w:lastColumn="0" w:lastRow="0" w:noHBand="0" w:noVBand="1" w:val="04A0"/>
      </w:tblPr>
      <w:tblGrid>
        <w:gridCol w:w="2353"/>
        <w:gridCol w:w="7512"/>
      </w:tblGrid>
      <w:tr>
        <w:trPr>
          <w:tblHeader/>
        </w:trPr>
        <w:tc>
          <w:tcPr>
            <w:tcW w:type="dxa" w:w="2353"/>
            <w:vAlign w:val="center"/>
            <w:shd w:fill="253A52"/>
            <w:tcMar>
              <w:top w:w="65" w:type="dxa"/>
              <w:left w:w="95" w:type="dxa"/>
              <w:bottom w:w="65" w:type="dxa"/>
              <w:right w:w="95" w:type="dxa"/>
            </w:tcMar>
          </w:tcPr>
          <w:p>
            <w:pPr>
              <w:pStyle w:val="TableText"/>
            </w:pPr>
            <w:r>
              <w:rPr>
                <w:rFonts w:ascii="Arial" w:hAnsi="Arial"/>
                <w:b/>
                <w:color w:val="FFFFFF"/>
              </w:rPr>
              <w:t>Chapitre</w:t>
            </w:r>
          </w:p>
        </w:tc>
        <w:tc>
          <w:tcPr>
            <w:tcW w:type="dxa" w:w="7512"/>
            <w:vAlign w:val="center"/>
            <w:shd w:fill="253A52"/>
            <w:tcMar>
              <w:top w:w="65" w:type="dxa"/>
              <w:left w:w="95" w:type="dxa"/>
              <w:bottom w:w="65" w:type="dxa"/>
              <w:right w:w="95" w:type="dxa"/>
            </w:tcMar>
          </w:tcPr>
          <w:p>
            <w:pPr>
              <w:pStyle w:val="TableText"/>
            </w:pPr>
            <w:r>
              <w:rPr>
                <w:rFonts w:ascii="Arial" w:hAnsi="Arial"/>
                <w:b/>
                <w:color w:val="FFFFFF"/>
              </w:rPr>
              <w:t>Résumé, révélation et conséquence</w:t>
            </w:r>
          </w:p>
        </w:tc>
      </w:tr>
      <w:tr>
        <w:trPr>
          <w:cantSplit/>
        </w:trPr>
        <w:tc>
          <w:tcPr>
            <w:tcW w:type="dxa" w:w="2353"/>
            <w:vAlign w:val="top"/>
            <w:shd w:fill="F1F5F7"/>
            <w:tcMar>
              <w:top w:w="65" w:type="dxa"/>
              <w:left w:w="95" w:type="dxa"/>
              <w:bottom w:w="65" w:type="dxa"/>
              <w:right w:w="95" w:type="dxa"/>
            </w:tcMar>
          </w:tcPr>
          <w:p>
            <w:pPr>
              <w:pStyle w:val="TableText"/>
            </w:pPr>
            <w:r>
              <w:rPr>
                <w:rFonts w:ascii="Arial" w:hAnsi="Arial"/>
                <w:b/>
              </w:rPr>
              <w:t>9 — Le visage dans la vitre</w:t>
            </w:r>
          </w:p>
        </w:tc>
        <w:tc>
          <w:tcPr>
            <w:tcW w:type="dxa" w:w="7512"/>
            <w:vAlign w:val="top"/>
            <w:shd w:fill="F1F5F7"/>
            <w:tcMar>
              <w:top w:w="65" w:type="dxa"/>
              <w:left w:w="95" w:type="dxa"/>
              <w:bottom w:w="65" w:type="dxa"/>
              <w:right w:w="95" w:type="dxa"/>
            </w:tcMar>
          </w:tcPr>
          <w:p>
            <w:pPr>
              <w:pStyle w:val="TableText"/>
            </w:pPr>
            <w:r>
              <w:rPr>
                <w:rFonts w:ascii="Arial" w:hAnsi="Arial"/>
                <w:b w:val="0"/>
              </w:rPr>
              <w:t>Aux Villes du Contrejour, la propagande utilise H₀ pour présenter les réaccords comme une nouvelle emprise. Une enquête avec Léandre démontre la provenance de la capsule et l’absence d’enregistrement du noyau de H. Son exception possède une cause historique ; elle ne prouve pas qu’il mérite de gouverner.</w:t>
            </w:r>
          </w:p>
        </w:tc>
      </w:tr>
      <w:tr>
        <w:trPr>
          <w:cantSplit/>
        </w:trPr>
        <w:tc>
          <w:tcPr>
            <w:tcW w:type="dxa" w:w="2353"/>
            <w:vAlign w:val="top"/>
            <w:shd w:fill="FFFFFF"/>
            <w:tcMar>
              <w:top w:w="65" w:type="dxa"/>
              <w:left w:w="95" w:type="dxa"/>
              <w:bottom w:w="65" w:type="dxa"/>
              <w:right w:w="95" w:type="dxa"/>
            </w:tcMar>
          </w:tcPr>
          <w:p>
            <w:pPr>
              <w:pStyle w:val="TableText"/>
            </w:pPr>
            <w:r>
              <w:rPr>
                <w:rFonts w:ascii="Arial" w:hAnsi="Arial"/>
                <w:b/>
              </w:rPr>
              <w:t>10 — L’envoyé qui a choisi</w:t>
            </w:r>
          </w:p>
        </w:tc>
        <w:tc>
          <w:tcPr>
            <w:tcW w:type="dxa" w:w="7512"/>
            <w:vAlign w:val="top"/>
            <w:shd w:fill="FFFFFF"/>
            <w:tcMar>
              <w:top w:w="65" w:type="dxa"/>
              <w:left w:w="95" w:type="dxa"/>
              <w:bottom w:w="65" w:type="dxa"/>
              <w:right w:w="95" w:type="dxa"/>
            </w:tcMar>
          </w:tcPr>
          <w:p>
            <w:pPr>
              <w:pStyle w:val="TableText"/>
            </w:pPr>
            <w:r>
              <w:rPr>
                <w:rFonts w:ascii="Arial" w:hAnsi="Arial"/>
                <w:b w:val="0"/>
              </w:rPr>
              <w:t>Les dossiers privés de C et les témoins de son ancienne mission deviennent accessibles. Le joueur découvre la recherche de la graine, la séparation entre suivi de l’enfance et rencontre adulte, la démission et les sentiments réels. La révélation confirme l’amour sans excuser le secret. Saren rompt avec le Concordat après avoir aidé à protéger des personnes qu’il devait arrêter.</w:t>
            </w:r>
          </w:p>
        </w:tc>
      </w:tr>
      <w:tr>
        <w:trPr>
          <w:cantSplit/>
        </w:trPr>
        <w:tc>
          <w:tcPr>
            <w:tcW w:type="dxa" w:w="2353"/>
            <w:vAlign w:val="top"/>
            <w:shd w:fill="F1F5F7"/>
            <w:tcMar>
              <w:top w:w="65" w:type="dxa"/>
              <w:left w:w="95" w:type="dxa"/>
              <w:bottom w:w="65" w:type="dxa"/>
              <w:right w:w="95" w:type="dxa"/>
            </w:tcMar>
          </w:tcPr>
          <w:p>
            <w:pPr>
              <w:pStyle w:val="TableText"/>
            </w:pPr>
            <w:r>
              <w:rPr>
                <w:rFonts w:ascii="Arial" w:hAnsi="Arial"/>
                <w:b/>
              </w:rPr>
              <w:t>11 — Un demain sans garanties</w:t>
            </w:r>
          </w:p>
        </w:tc>
        <w:tc>
          <w:tcPr>
            <w:tcW w:type="dxa" w:w="7512"/>
            <w:vAlign w:val="top"/>
            <w:shd w:fill="F1F5F7"/>
            <w:tcMar>
              <w:top w:w="65" w:type="dxa"/>
              <w:left w:w="95" w:type="dxa"/>
              <w:bottom w:w="65" w:type="dxa"/>
              <w:right w:w="95" w:type="dxa"/>
            </w:tcMar>
          </w:tcPr>
          <w:p>
            <w:pPr>
              <w:pStyle w:val="TableText"/>
            </w:pPr>
            <w:r>
              <w:rPr>
                <w:rFonts w:ascii="Arial" w:hAnsi="Arial"/>
                <w:b w:val="0"/>
              </w:rPr>
              <w:t>À la Couronne, une solution impériale promet des routes sans danger en supprimant tous les déplacements non validés. Thyr et les équipes locales défendent une organisation partagée. H renonce à la maîtrise parfaite pour construire une fiabilité fondée sur des relais et sur la confiance.</w:t>
            </w:r>
          </w:p>
        </w:tc>
      </w:tr>
      <w:tr>
        <w:trPr>
          <w:cantSplit/>
        </w:trPr>
        <w:tc>
          <w:tcPr>
            <w:tcW w:type="dxa" w:w="2353"/>
            <w:vAlign w:val="top"/>
            <w:shd w:fill="FFFFFF"/>
            <w:tcMar>
              <w:top w:w="65" w:type="dxa"/>
              <w:left w:w="95" w:type="dxa"/>
              <w:bottom w:w="65" w:type="dxa"/>
              <w:right w:w="95" w:type="dxa"/>
            </w:tcMar>
          </w:tcPr>
          <w:p>
            <w:pPr>
              <w:pStyle w:val="TableText"/>
            </w:pPr>
            <w:r>
              <w:rPr>
                <w:rFonts w:ascii="Arial" w:hAnsi="Arial"/>
                <w:b/>
              </w:rPr>
              <w:t>12 — Celui qui a refusé trop tard</w:t>
            </w:r>
          </w:p>
        </w:tc>
        <w:tc>
          <w:tcPr>
            <w:tcW w:type="dxa" w:w="7512"/>
            <w:vAlign w:val="top"/>
            <w:shd w:fill="FFFFFF"/>
            <w:tcMar>
              <w:top w:w="65" w:type="dxa"/>
              <w:left w:w="95" w:type="dxa"/>
              <w:bottom w:w="65" w:type="dxa"/>
              <w:right w:w="95" w:type="dxa"/>
            </w:tcMar>
          </w:tcPr>
          <w:p>
            <w:pPr>
              <w:pStyle w:val="TableText"/>
            </w:pPr>
            <w:r>
              <w:rPr>
                <w:rFonts w:ascii="Arial" w:hAnsi="Arial"/>
                <w:b w:val="0"/>
              </w:rPr>
              <w:t>La dernière station contient le journal de Z. Le joueur découvre l’assassinat de H₀, son refus final, le vol de la machine et le secours transmis à Nacre. Séveran ne voulait pas supprimer rétroactivement une invention : il recherchait le noyau vulnérable de A. Toutes les grandes règles utilisées pour la fin sont alors connues.</w:t>
            </w:r>
          </w:p>
        </w:tc>
      </w:tr>
    </w:tbl>
    <w:p>
      <w:pPr>
        <w:spacing w:after="0"/>
      </w:pPr>
    </w:p>
    <w:p>
      <w:pPr>
        <w:pStyle w:val="Heading2"/>
      </w:pPr>
      <w:r>
        <w:t>Dernier message du scientifique : intention de scène</w:t>
      </w:r>
    </w:p>
    <w:p>
      <w:r>
        <w:rPr>
          <w:rFonts w:ascii="Arial" w:hAnsi="Arial"/>
          <w:b w:val="0"/>
        </w:rPr>
        <w:t>H₀ reconnaît qu’il a utilisé la douleur comme argument pour décider à la place des autres. Il ne donne pas au héros une liste d’ordres ni une prophétie. Il lui transmet des preuves, un accès partagé et une possibilité de choix que lui-même a abîmée.</w:t>
      </w:r>
    </w:p>
    <w:p>
      <w:r>
        <w:rPr>
          <w:rFonts w:ascii="Arial" w:hAnsi="Arial"/>
          <w:b w:val="0"/>
        </w:rPr>
        <w:t xml:space="preserve">La scène peut conserver une phrase simple comme axe de dialogue : </w:t>
      </w:r>
      <w:r>
        <w:rPr>
          <w:rFonts w:ascii="Arial" w:hAnsi="Arial"/>
          <w:b/>
        </w:rPr>
        <w:t>« Je ne te demande pas de finir ma vie. Je te laisse de quoi vivre la tienne. »</w:t>
      </w:r>
      <w:r>
        <w:rPr>
          <w:rFonts w:ascii="Arial" w:hAnsi="Arial"/>
          <w:b w:val="0"/>
        </w:rPr>
        <w:t xml:space="preserve"> Le texte définitif devra naître de la personnalité retenue pour le couple et le protagoniste.</w:t>
      </w:r>
    </w:p>
    <w:p>
      <w:pPr>
        <w:pStyle w:val="Heading2"/>
      </w:pPr>
      <w:r>
        <w:t>Passage au dernier acte</w:t>
      </w:r>
    </w:p>
    <w:p>
      <w:r>
        <w:rPr>
          <w:rFonts w:ascii="Arial" w:hAnsi="Arial"/>
          <w:b w:val="0"/>
        </w:rPr>
        <w:t>Les régions n’offrent pas automatiquement leurs forces. Chaque soutien correspond à ce qui a été construit : routes du Havre, preuves des archives, autonomie des Chantiers, soins des Jardins, droits du Contrejour et coordination de la Couronne.</w:t>
      </w:r>
    </w:p>
    <w:p>
      <w:r>
        <w:br w:type="page"/>
      </w:r>
    </w:p>
    <w:p>
      <w:pPr>
        <w:spacing w:after="60"/>
      </w:pPr>
      <w:r>
        <w:rPr>
          <w:rFonts w:ascii="Arial" w:hAnsi="Arial"/>
          <w:b/>
          <w:color w:val="677784"/>
          <w:sz w:val="16"/>
        </w:rPr>
        <w:t>SYNOPSIS DE CAMPAGNE • DÉNOUEMENT ET OUVERTURE</w:t>
      </w:r>
    </w:p>
    <w:p>
      <w:bookmarkStart w:id="25" w:name="section_25"/>
      <w:pPr>
        <w:pStyle w:val="Heading1"/>
      </w:pPr>
      <w:r>
        <w:t>24 — Chapitres 13 à 17</w:t>
      </w:r>
      <w:bookmarkEnd w:id="25"/>
    </w:p>
    <w:tbl>
      <w:tblPr>
        <w:tblW w:type="auto" w:w="0"/>
        <w:jc w:val="center"/>
        <w:tblLayout w:type="fixed"/>
        <w:tblLook w:firstColumn="1" w:firstRow="1" w:lastColumn="0" w:lastRow="0" w:noHBand="0" w:noVBand="1" w:val="04A0"/>
      </w:tblPr>
      <w:tblGrid>
        <w:gridCol w:w="2353"/>
        <w:gridCol w:w="7512"/>
      </w:tblGrid>
      <w:tr>
        <w:trPr>
          <w:tblHeader/>
        </w:trPr>
        <w:tc>
          <w:tcPr>
            <w:tcW w:type="dxa" w:w="2353"/>
            <w:vAlign w:val="center"/>
            <w:shd w:fill="253A52"/>
            <w:tcMar>
              <w:top w:w="65" w:type="dxa"/>
              <w:left w:w="95" w:type="dxa"/>
              <w:bottom w:w="65" w:type="dxa"/>
              <w:right w:w="95" w:type="dxa"/>
            </w:tcMar>
          </w:tcPr>
          <w:p>
            <w:pPr>
              <w:pStyle w:val="TableText"/>
            </w:pPr>
            <w:r>
              <w:rPr>
                <w:rFonts w:ascii="Arial" w:hAnsi="Arial"/>
                <w:b/>
                <w:color w:val="FFFFFF"/>
              </w:rPr>
              <w:t>Chapitre</w:t>
            </w:r>
          </w:p>
        </w:tc>
        <w:tc>
          <w:tcPr>
            <w:tcW w:type="dxa" w:w="7512"/>
            <w:vAlign w:val="center"/>
            <w:shd w:fill="253A52"/>
            <w:tcMar>
              <w:top w:w="65" w:type="dxa"/>
              <w:left w:w="95" w:type="dxa"/>
              <w:bottom w:w="65" w:type="dxa"/>
              <w:right w:w="95" w:type="dxa"/>
            </w:tcMar>
          </w:tcPr>
          <w:p>
            <w:pPr>
              <w:pStyle w:val="TableText"/>
            </w:pPr>
            <w:r>
              <w:rPr>
                <w:rFonts w:ascii="Arial" w:hAnsi="Arial"/>
                <w:b/>
                <w:color w:val="FFFFFF"/>
              </w:rPr>
              <w:t>Résumé, révélation et conséquence</w:t>
            </w:r>
          </w:p>
        </w:tc>
      </w:tr>
      <w:tr>
        <w:trPr>
          <w:cantSplit/>
        </w:trPr>
        <w:tc>
          <w:tcPr>
            <w:tcW w:type="dxa" w:w="2353"/>
            <w:vAlign w:val="top"/>
            <w:shd w:fill="F1F5F7"/>
            <w:tcMar>
              <w:top w:w="65" w:type="dxa"/>
              <w:left w:w="95" w:type="dxa"/>
              <w:bottom w:w="65" w:type="dxa"/>
              <w:right w:w="95" w:type="dxa"/>
            </w:tcMar>
          </w:tcPr>
          <w:p>
            <w:pPr>
              <w:pStyle w:val="TableText"/>
            </w:pPr>
            <w:r>
              <w:rPr>
                <w:rFonts w:ascii="Arial" w:hAnsi="Arial"/>
                <w:b/>
              </w:rPr>
              <w:t>13 — L’empire à hauteur d’homme</w:t>
            </w:r>
          </w:p>
        </w:tc>
        <w:tc>
          <w:tcPr>
            <w:tcW w:type="dxa" w:w="7512"/>
            <w:vAlign w:val="top"/>
            <w:shd w:fill="F1F5F7"/>
            <w:tcMar>
              <w:top w:w="65" w:type="dxa"/>
              <w:left w:w="95" w:type="dxa"/>
              <w:bottom w:w="65" w:type="dxa"/>
              <w:right w:w="95" w:type="dxa"/>
            </w:tcMar>
          </w:tcPr>
          <w:p>
            <w:pPr>
              <w:pStyle w:val="TableText"/>
            </w:pPr>
            <w:r>
              <w:rPr>
                <w:rFonts w:ascii="Arial" w:hAnsi="Arial"/>
                <w:b w:val="0"/>
              </w:rPr>
              <w:t>La coalition agit sur le terrain : évacuations, réparations, défections et neutralisation des préfets. Saren affronte les conséquences de son passé. Les quêtes de région peuvent modifier les routes disponibles, des secours et des dialogues, sans rendre la victoire dépendante d’un personnage rare obtenu au hasard.</w:t>
            </w:r>
          </w:p>
        </w:tc>
      </w:tr>
      <w:tr>
        <w:trPr>
          <w:cantSplit/>
        </w:trPr>
        <w:tc>
          <w:tcPr>
            <w:tcW w:type="dxa" w:w="2353"/>
            <w:vAlign w:val="top"/>
            <w:shd w:fill="FFFFFF"/>
            <w:tcMar>
              <w:top w:w="65" w:type="dxa"/>
              <w:left w:w="95" w:type="dxa"/>
              <w:bottom w:w="65" w:type="dxa"/>
              <w:right w:w="95" w:type="dxa"/>
            </w:tcMar>
          </w:tcPr>
          <w:p>
            <w:pPr>
              <w:pStyle w:val="TableText"/>
            </w:pPr>
            <w:r>
              <w:rPr>
                <w:rFonts w:ascii="Arial" w:hAnsi="Arial"/>
                <w:b/>
              </w:rPr>
              <w:t>14 — La dernière fenêtre</w:t>
            </w:r>
          </w:p>
        </w:tc>
        <w:tc>
          <w:tcPr>
            <w:tcW w:type="dxa" w:w="7512"/>
            <w:vAlign w:val="top"/>
            <w:shd w:fill="FFFFFF"/>
            <w:tcMar>
              <w:top w:w="65" w:type="dxa"/>
              <w:left w:w="95" w:type="dxa"/>
              <w:bottom w:w="65" w:type="dxa"/>
              <w:right w:w="95" w:type="dxa"/>
            </w:tcMar>
          </w:tcPr>
          <w:p>
            <w:pPr>
              <w:pStyle w:val="TableText"/>
            </w:pPr>
            <w:r>
              <w:rPr>
                <w:rFonts w:ascii="Arial" w:hAnsi="Arial"/>
                <w:b w:val="0"/>
              </w:rPr>
              <w:t>Le groupe reprend le Méridien et protège l’ancre. Nacre rouvre A₁ après la disparition initiale du jeune héros. H revient dans le laboratoire avec les moyens appris sur Orthe, stabilise le noyau de C₁ et l’extrait. L’ancre est entièrement consommée. Le passé vécu n’est pas réécrit : une vie encore continue est sauvée.</w:t>
            </w:r>
          </w:p>
        </w:tc>
      </w:tr>
      <w:tr>
        <w:trPr>
          <w:cantSplit/>
        </w:trPr>
        <w:tc>
          <w:tcPr>
            <w:tcW w:type="dxa" w:w="2353"/>
            <w:vAlign w:val="top"/>
            <w:shd w:fill="F1F5F7"/>
            <w:tcMar>
              <w:top w:w="65" w:type="dxa"/>
              <w:left w:w="95" w:type="dxa"/>
              <w:bottom w:w="65" w:type="dxa"/>
              <w:right w:w="95" w:type="dxa"/>
            </w:tcMar>
          </w:tcPr>
          <w:p>
            <w:pPr>
              <w:pStyle w:val="TableText"/>
            </w:pPr>
            <w:r>
              <w:rPr>
                <w:rFonts w:ascii="Arial" w:hAnsi="Arial"/>
                <w:b/>
              </w:rPr>
              <w:t>15 — Le droit de ne pas recommencer</w:t>
            </w:r>
          </w:p>
        </w:tc>
        <w:tc>
          <w:tcPr>
            <w:tcW w:type="dxa" w:w="7512"/>
            <w:vAlign w:val="top"/>
            <w:shd w:fill="F1F5F7"/>
            <w:tcMar>
              <w:top w:w="65" w:type="dxa"/>
              <w:left w:w="95" w:type="dxa"/>
              <w:bottom w:w="65" w:type="dxa"/>
              <w:right w:w="95" w:type="dxa"/>
            </w:tcMar>
          </w:tcPr>
          <w:p>
            <w:pPr>
              <w:pStyle w:val="TableText"/>
            </w:pPr>
            <w:r>
              <w:rPr>
                <w:rFonts w:ascii="Arial" w:hAnsi="Arial"/>
                <w:b w:val="0"/>
              </w:rPr>
              <w:t>Séveran tente le raccordement final du réseau à son autorité. Le combat a lieu dans le présent d’Orthe. Les infrastructures distribuées permettent de désarmer le Régent sans tuer les habitants qu’il maintenait sous dépendance. Le héros rejette la possibilité d’occuper à son tour la place centrale.</w:t>
            </w:r>
          </w:p>
        </w:tc>
      </w:tr>
      <w:tr>
        <w:trPr>
          <w:cantSplit/>
        </w:trPr>
        <w:tc>
          <w:tcPr>
            <w:tcW w:type="dxa" w:w="2353"/>
            <w:vAlign w:val="top"/>
            <w:shd w:fill="FFFFFF"/>
            <w:tcMar>
              <w:top w:w="65" w:type="dxa"/>
              <w:left w:w="95" w:type="dxa"/>
              <w:bottom w:w="65" w:type="dxa"/>
              <w:right w:w="95" w:type="dxa"/>
            </w:tcMar>
          </w:tcPr>
          <w:p>
            <w:pPr>
              <w:pStyle w:val="TableText"/>
            </w:pPr>
            <w:r>
              <w:rPr>
                <w:rFonts w:ascii="Arial" w:hAnsi="Arial"/>
                <w:b/>
              </w:rPr>
              <w:t>16 — Ceux qui restent</w:t>
            </w:r>
          </w:p>
        </w:tc>
        <w:tc>
          <w:tcPr>
            <w:tcW w:type="dxa" w:w="7512"/>
            <w:vAlign w:val="top"/>
            <w:shd w:fill="FFFFFF"/>
            <w:tcMar>
              <w:top w:w="65" w:type="dxa"/>
              <w:left w:w="95" w:type="dxa"/>
              <w:bottom w:w="65" w:type="dxa"/>
              <w:right w:w="95" w:type="dxa"/>
            </w:tcMar>
          </w:tcPr>
          <w:p>
            <w:pPr>
              <w:pStyle w:val="TableText"/>
            </w:pPr>
            <w:r>
              <w:rPr>
                <w:rFonts w:ascii="Arial" w:hAnsi="Arial"/>
                <w:b w:val="0"/>
              </w:rPr>
              <w:t>Les morts de la source sont honorés ; les archives de H₀ ne sont pas blanchies. Les habitants élaborent la transition avec des désaccords réels. H et C se retrouvent, discutent de la mission cachée et apprennent à ne plus décider seuls pour l’autre. Une visite ou un échange avec la famille de Sélis rappelle les quatorze années écoulées.</w:t>
            </w:r>
          </w:p>
        </w:tc>
      </w:tr>
      <w:tr>
        <w:trPr>
          <w:cantSplit/>
        </w:trPr>
        <w:tc>
          <w:tcPr>
            <w:tcW w:type="dxa" w:w="2353"/>
            <w:vAlign w:val="top"/>
            <w:shd w:fill="F1F5F7"/>
            <w:tcMar>
              <w:top w:w="65" w:type="dxa"/>
              <w:left w:w="95" w:type="dxa"/>
              <w:bottom w:w="65" w:type="dxa"/>
              <w:right w:w="95" w:type="dxa"/>
            </w:tcMar>
          </w:tcPr>
          <w:p>
            <w:pPr>
              <w:pStyle w:val="TableText"/>
            </w:pPr>
            <w:r>
              <w:rPr>
                <w:rFonts w:ascii="Arial" w:hAnsi="Arial"/>
                <w:b/>
              </w:rPr>
              <w:t>17 — Les routes ouvertes</w:t>
            </w:r>
          </w:p>
        </w:tc>
        <w:tc>
          <w:tcPr>
            <w:tcW w:type="dxa" w:w="7512"/>
            <w:vAlign w:val="top"/>
            <w:shd w:fill="F1F5F7"/>
            <w:tcMar>
              <w:top w:w="65" w:type="dxa"/>
              <w:left w:w="95" w:type="dxa"/>
              <w:bottom w:w="65" w:type="dxa"/>
              <w:right w:w="95" w:type="dxa"/>
            </w:tcMar>
          </w:tcPr>
          <w:p>
            <w:pPr>
              <w:pStyle w:val="TableText"/>
            </w:pPr>
            <w:r>
              <w:rPr>
                <w:rFonts w:ascii="Arial" w:hAnsi="Arial"/>
                <w:b w:val="0"/>
              </w:rPr>
              <w:t>Épilogue jouable et point de départ du contenu continu. H accepte la garde technique des passages sous un mandat partagé. C reprend des projets personnels et peut rejoindre l’équipe après sa convalescence. Nacre conserve son identité. De nouveaux signaux ouvrent des expéditions vers d’autres planètes du même univers, sans annoncer immédiatement un ennemi plus puissant que tout ce qui précédait.</w:t>
            </w:r>
          </w:p>
        </w:tc>
      </w:tr>
    </w:tbl>
    <w:p>
      <w:pPr>
        <w:spacing w:after="0"/>
      </w:pPr>
    </w:p>
    <w:p>
      <w:pPr>
        <w:pStyle w:val="Heading2"/>
      </w:pPr>
      <w:r>
        <w:t>Le dernier geste du couple</w:t>
      </w:r>
    </w:p>
    <w:p>
      <w:r>
        <w:rPr>
          <w:rFonts w:ascii="Arial" w:hAnsi="Arial"/>
          <w:b w:val="0"/>
        </w:rPr>
        <w:t>Reprendre un geste banal du prologue, mais le modifier légèrement : finir ensemble une expérience, déplacer une chaise pour faire de la place, ou demander avant d’activer un dispositif. Le sens est de retrouver une vie quotidienne et un consentement mutuel, pas d’affirmer que rien de grave n’a eu lieu.</w:t>
      </w:r>
    </w:p>
    <w:p>
      <w:r>
        <w:br w:type="page"/>
      </w:r>
    </w:p>
    <w:p>
      <w:pPr>
        <w:spacing w:after="60"/>
      </w:pPr>
      <w:r>
        <w:rPr>
          <w:rFonts w:ascii="Arial" w:hAnsi="Arial"/>
          <w:b/>
          <w:color w:val="677784"/>
          <w:sz w:val="16"/>
        </w:rPr>
        <w:t>NE PAS CACHER UNE INFORMATION DISPONIBLE</w:t>
      </w:r>
    </w:p>
    <w:p>
      <w:bookmarkStart w:id="26" w:name="section_26"/>
      <w:pPr>
        <w:pStyle w:val="Heading1"/>
      </w:pPr>
      <w:r>
        <w:t>25 — Révélations et préparation</w:t>
      </w:r>
      <w:bookmarkEnd w:id="26"/>
    </w:p>
    <w:tbl>
      <w:tblPr>
        <w:tblW w:type="auto" w:w="0"/>
        <w:jc w:val="center"/>
        <w:tblLayout w:type="fixed"/>
        <w:tblLook w:firstColumn="1" w:firstRow="1" w:lastColumn="0" w:lastRow="0" w:noHBand="0" w:noVBand="1" w:val="04A0"/>
      </w:tblPr>
      <w:tblGrid>
        <w:gridCol w:w="2494"/>
        <w:gridCol w:w="3402"/>
        <w:gridCol w:w="3969"/>
      </w:tblGrid>
      <w:tr>
        <w:trPr>
          <w:tblHeader/>
        </w:trPr>
        <w:tc>
          <w:tcPr>
            <w:tcW w:type="dxa" w:w="2494"/>
            <w:vAlign w:val="center"/>
            <w:shd w:fill="253A52"/>
            <w:tcMar>
              <w:top w:w="65" w:type="dxa"/>
              <w:left w:w="95" w:type="dxa"/>
              <w:bottom w:w="65" w:type="dxa"/>
              <w:right w:w="95" w:type="dxa"/>
            </w:tcMar>
          </w:tcPr>
          <w:p>
            <w:pPr>
              <w:pStyle w:val="TableText"/>
            </w:pPr>
            <w:r>
              <w:rPr>
                <w:rFonts w:ascii="Arial" w:hAnsi="Arial"/>
                <w:b/>
                <w:color w:val="FFFFFF"/>
              </w:rPr>
              <w:t>Révélation</w:t>
            </w:r>
          </w:p>
        </w:tc>
        <w:tc>
          <w:tcPr>
            <w:tcW w:type="dxa" w:w="3402"/>
            <w:vAlign w:val="center"/>
            <w:shd w:fill="253A52"/>
            <w:tcMar>
              <w:top w:w="65" w:type="dxa"/>
              <w:left w:w="95" w:type="dxa"/>
              <w:bottom w:w="65" w:type="dxa"/>
              <w:right w:w="95" w:type="dxa"/>
            </w:tcMar>
          </w:tcPr>
          <w:p>
            <w:pPr>
              <w:pStyle w:val="TableText"/>
            </w:pPr>
            <w:r>
              <w:rPr>
                <w:rFonts w:ascii="Arial" w:hAnsi="Arial"/>
                <w:b/>
                <w:color w:val="FFFFFF"/>
              </w:rPr>
              <w:t>Préparation visible</w:t>
            </w:r>
          </w:p>
        </w:tc>
        <w:tc>
          <w:tcPr>
            <w:tcW w:type="dxa" w:w="3969"/>
            <w:vAlign w:val="center"/>
            <w:shd w:fill="253A52"/>
            <w:tcMar>
              <w:top w:w="65" w:type="dxa"/>
              <w:left w:w="95" w:type="dxa"/>
              <w:bottom w:w="65" w:type="dxa"/>
              <w:right w:w="95" w:type="dxa"/>
            </w:tcMar>
          </w:tcPr>
          <w:p>
            <w:pPr>
              <w:pStyle w:val="TableText"/>
            </w:pPr>
            <w:r>
              <w:rPr>
                <w:rFonts w:ascii="Arial" w:hAnsi="Arial"/>
                <w:b/>
                <w:color w:val="FFFFFF"/>
              </w:rPr>
              <w:t>Moment et portée</w:t>
            </w:r>
          </w:p>
        </w:tc>
      </w:tr>
      <w:tr>
        <w:trPr>
          <w:cantSplit/>
        </w:trPr>
        <w:tc>
          <w:tcPr>
            <w:tcW w:type="dxa" w:w="2494"/>
            <w:vAlign w:val="top"/>
            <w:shd w:fill="F1F5F7"/>
            <w:tcMar>
              <w:top w:w="65" w:type="dxa"/>
              <w:left w:w="95" w:type="dxa"/>
              <w:bottom w:w="65" w:type="dxa"/>
              <w:right w:w="95" w:type="dxa"/>
            </w:tcMar>
          </w:tcPr>
          <w:p>
            <w:pPr>
              <w:pStyle w:val="TableText"/>
            </w:pPr>
            <w:r>
              <w:rPr>
                <w:rFonts w:ascii="Arial" w:hAnsi="Arial"/>
                <w:b w:val="0"/>
              </w:rPr>
              <w:t>Quatorze ans ont passé</w:t>
            </w:r>
          </w:p>
        </w:tc>
        <w:tc>
          <w:tcPr>
            <w:tcW w:type="dxa" w:w="3402"/>
            <w:vAlign w:val="top"/>
            <w:shd w:fill="F1F5F7"/>
            <w:tcMar>
              <w:top w:w="65" w:type="dxa"/>
              <w:left w:w="95" w:type="dxa"/>
              <w:bottom w:w="65" w:type="dxa"/>
              <w:right w:w="95" w:type="dxa"/>
            </w:tcMar>
          </w:tcPr>
          <w:p>
            <w:pPr>
              <w:pStyle w:val="TableText"/>
            </w:pPr>
            <w:r>
              <w:rPr>
                <w:rFonts w:ascii="Arial" w:hAnsi="Arial"/>
                <w:b w:val="0"/>
              </w:rPr>
              <w:t>Dates d’entretien, portraits et témoignages cohérents.</w:t>
            </w:r>
          </w:p>
        </w:tc>
        <w:tc>
          <w:tcPr>
            <w:tcW w:type="dxa" w:w="3969"/>
            <w:vAlign w:val="top"/>
            <w:shd w:fill="F1F5F7"/>
            <w:tcMar>
              <w:top w:w="65" w:type="dxa"/>
              <w:left w:w="95" w:type="dxa"/>
              <w:bottom w:w="65" w:type="dxa"/>
              <w:right w:w="95" w:type="dxa"/>
            </w:tcMar>
          </w:tcPr>
          <w:p>
            <w:pPr>
              <w:pStyle w:val="TableText"/>
            </w:pPr>
            <w:r>
              <w:rPr>
                <w:rFonts w:ascii="Arial" w:hAnsi="Arial"/>
                <w:b w:val="0"/>
              </w:rPr>
              <w:t>Ch. 1–2. La différence d’époque est le cadre, pas un secret à étirer pendant tout le jeu.</w:t>
            </w:r>
          </w:p>
        </w:tc>
      </w:tr>
      <w:tr>
        <w:trPr>
          <w:cantSplit/>
        </w:trPr>
        <w:tc>
          <w:tcPr>
            <w:tcW w:type="dxa" w:w="2494"/>
            <w:vAlign w:val="top"/>
            <w:shd w:fill="FFFFFF"/>
            <w:tcMar>
              <w:top w:w="65" w:type="dxa"/>
              <w:left w:w="95" w:type="dxa"/>
              <w:bottom w:w="65" w:type="dxa"/>
              <w:right w:w="95" w:type="dxa"/>
            </w:tcMar>
          </w:tcPr>
          <w:p>
            <w:pPr>
              <w:pStyle w:val="TableText"/>
            </w:pPr>
            <w:r>
              <w:rPr>
                <w:rFonts w:ascii="Arial" w:hAnsi="Arial"/>
                <w:b w:val="0"/>
              </w:rPr>
              <w:t>H₀ a aidé Orthe</w:t>
            </w:r>
          </w:p>
        </w:tc>
        <w:tc>
          <w:tcPr>
            <w:tcW w:type="dxa" w:w="3402"/>
            <w:vAlign w:val="top"/>
            <w:shd w:fill="FFFFFF"/>
            <w:tcMar>
              <w:top w:w="65" w:type="dxa"/>
              <w:left w:w="95" w:type="dxa"/>
              <w:bottom w:w="65" w:type="dxa"/>
              <w:right w:w="95" w:type="dxa"/>
            </w:tcMar>
          </w:tcPr>
          <w:p>
            <w:pPr>
              <w:pStyle w:val="TableText"/>
            </w:pPr>
            <w:r>
              <w:rPr>
                <w:rFonts w:ascii="Arial" w:hAnsi="Arial"/>
                <w:b w:val="0"/>
              </w:rPr>
              <w:t>Réactions affectueuses, outils signés, réparations toujours en service.</w:t>
            </w:r>
          </w:p>
        </w:tc>
        <w:tc>
          <w:tcPr>
            <w:tcW w:type="dxa" w:w="3969"/>
            <w:vAlign w:val="top"/>
            <w:shd w:fill="FFFFFF"/>
            <w:tcMar>
              <w:top w:w="65" w:type="dxa"/>
              <w:left w:w="95" w:type="dxa"/>
              <w:bottom w:w="65" w:type="dxa"/>
              <w:right w:w="95" w:type="dxa"/>
            </w:tcMar>
          </w:tcPr>
          <w:p>
            <w:pPr>
              <w:pStyle w:val="TableText"/>
            </w:pPr>
            <w:r>
              <w:rPr>
                <w:rFonts w:ascii="Arial" w:hAnsi="Arial"/>
                <w:b w:val="0"/>
              </w:rPr>
              <w:t>Ch. 1–4. Les souvenirs heureux des habitants sont vrais.</w:t>
            </w:r>
          </w:p>
        </w:tc>
      </w:tr>
      <w:tr>
        <w:trPr>
          <w:cantSplit/>
        </w:trPr>
        <w:tc>
          <w:tcPr>
            <w:tcW w:type="dxa" w:w="2494"/>
            <w:vAlign w:val="top"/>
            <w:shd w:fill="F1F5F7"/>
            <w:tcMar>
              <w:top w:w="65" w:type="dxa"/>
              <w:left w:w="95" w:type="dxa"/>
              <w:bottom w:w="65" w:type="dxa"/>
              <w:right w:w="95" w:type="dxa"/>
            </w:tcMar>
          </w:tcPr>
          <w:p>
            <w:pPr>
              <w:pStyle w:val="TableText"/>
            </w:pPr>
            <w:r>
              <w:rPr>
                <w:rFonts w:ascii="Arial" w:hAnsi="Arial"/>
                <w:b w:val="0"/>
              </w:rPr>
              <w:t>C venait d’Orthe</w:t>
            </w:r>
          </w:p>
        </w:tc>
        <w:tc>
          <w:tcPr>
            <w:tcW w:type="dxa" w:w="3402"/>
            <w:vAlign w:val="top"/>
            <w:shd w:fill="F1F5F7"/>
            <w:tcMar>
              <w:top w:w="65" w:type="dxa"/>
              <w:left w:w="95" w:type="dxa"/>
              <w:bottom w:w="65" w:type="dxa"/>
              <w:right w:w="95" w:type="dxa"/>
            </w:tcMar>
          </w:tcPr>
          <w:p>
            <w:pPr>
              <w:pStyle w:val="TableText"/>
            </w:pPr>
            <w:r>
              <w:rPr>
                <w:rFonts w:ascii="Arial" w:hAnsi="Arial"/>
                <w:b w:val="0"/>
              </w:rPr>
              <w:t>Geste défensif du prologue, symbole du vestige, témoignage identifié.</w:t>
            </w:r>
          </w:p>
        </w:tc>
        <w:tc>
          <w:tcPr>
            <w:tcW w:type="dxa" w:w="3969"/>
            <w:vAlign w:val="top"/>
            <w:shd w:fill="F1F5F7"/>
            <w:tcMar>
              <w:top w:w="65" w:type="dxa"/>
              <w:left w:w="95" w:type="dxa"/>
              <w:bottom w:w="65" w:type="dxa"/>
              <w:right w:w="95" w:type="dxa"/>
            </w:tcMar>
          </w:tcPr>
          <w:p>
            <w:pPr>
              <w:pStyle w:val="TableText"/>
            </w:pPr>
            <w:r>
              <w:rPr>
                <w:rFonts w:ascii="Arial" w:hAnsi="Arial"/>
                <w:b w:val="0"/>
              </w:rPr>
              <w:t>Ch. 3. Le premier témoin informé le dit ; les détails intimes restent à établir.</w:t>
            </w:r>
          </w:p>
        </w:tc>
      </w:tr>
      <w:tr>
        <w:trPr>
          <w:cantSplit/>
        </w:trPr>
        <w:tc>
          <w:tcPr>
            <w:tcW w:type="dxa" w:w="2494"/>
            <w:vAlign w:val="top"/>
            <w:shd w:fill="FFFFFF"/>
            <w:tcMar>
              <w:top w:w="65" w:type="dxa"/>
              <w:left w:w="95" w:type="dxa"/>
              <w:bottom w:w="65" w:type="dxa"/>
              <w:right w:w="95" w:type="dxa"/>
            </w:tcMar>
          </w:tcPr>
          <w:p>
            <w:pPr>
              <w:pStyle w:val="TableText"/>
            </w:pPr>
            <w:r>
              <w:rPr>
                <w:rFonts w:ascii="Arial" w:hAnsi="Arial"/>
                <w:b w:val="0"/>
              </w:rPr>
              <w:t>H₀ a renforcé l’empire</w:t>
            </w:r>
          </w:p>
        </w:tc>
        <w:tc>
          <w:tcPr>
            <w:tcW w:type="dxa" w:w="3402"/>
            <w:vAlign w:val="top"/>
            <w:shd w:fill="FFFFFF"/>
            <w:tcMar>
              <w:top w:w="65" w:type="dxa"/>
              <w:left w:w="95" w:type="dxa"/>
              <w:bottom w:w="65" w:type="dxa"/>
              <w:right w:w="95" w:type="dxa"/>
            </w:tcMar>
          </w:tcPr>
          <w:p>
            <w:pPr>
              <w:pStyle w:val="TableText"/>
            </w:pPr>
            <w:r>
              <w:rPr>
                <w:rFonts w:ascii="Arial" w:hAnsi="Arial"/>
                <w:b w:val="0"/>
              </w:rPr>
              <w:t>Contrats, rationnements et descriptions concordantes d’ouvriers.</w:t>
            </w:r>
          </w:p>
        </w:tc>
        <w:tc>
          <w:tcPr>
            <w:tcW w:type="dxa" w:w="3969"/>
            <w:vAlign w:val="top"/>
            <w:shd w:fill="FFFFFF"/>
            <w:tcMar>
              <w:top w:w="65" w:type="dxa"/>
              <w:left w:w="95" w:type="dxa"/>
              <w:bottom w:w="65" w:type="dxa"/>
              <w:right w:w="95" w:type="dxa"/>
            </w:tcMar>
          </w:tcPr>
          <w:p>
            <w:pPr>
              <w:pStyle w:val="TableText"/>
            </w:pPr>
            <w:r>
              <w:rPr>
                <w:rFonts w:ascii="Arial" w:hAnsi="Arial"/>
                <w:b w:val="0"/>
              </w:rPr>
              <w:t>Ch. 4–6. Le retournement ne rend pas fausses ses bonnes actions.</w:t>
            </w:r>
          </w:p>
        </w:tc>
      </w:tr>
      <w:tr>
        <w:trPr>
          <w:cantSplit/>
        </w:trPr>
        <w:tc>
          <w:tcPr>
            <w:tcW w:type="dxa" w:w="2494"/>
            <w:vAlign w:val="top"/>
            <w:shd w:fill="F1F5F7"/>
            <w:tcMar>
              <w:top w:w="65" w:type="dxa"/>
              <w:left w:w="95" w:type="dxa"/>
              <w:bottom w:w="65" w:type="dxa"/>
              <w:right w:w="95" w:type="dxa"/>
            </w:tcMar>
          </w:tcPr>
          <w:p>
            <w:pPr>
              <w:pStyle w:val="TableText"/>
            </w:pPr>
            <w:r>
              <w:rPr>
                <w:rFonts w:ascii="Arial" w:hAnsi="Arial"/>
                <w:b w:val="0"/>
              </w:rPr>
              <w:t>Il existe deux continuités</w:t>
            </w:r>
          </w:p>
        </w:tc>
        <w:tc>
          <w:tcPr>
            <w:tcW w:type="dxa" w:w="3402"/>
            <w:vAlign w:val="top"/>
            <w:shd w:fill="F1F5F7"/>
            <w:tcMar>
              <w:top w:w="65" w:type="dxa"/>
              <w:left w:w="95" w:type="dxa"/>
              <w:bottom w:w="65" w:type="dxa"/>
              <w:right w:w="95" w:type="dxa"/>
            </w:tcMar>
          </w:tcPr>
          <w:p>
            <w:pPr>
              <w:pStyle w:val="TableText"/>
            </w:pPr>
            <w:r>
              <w:rPr>
                <w:rFonts w:ascii="Arial" w:hAnsi="Arial"/>
                <w:b w:val="0"/>
              </w:rPr>
              <w:t>L’absence d’attaque dans les archives source et les incompatibilités d’âge.</w:t>
            </w:r>
          </w:p>
        </w:tc>
        <w:tc>
          <w:tcPr>
            <w:tcW w:type="dxa" w:w="3969"/>
            <w:vAlign w:val="top"/>
            <w:shd w:fill="F1F5F7"/>
            <w:tcMar>
              <w:top w:w="65" w:type="dxa"/>
              <w:left w:w="95" w:type="dxa"/>
              <w:bottom w:w="65" w:type="dxa"/>
              <w:right w:w="95" w:type="dxa"/>
            </w:tcMar>
          </w:tcPr>
          <w:p>
            <w:pPr>
              <w:pStyle w:val="TableText"/>
            </w:pPr>
            <w:r>
              <w:rPr>
                <w:rFonts w:ascii="Arial" w:hAnsi="Arial"/>
                <w:b w:val="0"/>
              </w:rPr>
              <w:t>Ch. 7. Explication complète et schéma simple ; pas de nouvelle règle inventée au dernier combat.</w:t>
            </w:r>
          </w:p>
        </w:tc>
      </w:tr>
      <w:tr>
        <w:trPr>
          <w:cantSplit/>
        </w:trPr>
        <w:tc>
          <w:tcPr>
            <w:tcW w:type="dxa" w:w="2494"/>
            <w:vAlign w:val="top"/>
            <w:shd w:fill="FFFFFF"/>
            <w:tcMar>
              <w:top w:w="65" w:type="dxa"/>
              <w:left w:w="95" w:type="dxa"/>
              <w:bottom w:w="65" w:type="dxa"/>
              <w:right w:w="95" w:type="dxa"/>
            </w:tcMar>
          </w:tcPr>
          <w:p>
            <w:pPr>
              <w:pStyle w:val="TableText"/>
            </w:pPr>
            <w:r>
              <w:rPr>
                <w:rFonts w:ascii="Arial" w:hAnsi="Arial"/>
                <w:b w:val="0"/>
              </w:rPr>
              <w:t>C₀ est définitivement mort</w:t>
            </w:r>
          </w:p>
        </w:tc>
        <w:tc>
          <w:tcPr>
            <w:tcW w:type="dxa" w:w="3402"/>
            <w:vAlign w:val="top"/>
            <w:shd w:fill="FFFFFF"/>
            <w:tcMar>
              <w:top w:w="65" w:type="dxa"/>
              <w:left w:w="95" w:type="dxa"/>
              <w:bottom w:w="65" w:type="dxa"/>
              <w:right w:w="95" w:type="dxa"/>
            </w:tcMar>
          </w:tcPr>
          <w:p>
            <w:pPr>
              <w:pStyle w:val="TableText"/>
            </w:pPr>
            <w:r>
              <w:rPr>
                <w:rFonts w:ascii="Arial" w:hAnsi="Arial"/>
                <w:b w:val="0"/>
              </w:rPr>
              <w:t>Disparition rapportée dès le ch. 3 ; mémorial, témoin direct et destruction documentée du noyau.</w:t>
            </w:r>
          </w:p>
        </w:tc>
        <w:tc>
          <w:tcPr>
            <w:tcW w:type="dxa" w:w="3969"/>
            <w:vAlign w:val="top"/>
            <w:shd w:fill="FFFFFF"/>
            <w:tcMar>
              <w:top w:w="65" w:type="dxa"/>
              <w:left w:w="95" w:type="dxa"/>
              <w:bottom w:w="65" w:type="dxa"/>
              <w:right w:w="95" w:type="dxa"/>
            </w:tcMar>
          </w:tcPr>
          <w:p>
            <w:pPr>
              <w:pStyle w:val="TableText"/>
            </w:pPr>
            <w:r>
              <w:rPr>
                <w:rFonts w:ascii="Arial" w:hAnsi="Arial"/>
                <w:b w:val="0"/>
              </w:rPr>
              <w:t>Ch. 7. Les circonstances sont établies. Une perte importante reste irréversible.</w:t>
            </w:r>
          </w:p>
        </w:tc>
      </w:tr>
      <w:tr>
        <w:trPr>
          <w:cantSplit/>
        </w:trPr>
        <w:tc>
          <w:tcPr>
            <w:tcW w:type="dxa" w:w="2494"/>
            <w:vAlign w:val="top"/>
            <w:shd w:fill="F1F5F7"/>
            <w:tcMar>
              <w:top w:w="65" w:type="dxa"/>
              <w:left w:w="95" w:type="dxa"/>
              <w:bottom w:w="65" w:type="dxa"/>
              <w:right w:w="95" w:type="dxa"/>
            </w:tcMar>
          </w:tcPr>
          <w:p>
            <w:pPr>
              <w:pStyle w:val="TableText"/>
            </w:pPr>
            <w:r>
              <w:rPr>
                <w:rFonts w:ascii="Arial" w:hAnsi="Arial"/>
                <w:b w:val="0"/>
              </w:rPr>
              <w:t>C₁ peut encore être sauvé</w:t>
            </w:r>
          </w:p>
        </w:tc>
        <w:tc>
          <w:tcPr>
            <w:tcW w:type="dxa" w:w="3402"/>
            <w:vAlign w:val="top"/>
            <w:shd w:fill="F1F5F7"/>
            <w:tcMar>
              <w:top w:w="65" w:type="dxa"/>
              <w:left w:w="95" w:type="dxa"/>
              <w:bottom w:w="65" w:type="dxa"/>
              <w:right w:w="95" w:type="dxa"/>
            </w:tcMar>
          </w:tcPr>
          <w:p>
            <w:pPr>
              <w:pStyle w:val="TableText"/>
            </w:pPr>
            <w:r>
              <w:rPr>
                <w:rFonts w:ascii="Arial" w:hAnsi="Arial"/>
                <w:b w:val="0"/>
              </w:rPr>
              <w:t>Trace lumineuse du prologue et reliquat chronal mesurable.</w:t>
            </w:r>
          </w:p>
        </w:tc>
        <w:tc>
          <w:tcPr>
            <w:tcW w:type="dxa" w:w="3969"/>
            <w:vAlign w:val="top"/>
            <w:shd w:fill="F1F5F7"/>
            <w:tcMar>
              <w:top w:w="65" w:type="dxa"/>
              <w:left w:w="95" w:type="dxa"/>
              <w:bottom w:w="65" w:type="dxa"/>
              <w:right w:w="95" w:type="dxa"/>
            </w:tcMar>
          </w:tcPr>
          <w:p>
            <w:pPr>
              <w:pStyle w:val="TableText"/>
            </w:pPr>
            <w:r>
              <w:rPr>
                <w:rFonts w:ascii="Arial" w:hAnsi="Arial"/>
                <w:b w:val="0"/>
              </w:rPr>
              <w:t>Ch. 8. Espoir conditionné par une procédure définie, jamais promesse de ressusciter tous les morts.</w:t>
            </w:r>
          </w:p>
        </w:tc>
      </w:tr>
      <w:tr>
        <w:trPr>
          <w:cantSplit/>
        </w:trPr>
        <w:tc>
          <w:tcPr>
            <w:tcW w:type="dxa" w:w="2494"/>
            <w:vAlign w:val="top"/>
            <w:shd w:fill="FFFFFF"/>
            <w:tcMar>
              <w:top w:w="65" w:type="dxa"/>
              <w:left w:w="95" w:type="dxa"/>
              <w:bottom w:w="65" w:type="dxa"/>
              <w:right w:w="95" w:type="dxa"/>
            </w:tcMar>
          </w:tcPr>
          <w:p>
            <w:pPr>
              <w:pStyle w:val="TableText"/>
            </w:pPr>
            <w:r>
              <w:rPr>
                <w:rFonts w:ascii="Arial" w:hAnsi="Arial"/>
                <w:b w:val="0"/>
              </w:rPr>
              <w:t>Le noyau de H est non enregistré</w:t>
            </w:r>
          </w:p>
        </w:tc>
        <w:tc>
          <w:tcPr>
            <w:tcW w:type="dxa" w:w="3402"/>
            <w:vAlign w:val="top"/>
            <w:shd w:fill="FFFFFF"/>
            <w:tcMar>
              <w:top w:w="65" w:type="dxa"/>
              <w:left w:w="95" w:type="dxa"/>
              <w:bottom w:w="65" w:type="dxa"/>
              <w:right w:w="95" w:type="dxa"/>
            </w:tcMar>
          </w:tcPr>
          <w:p>
            <w:pPr>
              <w:pStyle w:val="TableText"/>
            </w:pPr>
            <w:r>
              <w:rPr>
                <w:rFonts w:ascii="Arial" w:hAnsi="Arial"/>
                <w:b w:val="0"/>
              </w:rPr>
              <w:t>Erreurs du réseau devant sa signature, registres du programme de sauvegarde.</w:t>
            </w:r>
          </w:p>
        </w:tc>
        <w:tc>
          <w:tcPr>
            <w:tcW w:type="dxa" w:w="3969"/>
            <w:vAlign w:val="top"/>
            <w:shd w:fill="FFFFFF"/>
            <w:tcMar>
              <w:top w:w="65" w:type="dxa"/>
              <w:left w:w="95" w:type="dxa"/>
              <w:bottom w:w="65" w:type="dxa"/>
              <w:right w:w="95" w:type="dxa"/>
            </w:tcMar>
          </w:tcPr>
          <w:p>
            <w:pPr>
              <w:pStyle w:val="TableText"/>
            </w:pPr>
            <w:r>
              <w:rPr>
                <w:rFonts w:ascii="Arial" w:hAnsi="Arial"/>
                <w:b w:val="0"/>
              </w:rPr>
              <w:t>Ch. 9. Cause de son exception et limites de cette exception.</w:t>
            </w:r>
          </w:p>
        </w:tc>
      </w:tr>
      <w:tr>
        <w:trPr>
          <w:cantSplit/>
        </w:trPr>
        <w:tc>
          <w:tcPr>
            <w:tcW w:type="dxa" w:w="2494"/>
            <w:vAlign w:val="top"/>
            <w:shd w:fill="F1F5F7"/>
            <w:tcMar>
              <w:top w:w="65" w:type="dxa"/>
              <w:left w:w="95" w:type="dxa"/>
              <w:bottom w:w="65" w:type="dxa"/>
              <w:right w:w="95" w:type="dxa"/>
            </w:tcMar>
          </w:tcPr>
          <w:p>
            <w:pPr>
              <w:pStyle w:val="TableText"/>
            </w:pPr>
            <w:r>
              <w:rPr>
                <w:rFonts w:ascii="Arial" w:hAnsi="Arial"/>
                <w:b w:val="0"/>
              </w:rPr>
              <w:t>La mission de C</w:t>
            </w:r>
          </w:p>
        </w:tc>
        <w:tc>
          <w:tcPr>
            <w:tcW w:type="dxa" w:w="3402"/>
            <w:vAlign w:val="top"/>
            <w:shd w:fill="F1F5F7"/>
            <w:tcMar>
              <w:top w:w="65" w:type="dxa"/>
              <w:left w:w="95" w:type="dxa"/>
              <w:bottom w:w="65" w:type="dxa"/>
              <w:right w:w="95" w:type="dxa"/>
            </w:tcMar>
          </w:tcPr>
          <w:p>
            <w:pPr>
              <w:pStyle w:val="TableText"/>
            </w:pPr>
            <w:r>
              <w:rPr>
                <w:rFonts w:ascii="Arial" w:hAnsi="Arial"/>
                <w:b w:val="0"/>
              </w:rPr>
              <w:t>Documents de départ, démission et chronologie de la rencontre adulte.</w:t>
            </w:r>
          </w:p>
        </w:tc>
        <w:tc>
          <w:tcPr>
            <w:tcW w:type="dxa" w:w="3969"/>
            <w:vAlign w:val="top"/>
            <w:shd w:fill="F1F5F7"/>
            <w:tcMar>
              <w:top w:w="65" w:type="dxa"/>
              <w:left w:w="95" w:type="dxa"/>
              <w:bottom w:w="65" w:type="dxa"/>
              <w:right w:w="95" w:type="dxa"/>
            </w:tcMar>
          </w:tcPr>
          <w:p>
            <w:pPr>
              <w:pStyle w:val="TableText"/>
            </w:pPr>
            <w:r>
              <w:rPr>
                <w:rFonts w:ascii="Arial" w:hAnsi="Arial"/>
                <w:b w:val="0"/>
              </w:rPr>
              <w:t>Ch. 10. Le secret est discuté ; l’amour n’est pas un ordre reçu.</w:t>
            </w:r>
          </w:p>
        </w:tc>
      </w:tr>
      <w:tr>
        <w:trPr>
          <w:cantSplit/>
        </w:trPr>
        <w:tc>
          <w:tcPr>
            <w:tcW w:type="dxa" w:w="2494"/>
            <w:vAlign w:val="top"/>
            <w:shd w:fill="FFFFFF"/>
            <w:tcMar>
              <w:top w:w="65" w:type="dxa"/>
              <w:left w:w="95" w:type="dxa"/>
              <w:bottom w:w="65" w:type="dxa"/>
              <w:right w:w="95" w:type="dxa"/>
            </w:tcMar>
          </w:tcPr>
          <w:p>
            <w:pPr>
              <w:pStyle w:val="TableText"/>
            </w:pPr>
            <w:r>
              <w:rPr>
                <w:rFonts w:ascii="Arial" w:hAnsi="Arial"/>
                <w:b w:val="0"/>
              </w:rPr>
              <w:t>H₀ a tenté de réparer ses fautes</w:t>
            </w:r>
          </w:p>
        </w:tc>
        <w:tc>
          <w:tcPr>
            <w:tcW w:type="dxa" w:w="3402"/>
            <w:vAlign w:val="top"/>
            <w:shd w:fill="FFFFFF"/>
            <w:tcMar>
              <w:top w:w="65" w:type="dxa"/>
              <w:left w:w="95" w:type="dxa"/>
              <w:bottom w:w="65" w:type="dxa"/>
              <w:right w:w="95" w:type="dxa"/>
            </w:tcMar>
          </w:tcPr>
          <w:p>
            <w:pPr>
              <w:pStyle w:val="TableText"/>
            </w:pPr>
            <w:r>
              <w:rPr>
                <w:rFonts w:ascii="Arial" w:hAnsi="Arial"/>
                <w:b w:val="0"/>
              </w:rPr>
              <w:t>Archives distribuées, accès ouverts aux régions et travaux inachevés.</w:t>
            </w:r>
          </w:p>
        </w:tc>
        <w:tc>
          <w:tcPr>
            <w:tcW w:type="dxa" w:w="3969"/>
            <w:vAlign w:val="top"/>
            <w:shd w:fill="FFFFFF"/>
            <w:tcMar>
              <w:top w:w="65" w:type="dxa"/>
              <w:left w:w="95" w:type="dxa"/>
              <w:bottom w:w="65" w:type="dxa"/>
              <w:right w:w="95" w:type="dxa"/>
            </w:tcMar>
          </w:tcPr>
          <w:p>
            <w:pPr>
              <w:pStyle w:val="TableText"/>
            </w:pPr>
            <w:r>
              <w:rPr>
                <w:rFonts w:ascii="Arial" w:hAnsi="Arial"/>
                <w:b w:val="0"/>
              </w:rPr>
              <w:t>Ch. 12. Son dernier acte n’efface pas sa responsabilité.</w:t>
            </w:r>
          </w:p>
        </w:tc>
      </w:tr>
      <w:tr>
        <w:trPr>
          <w:cantSplit/>
        </w:trPr>
        <w:tc>
          <w:tcPr>
            <w:tcW w:type="dxa" w:w="2494"/>
            <w:vAlign w:val="top"/>
            <w:shd w:fill="F1F5F7"/>
            <w:tcMar>
              <w:top w:w="65" w:type="dxa"/>
              <w:left w:w="95" w:type="dxa"/>
              <w:bottom w:w="65" w:type="dxa"/>
              <w:right w:w="95" w:type="dxa"/>
            </w:tcMar>
          </w:tcPr>
          <w:p>
            <w:pPr>
              <w:pStyle w:val="TableText"/>
            </w:pPr>
            <w:r>
              <w:rPr>
                <w:rFonts w:ascii="Arial" w:hAnsi="Arial"/>
                <w:b w:val="0"/>
              </w:rPr>
              <w:t>La vraie raison du raid en A</w:t>
            </w:r>
          </w:p>
        </w:tc>
        <w:tc>
          <w:tcPr>
            <w:tcW w:type="dxa" w:w="3402"/>
            <w:vAlign w:val="top"/>
            <w:shd w:fill="F1F5F7"/>
            <w:tcMar>
              <w:top w:w="65" w:type="dxa"/>
              <w:left w:w="95" w:type="dxa"/>
              <w:bottom w:w="65" w:type="dxa"/>
              <w:right w:w="95" w:type="dxa"/>
            </w:tcMar>
          </w:tcPr>
          <w:p>
            <w:pPr>
              <w:pStyle w:val="TableText"/>
            </w:pPr>
            <w:r>
              <w:rPr>
                <w:rFonts w:ascii="Arial" w:hAnsi="Arial"/>
                <w:b w:val="0"/>
              </w:rPr>
              <w:t>Séveran cherche une signature, pas une date symbolique ; la machine refuse certaines cibles.</w:t>
            </w:r>
          </w:p>
        </w:tc>
        <w:tc>
          <w:tcPr>
            <w:tcW w:type="dxa" w:w="3969"/>
            <w:vAlign w:val="top"/>
            <w:shd w:fill="F1F5F7"/>
            <w:tcMar>
              <w:top w:w="65" w:type="dxa"/>
              <w:left w:w="95" w:type="dxa"/>
              <w:bottom w:w="65" w:type="dxa"/>
              <w:right w:w="95" w:type="dxa"/>
            </w:tcMar>
          </w:tcPr>
          <w:p>
            <w:pPr>
              <w:pStyle w:val="TableText"/>
            </w:pPr>
            <w:r>
              <w:rPr>
                <w:rFonts w:ascii="Arial" w:hAnsi="Arial"/>
                <w:b w:val="0"/>
              </w:rPr>
              <w:t>Ch. 12. Il veut une clé jeune, pas modifier l’histoire globale.</w:t>
            </w:r>
          </w:p>
        </w:tc>
      </w:tr>
      <w:tr>
        <w:trPr>
          <w:cantSplit/>
        </w:trPr>
        <w:tc>
          <w:tcPr>
            <w:tcW w:type="dxa" w:w="2494"/>
            <w:vAlign w:val="top"/>
            <w:shd w:fill="FFFFFF"/>
            <w:tcMar>
              <w:top w:w="65" w:type="dxa"/>
              <w:left w:w="95" w:type="dxa"/>
              <w:bottom w:w="65" w:type="dxa"/>
              <w:right w:w="95" w:type="dxa"/>
            </w:tcMar>
          </w:tcPr>
          <w:p>
            <w:pPr>
              <w:pStyle w:val="TableText"/>
            </w:pPr>
            <w:r>
              <w:rPr>
                <w:rFonts w:ascii="Arial" w:hAnsi="Arial"/>
                <w:b w:val="0"/>
              </w:rPr>
              <w:t>Le retour ne sera pas un effacement</w:t>
            </w:r>
          </w:p>
        </w:tc>
        <w:tc>
          <w:tcPr>
            <w:tcW w:type="dxa" w:w="3402"/>
            <w:vAlign w:val="top"/>
            <w:shd w:fill="FFFFFF"/>
            <w:tcMar>
              <w:top w:w="65" w:type="dxa"/>
              <w:left w:w="95" w:type="dxa"/>
              <w:bottom w:w="65" w:type="dxa"/>
              <w:right w:w="95" w:type="dxa"/>
            </w:tcMar>
          </w:tcPr>
          <w:p>
            <w:pPr>
              <w:pStyle w:val="TableText"/>
            </w:pPr>
            <w:r>
              <w:rPr>
                <w:rFonts w:ascii="Arial" w:hAnsi="Arial"/>
                <w:b w:val="0"/>
              </w:rPr>
              <w:t>Chaque réparation possède un coût ; les essais ne rembobinent jamais ce qui a déjà été consommé.</w:t>
            </w:r>
          </w:p>
        </w:tc>
        <w:tc>
          <w:tcPr>
            <w:tcW w:type="dxa" w:w="3969"/>
            <w:vAlign w:val="top"/>
            <w:shd w:fill="FFFFFF"/>
            <w:tcMar>
              <w:top w:w="65" w:type="dxa"/>
              <w:left w:w="95" w:type="dxa"/>
              <w:bottom w:w="65" w:type="dxa"/>
              <w:right w:w="95" w:type="dxa"/>
            </w:tcMar>
          </w:tcPr>
          <w:p>
            <w:pPr>
              <w:pStyle w:val="TableText"/>
            </w:pPr>
            <w:r>
              <w:rPr>
                <w:rFonts w:ascii="Arial" w:hAnsi="Arial"/>
                <w:b w:val="0"/>
              </w:rPr>
              <w:t>Ch. 14–16. Sauver C₁ ne restaure pas une histoire où personne n’a souffert.</w:t>
            </w:r>
          </w:p>
        </w:tc>
      </w:tr>
    </w:tbl>
    <w:p>
      <w:pPr>
        <w:spacing w:after="0"/>
      </w:pPr>
    </w:p>
    <w:p>
      <w:r>
        <w:br w:type="page"/>
      </w:r>
    </w:p>
    <w:p>
      <w:pPr>
        <w:spacing w:after="60"/>
      </w:pPr>
      <w:r>
        <w:rPr>
          <w:rFonts w:ascii="Arial" w:hAnsi="Arial"/>
          <w:b/>
          <w:color w:val="677784"/>
          <w:sz w:val="16"/>
        </w:rPr>
        <w:t>TESTS DE COHÉRENCE • PARTIE 1</w:t>
      </w:r>
    </w:p>
    <w:p>
      <w:bookmarkStart w:id="27" w:name="section_27"/>
      <w:pPr>
        <w:pStyle w:val="Heading1"/>
      </w:pPr>
      <w:r>
        <w:t>26 — Audit des paradoxes temporels</w:t>
      </w:r>
      <w:bookmarkEnd w:id="27"/>
    </w:p>
    <w:tbl>
      <w:tblPr>
        <w:tblW w:type="auto" w:w="0"/>
        <w:jc w:val="center"/>
        <w:tblLayout w:type="fixed"/>
        <w:tblLook w:firstColumn="1" w:firstRow="1" w:lastColumn="0" w:lastRow="0" w:noHBand="0" w:noVBand="1" w:val="04A0"/>
      </w:tblPr>
      <w:tblGrid>
        <w:gridCol w:w="2891"/>
        <w:gridCol w:w="6973"/>
      </w:tblGrid>
      <w:tr>
        <w:trPr>
          <w:tblHeader/>
        </w:trPr>
        <w:tc>
          <w:tcPr>
            <w:tcW w:type="dxa" w:w="2891"/>
            <w:vAlign w:val="center"/>
            <w:shd w:fill="253A52"/>
            <w:tcMar>
              <w:top w:w="65" w:type="dxa"/>
              <w:left w:w="95" w:type="dxa"/>
              <w:bottom w:w="65" w:type="dxa"/>
              <w:right w:w="95" w:type="dxa"/>
            </w:tcMar>
          </w:tcPr>
          <w:p>
            <w:pPr>
              <w:pStyle w:val="TableText"/>
            </w:pPr>
            <w:r>
              <w:rPr>
                <w:rFonts w:ascii="Arial" w:hAnsi="Arial"/>
                <w:b/>
                <w:color w:val="FFFFFF"/>
              </w:rPr>
              <w:t>Objection</w:t>
            </w:r>
          </w:p>
        </w:tc>
        <w:tc>
          <w:tcPr>
            <w:tcW w:type="dxa" w:w="6973"/>
            <w:vAlign w:val="center"/>
            <w:shd w:fill="253A52"/>
            <w:tcMar>
              <w:top w:w="65" w:type="dxa"/>
              <w:left w:w="95" w:type="dxa"/>
              <w:bottom w:w="65" w:type="dxa"/>
              <w:right w:w="95" w:type="dxa"/>
            </w:tcMar>
          </w:tcPr>
          <w:p>
            <w:pPr>
              <w:pStyle w:val="TableText"/>
            </w:pPr>
            <w:r>
              <w:rPr>
                <w:rFonts w:ascii="Arial" w:hAnsi="Arial"/>
                <w:b/>
                <w:color w:val="FFFFFF"/>
              </w:rPr>
              <w:t>Réponse et garde-fou</w:t>
            </w:r>
          </w:p>
        </w:tc>
      </w:tr>
      <w:tr>
        <w:trPr>
          <w:cantSplit/>
        </w:trPr>
        <w:tc>
          <w:tcPr>
            <w:tcW w:type="dxa" w:w="2891"/>
            <w:vAlign w:val="top"/>
            <w:shd w:fill="F1F5F7"/>
            <w:tcMar>
              <w:top w:w="65" w:type="dxa"/>
              <w:left w:w="95" w:type="dxa"/>
              <w:bottom w:w="65" w:type="dxa"/>
              <w:right w:w="95" w:type="dxa"/>
            </w:tcMar>
          </w:tcPr>
          <w:p>
            <w:pPr>
              <w:pStyle w:val="TableText"/>
            </w:pPr>
            <w:r>
              <w:rPr>
                <w:rFonts w:ascii="Arial" w:hAnsi="Arial"/>
                <w:b w:val="0"/>
              </w:rPr>
              <w:t>Si H quitte A, qui invente la machine ?</w:t>
            </w:r>
          </w:p>
        </w:tc>
        <w:tc>
          <w:tcPr>
            <w:tcW w:type="dxa" w:w="6973"/>
            <w:vAlign w:val="top"/>
            <w:shd w:fill="F1F5F7"/>
            <w:tcMar>
              <w:top w:w="65" w:type="dxa"/>
              <w:left w:w="95" w:type="dxa"/>
              <w:bottom w:w="65" w:type="dxa"/>
              <w:right w:w="95" w:type="dxa"/>
            </w:tcMar>
          </w:tcPr>
          <w:p>
            <w:pPr>
              <w:pStyle w:val="TableText"/>
            </w:pPr>
            <w:r>
              <w:rPr>
                <w:rFonts w:ascii="Arial" w:hAnsi="Arial"/>
                <w:b w:val="0"/>
              </w:rPr>
              <w:t>H₀ a vécu A₀ sans attaque. H₁ est issu de la bifurcation A₁ ouverte en Z. La machine ne dépend pas de la continuation qu’elle extrait.</w:t>
            </w:r>
          </w:p>
        </w:tc>
      </w:tr>
      <w:tr>
        <w:trPr>
          <w:cantSplit/>
        </w:trPr>
        <w:tc>
          <w:tcPr>
            <w:tcW w:type="dxa" w:w="2891"/>
            <w:vAlign w:val="top"/>
            <w:shd w:fill="FFFFFF"/>
            <w:tcMar>
              <w:top w:w="65" w:type="dxa"/>
              <w:left w:w="95" w:type="dxa"/>
              <w:bottom w:w="65" w:type="dxa"/>
              <w:right w:w="95" w:type="dxa"/>
            </w:tcMar>
          </w:tcPr>
          <w:p>
            <w:pPr>
              <w:pStyle w:val="TableText"/>
            </w:pPr>
            <w:r>
              <w:rPr>
                <w:rFonts w:ascii="Arial" w:hAnsi="Arial"/>
                <w:b w:val="0"/>
              </w:rPr>
              <w:t>Tuer H₀ devrait-il faire disparaître l’assaillant ?</w:t>
            </w:r>
          </w:p>
        </w:tc>
        <w:tc>
          <w:tcPr>
            <w:tcW w:type="dxa" w:w="6973"/>
            <w:vAlign w:val="top"/>
            <w:shd w:fill="FFFFFF"/>
            <w:tcMar>
              <w:top w:w="65" w:type="dxa"/>
              <w:left w:w="95" w:type="dxa"/>
              <w:bottom w:w="65" w:type="dxa"/>
              <w:right w:w="95" w:type="dxa"/>
            </w:tcMar>
          </w:tcPr>
          <w:p>
            <w:pPr>
              <w:pStyle w:val="TableText"/>
            </w:pPr>
            <w:r>
              <w:rPr>
                <w:rFonts w:ascii="Arial" w:hAnsi="Arial"/>
                <w:b w:val="0"/>
              </w:rPr>
              <w:t>Non. Séveran n’est pas H₀ et les événements antérieurs de la source ne changent pas. Aucune disparition rétroactive n’existe dans ces règles.</w:t>
            </w:r>
          </w:p>
        </w:tc>
      </w:tr>
      <w:tr>
        <w:trPr>
          <w:cantSplit/>
        </w:trPr>
        <w:tc>
          <w:tcPr>
            <w:tcW w:type="dxa" w:w="2891"/>
            <w:vAlign w:val="top"/>
            <w:shd w:fill="F1F5F7"/>
            <w:tcMar>
              <w:top w:w="65" w:type="dxa"/>
              <w:left w:w="95" w:type="dxa"/>
              <w:bottom w:w="65" w:type="dxa"/>
              <w:right w:w="95" w:type="dxa"/>
            </w:tcMar>
          </w:tcPr>
          <w:p>
            <w:pPr>
              <w:pStyle w:val="TableText"/>
            </w:pPr>
            <w:r>
              <w:rPr>
                <w:rFonts w:ascii="Arial" w:hAnsi="Arial"/>
                <w:b w:val="0"/>
              </w:rPr>
              <w:t>Pourquoi Orthe ne recule-t-elle pas de quatorze ans ?</w:t>
            </w:r>
          </w:p>
        </w:tc>
        <w:tc>
          <w:tcPr>
            <w:tcW w:type="dxa" w:w="6973"/>
            <w:vAlign w:val="top"/>
            <w:shd w:fill="F1F5F7"/>
            <w:tcMar>
              <w:top w:w="65" w:type="dxa"/>
              <w:left w:w="95" w:type="dxa"/>
              <w:bottom w:w="65" w:type="dxa"/>
              <w:right w:w="95" w:type="dxa"/>
            </w:tcMar>
          </w:tcPr>
          <w:p>
            <w:pPr>
              <w:pStyle w:val="TableText"/>
            </w:pPr>
            <w:r>
              <w:rPr>
                <w:rFonts w:ascii="Arial" w:hAnsi="Arial"/>
                <w:b w:val="0"/>
              </w:rPr>
              <w:t>Aucune planète ne recule. Seul un périmètre local est déployé à partir d’un ancien état. Orthe poursuit son histoire normalement.</w:t>
            </w:r>
          </w:p>
        </w:tc>
      </w:tr>
      <w:tr>
        <w:trPr>
          <w:cantSplit/>
        </w:trPr>
        <w:tc>
          <w:tcPr>
            <w:tcW w:type="dxa" w:w="2891"/>
            <w:vAlign w:val="top"/>
            <w:shd w:fill="FFFFFF"/>
            <w:tcMar>
              <w:top w:w="65" w:type="dxa"/>
              <w:left w:w="95" w:type="dxa"/>
              <w:bottom w:w="65" w:type="dxa"/>
              <w:right w:w="95" w:type="dxa"/>
            </w:tcMar>
          </w:tcPr>
          <w:p>
            <w:pPr>
              <w:pStyle w:val="TableText"/>
            </w:pPr>
            <w:r>
              <w:rPr>
                <w:rFonts w:ascii="Arial" w:hAnsi="Arial"/>
                <w:b w:val="0"/>
              </w:rPr>
              <w:t>Peut-il y avoir deux H ?</w:t>
            </w:r>
          </w:p>
        </w:tc>
        <w:tc>
          <w:tcPr>
            <w:tcW w:type="dxa" w:w="6973"/>
            <w:vAlign w:val="top"/>
            <w:shd w:fill="FFFFFF"/>
            <w:tcMar>
              <w:top w:w="65" w:type="dxa"/>
              <w:left w:w="95" w:type="dxa"/>
              <w:bottom w:w="65" w:type="dxa"/>
              <w:right w:w="95" w:type="dxa"/>
            </w:tcMar>
          </w:tcPr>
          <w:p>
            <w:pPr>
              <w:pStyle w:val="TableText"/>
            </w:pPr>
            <w:r>
              <w:rPr>
                <w:rFonts w:ascii="Arial" w:hAnsi="Arial"/>
                <w:b w:val="0"/>
              </w:rPr>
              <w:t>Oui. Plusieurs continuations physiques sont possibles. La mort de H₀ n’est pas nécessaire à la logique ; elle appartient au crime de Séveran.</w:t>
            </w:r>
          </w:p>
        </w:tc>
      </w:tr>
      <w:tr>
        <w:trPr>
          <w:cantSplit/>
        </w:trPr>
        <w:tc>
          <w:tcPr>
            <w:tcW w:type="dxa" w:w="2891"/>
            <w:vAlign w:val="top"/>
            <w:shd w:fill="F1F5F7"/>
            <w:tcMar>
              <w:top w:w="65" w:type="dxa"/>
              <w:left w:w="95" w:type="dxa"/>
              <w:bottom w:w="65" w:type="dxa"/>
              <w:right w:w="95" w:type="dxa"/>
            </w:tcMar>
          </w:tcPr>
          <w:p>
            <w:pPr>
              <w:pStyle w:val="TableText"/>
            </w:pPr>
            <w:r>
              <w:rPr>
                <w:rFonts w:ascii="Arial" w:hAnsi="Arial"/>
                <w:b w:val="0"/>
              </w:rPr>
              <w:t>La machine sort-elle de nulle part ?</w:t>
            </w:r>
          </w:p>
        </w:tc>
        <w:tc>
          <w:tcPr>
            <w:tcW w:type="dxa" w:w="6973"/>
            <w:vAlign w:val="top"/>
            <w:shd w:fill="F1F5F7"/>
            <w:tcMar>
              <w:top w:w="65" w:type="dxa"/>
              <w:left w:w="95" w:type="dxa"/>
              <w:bottom w:w="65" w:type="dxa"/>
              <w:right w:w="95" w:type="dxa"/>
            </w:tcMar>
          </w:tcPr>
          <w:p>
            <w:pPr>
              <w:pStyle w:val="TableText"/>
            </w:pPr>
            <w:r>
              <w:rPr>
                <w:rFonts w:ascii="Arial" w:hAnsi="Arial"/>
                <w:b w:val="0"/>
              </w:rPr>
              <w:t>Non. H₀ l’invente à partir du vestige, de ses recherches et d’équipes identifiables. Nacre ne lui transmet pas une découverte qu’il serait censé s’être enseignée à lui-même.</w:t>
            </w:r>
          </w:p>
        </w:tc>
      </w:tr>
      <w:tr>
        <w:trPr>
          <w:cantSplit/>
        </w:trPr>
        <w:tc>
          <w:tcPr>
            <w:tcW w:type="dxa" w:w="2891"/>
            <w:vAlign w:val="top"/>
            <w:shd w:fill="FFFFFF"/>
            <w:tcMar>
              <w:top w:w="65" w:type="dxa"/>
              <w:left w:w="95" w:type="dxa"/>
              <w:bottom w:w="65" w:type="dxa"/>
              <w:right w:w="95" w:type="dxa"/>
            </w:tcMar>
          </w:tcPr>
          <w:p>
            <w:pPr>
              <w:pStyle w:val="TableText"/>
            </w:pPr>
            <w:r>
              <w:rPr>
                <w:rFonts w:ascii="Arial" w:hAnsi="Arial"/>
                <w:b w:val="0"/>
              </w:rPr>
              <w:t>Le héros ne sauve-t-il qu’une copie ?</w:t>
            </w:r>
          </w:p>
        </w:tc>
        <w:tc>
          <w:tcPr>
            <w:tcW w:type="dxa" w:w="6973"/>
            <w:vAlign w:val="top"/>
            <w:shd w:fill="FFFFFF"/>
            <w:tcMar>
              <w:top w:w="65" w:type="dxa"/>
              <w:left w:w="95" w:type="dxa"/>
              <w:bottom w:w="65" w:type="dxa"/>
              <w:right w:w="95" w:type="dxa"/>
            </w:tcMar>
          </w:tcPr>
          <w:p>
            <w:pPr>
              <w:pStyle w:val="TableText"/>
            </w:pPr>
            <w:r>
              <w:rPr>
                <w:rFonts w:ascii="Arial" w:hAnsi="Arial"/>
                <w:b w:val="0"/>
              </w:rPr>
              <w:t>Le récit assume une bifurcation réelle : H₁ et C₁ partagent un passé, puis vivent leurs propres événements. Ce ne sont pas des acteurs informatiques. La question de leur continuité est explicitée, pas dissimulée par le mot « original ».</w:t>
            </w:r>
          </w:p>
        </w:tc>
      </w:tr>
      <w:tr>
        <w:trPr>
          <w:cantSplit/>
        </w:trPr>
        <w:tc>
          <w:tcPr>
            <w:tcW w:type="dxa" w:w="2891"/>
            <w:vAlign w:val="top"/>
            <w:shd w:fill="F1F5F7"/>
            <w:tcMar>
              <w:top w:w="65" w:type="dxa"/>
              <w:left w:w="95" w:type="dxa"/>
              <w:bottom w:w="65" w:type="dxa"/>
              <w:right w:w="95" w:type="dxa"/>
            </w:tcMar>
          </w:tcPr>
          <w:p>
            <w:pPr>
              <w:pStyle w:val="TableText"/>
            </w:pPr>
            <w:r>
              <w:rPr>
                <w:rFonts w:ascii="Arial" w:hAnsi="Arial"/>
                <w:b w:val="0"/>
              </w:rPr>
              <w:t>Le sauvetage annule-t-il le prologue ?</w:t>
            </w:r>
          </w:p>
        </w:tc>
        <w:tc>
          <w:tcPr>
            <w:tcW w:type="dxa" w:w="6973"/>
            <w:vAlign w:val="top"/>
            <w:shd w:fill="F1F5F7"/>
            <w:tcMar>
              <w:top w:w="65" w:type="dxa"/>
              <w:left w:w="95" w:type="dxa"/>
              <w:bottom w:w="65" w:type="dxa"/>
              <w:right w:w="95" w:type="dxa"/>
            </w:tcMar>
          </w:tcPr>
          <w:p>
            <w:pPr>
              <w:pStyle w:val="TableText"/>
            </w:pPr>
            <w:r>
              <w:rPr>
                <w:rFonts w:ascii="Arial" w:hAnsi="Arial"/>
                <w:b w:val="0"/>
              </w:rPr>
              <w:t>Non. La dernière ouverture reprend après l’extraction initiale. Le coup a été porté, H a vécu la perte et son départ a déjà eu lieu.</w:t>
            </w:r>
          </w:p>
        </w:tc>
      </w:tr>
      <w:tr>
        <w:trPr>
          <w:cantSplit/>
        </w:trPr>
        <w:tc>
          <w:tcPr>
            <w:tcW w:type="dxa" w:w="2891"/>
            <w:vAlign w:val="top"/>
            <w:shd w:fill="FFFFFF"/>
            <w:tcMar>
              <w:top w:w="65" w:type="dxa"/>
              <w:left w:w="95" w:type="dxa"/>
              <w:bottom w:w="65" w:type="dxa"/>
              <w:right w:w="95" w:type="dxa"/>
            </w:tcMar>
          </w:tcPr>
          <w:p>
            <w:pPr>
              <w:pStyle w:val="TableText"/>
            </w:pPr>
            <w:r>
              <w:rPr>
                <w:rFonts w:ascii="Arial" w:hAnsi="Arial"/>
                <w:b w:val="0"/>
              </w:rPr>
              <w:t>Pourquoi ne pas revenir avant le coup ?</w:t>
            </w:r>
          </w:p>
        </w:tc>
        <w:tc>
          <w:tcPr>
            <w:tcW w:type="dxa" w:w="6973"/>
            <w:vAlign w:val="top"/>
            <w:shd w:fill="FFFFFF"/>
            <w:tcMar>
              <w:top w:w="65" w:type="dxa"/>
              <w:left w:w="95" w:type="dxa"/>
              <w:bottom w:w="65" w:type="dxa"/>
              <w:right w:w="95" w:type="dxa"/>
            </w:tcMar>
          </w:tcPr>
          <w:p>
            <w:pPr>
              <w:pStyle w:val="TableText"/>
            </w:pPr>
            <w:r>
              <w:rPr>
                <w:rFonts w:ascii="Arial" w:hAnsi="Arial"/>
                <w:b w:val="0"/>
              </w:rPr>
              <w:t>L’ancre a consommé ces instants. Il reste un segment, pas un menu de dates. Toute modification permettant de recommencer détruirait cette limite.</w:t>
            </w:r>
          </w:p>
        </w:tc>
      </w:tr>
      <w:tr>
        <w:trPr>
          <w:cantSplit/>
        </w:trPr>
        <w:tc>
          <w:tcPr>
            <w:tcW w:type="dxa" w:w="2891"/>
            <w:vAlign w:val="top"/>
            <w:shd w:fill="F1F5F7"/>
            <w:tcMar>
              <w:top w:w="65" w:type="dxa"/>
              <w:left w:w="95" w:type="dxa"/>
              <w:bottom w:w="65" w:type="dxa"/>
              <w:right w:w="95" w:type="dxa"/>
            </w:tcMar>
          </w:tcPr>
          <w:p>
            <w:pPr>
              <w:pStyle w:val="TableText"/>
            </w:pPr>
            <w:r>
              <w:rPr>
                <w:rFonts w:ascii="Arial" w:hAnsi="Arial"/>
                <w:b w:val="0"/>
              </w:rPr>
              <w:t>Pourquoi le partenaire ne meurt-il pas pendant J ?</w:t>
            </w:r>
          </w:p>
        </w:tc>
        <w:tc>
          <w:tcPr>
            <w:tcW w:type="dxa" w:w="6973"/>
            <w:vAlign w:val="top"/>
            <w:shd w:fill="F1F5F7"/>
            <w:tcMar>
              <w:top w:w="65" w:type="dxa"/>
              <w:left w:w="95" w:type="dxa"/>
              <w:bottom w:w="65" w:type="dxa"/>
              <w:right w:w="95" w:type="dxa"/>
            </w:tcMar>
          </w:tcPr>
          <w:p>
            <w:pPr>
              <w:pStyle w:val="TableText"/>
            </w:pPr>
            <w:r>
              <w:rPr>
                <w:rFonts w:ascii="Arial" w:hAnsi="Arial"/>
                <w:b w:val="0"/>
              </w:rPr>
              <w:t>L’enceinte résiduelle est suspendue. C₁ n’y vit pas neuf mois supplémentaires. La viabilité de son noyau est diagnostiquée avant que le sauvetage soit planifié.</w:t>
            </w:r>
          </w:p>
        </w:tc>
      </w:tr>
    </w:tbl>
    <w:p>
      <w:pPr>
        <w:spacing w:after="0"/>
      </w:pPr>
    </w:p>
    <w:p>
      <w:r>
        <w:rPr>
          <w:rFonts w:ascii="Arial" w:hAnsi="Arial"/>
          <w:b/>
        </w:rPr>
        <w:t>Résultat de l’audit :</w:t>
      </w:r>
      <w:r>
        <w:rPr>
          <w:rFonts w:ascii="Arial" w:hAnsi="Arial"/>
          <w:b w:val="0"/>
        </w:rPr>
        <w:t xml:space="preserve"> cette version ne repose pas sur une boucle où la victime doit laisser son futur mourir pour provoquer son propre salut. Elle repose sur une source acquise, une seule bifurcation locale et une continuation jouée. Elle est cohérente à condition de conserver ces règles explicites.</w:t>
      </w:r>
    </w:p>
    <w:p>
      <w:r>
        <w:br w:type="page"/>
      </w:r>
    </w:p>
    <w:p>
      <w:pPr>
        <w:spacing w:after="60"/>
      </w:pPr>
      <w:r>
        <w:rPr>
          <w:rFonts w:ascii="Arial" w:hAnsi="Arial"/>
          <w:b/>
          <w:color w:val="677784"/>
          <w:sz w:val="16"/>
        </w:rPr>
        <w:t>TESTS DE COHÉRENCE • PARTIE 2</w:t>
      </w:r>
    </w:p>
    <w:p>
      <w:bookmarkStart w:id="28" w:name="section_28"/>
      <w:pPr>
        <w:pStyle w:val="Heading1"/>
      </w:pPr>
      <w:r>
        <w:t>27 — Audit des paradoxes temporels</w:t>
      </w:r>
      <w:bookmarkEnd w:id="28"/>
    </w:p>
    <w:tbl>
      <w:tblPr>
        <w:tblW w:type="auto" w:w="0"/>
        <w:jc w:val="center"/>
        <w:tblLayout w:type="fixed"/>
        <w:tblLook w:firstColumn="1" w:firstRow="1" w:lastColumn="0" w:lastRow="0" w:noHBand="0" w:noVBand="1" w:val="04A0"/>
      </w:tblPr>
      <w:tblGrid>
        <w:gridCol w:w="2891"/>
        <w:gridCol w:w="6973"/>
      </w:tblGrid>
      <w:tr>
        <w:trPr>
          <w:tblHeader/>
        </w:trPr>
        <w:tc>
          <w:tcPr>
            <w:tcW w:type="dxa" w:w="2891"/>
            <w:vAlign w:val="center"/>
            <w:shd w:fill="253A52"/>
            <w:tcMar>
              <w:top w:w="65" w:type="dxa"/>
              <w:left w:w="95" w:type="dxa"/>
              <w:bottom w:w="65" w:type="dxa"/>
              <w:right w:w="95" w:type="dxa"/>
            </w:tcMar>
          </w:tcPr>
          <w:p>
            <w:pPr>
              <w:pStyle w:val="TableText"/>
            </w:pPr>
            <w:r>
              <w:rPr>
                <w:rFonts w:ascii="Arial" w:hAnsi="Arial"/>
                <w:b/>
                <w:color w:val="FFFFFF"/>
              </w:rPr>
              <w:t>Objection</w:t>
            </w:r>
          </w:p>
        </w:tc>
        <w:tc>
          <w:tcPr>
            <w:tcW w:type="dxa" w:w="6973"/>
            <w:vAlign w:val="center"/>
            <w:shd w:fill="253A52"/>
            <w:tcMar>
              <w:top w:w="65" w:type="dxa"/>
              <w:left w:w="95" w:type="dxa"/>
              <w:bottom w:w="65" w:type="dxa"/>
              <w:right w:w="95" w:type="dxa"/>
            </w:tcMar>
          </w:tcPr>
          <w:p>
            <w:pPr>
              <w:pStyle w:val="TableText"/>
            </w:pPr>
            <w:r>
              <w:rPr>
                <w:rFonts w:ascii="Arial" w:hAnsi="Arial"/>
                <w:b/>
                <w:color w:val="FFFFFF"/>
              </w:rPr>
              <w:t>Réponse et garde-fou</w:t>
            </w:r>
          </w:p>
        </w:tc>
      </w:tr>
      <w:tr>
        <w:trPr>
          <w:cantSplit/>
        </w:trPr>
        <w:tc>
          <w:tcPr>
            <w:tcW w:type="dxa" w:w="2891"/>
            <w:vAlign w:val="top"/>
            <w:shd w:fill="F1F5F7"/>
            <w:tcMar>
              <w:top w:w="65" w:type="dxa"/>
              <w:left w:w="95" w:type="dxa"/>
              <w:bottom w:w="65" w:type="dxa"/>
              <w:right w:w="95" w:type="dxa"/>
            </w:tcMar>
          </w:tcPr>
          <w:p>
            <w:pPr>
              <w:pStyle w:val="TableText"/>
            </w:pPr>
            <w:r>
              <w:rPr>
                <w:rFonts w:ascii="Arial" w:hAnsi="Arial"/>
                <w:b w:val="0"/>
              </w:rPr>
              <w:t>Pourquoi ne pas sauver aussi C₀ ?</w:t>
            </w:r>
          </w:p>
        </w:tc>
        <w:tc>
          <w:tcPr>
            <w:tcW w:type="dxa" w:w="6973"/>
            <w:vAlign w:val="top"/>
            <w:shd w:fill="F1F5F7"/>
            <w:tcMar>
              <w:top w:w="65" w:type="dxa"/>
              <w:left w:w="95" w:type="dxa"/>
              <w:bottom w:w="65" w:type="dxa"/>
              <w:right w:w="95" w:type="dxa"/>
            </w:tcMar>
          </w:tcPr>
          <w:p>
            <w:pPr>
              <w:pStyle w:val="TableText"/>
            </w:pPr>
            <w:r>
              <w:rPr>
                <w:rFonts w:ascii="Arial" w:hAnsi="Arial"/>
                <w:b w:val="0"/>
              </w:rPr>
              <w:t>Son noyau a été détruit hors d’une ancre exploitable. Une biographie ou un souvenir n’est pas une continuité vitale. C₁ est sauvé dans un autre événement matériellement conservé.</w:t>
            </w:r>
          </w:p>
        </w:tc>
      </w:tr>
      <w:tr>
        <w:trPr>
          <w:cantSplit/>
        </w:trPr>
        <w:tc>
          <w:tcPr>
            <w:tcW w:type="dxa" w:w="2891"/>
            <w:vAlign w:val="top"/>
            <w:shd w:fill="FFFFFF"/>
            <w:tcMar>
              <w:top w:w="65" w:type="dxa"/>
              <w:left w:w="95" w:type="dxa"/>
              <w:bottom w:w="65" w:type="dxa"/>
              <w:right w:w="95" w:type="dxa"/>
            </w:tcMar>
          </w:tcPr>
          <w:p>
            <w:pPr>
              <w:pStyle w:val="TableText"/>
            </w:pPr>
            <w:r>
              <w:rPr>
                <w:rFonts w:ascii="Arial" w:hAnsi="Arial"/>
                <w:b w:val="0"/>
              </w:rPr>
              <w:t>Pourquoi ne pas prendre un partenaire plus âgé ?</w:t>
            </w:r>
          </w:p>
        </w:tc>
        <w:tc>
          <w:tcPr>
            <w:tcW w:type="dxa" w:w="6973"/>
            <w:vAlign w:val="top"/>
            <w:shd w:fill="FFFFFF"/>
            <w:tcMar>
              <w:top w:w="65" w:type="dxa"/>
              <w:left w:w="95" w:type="dxa"/>
              <w:bottom w:w="65" w:type="dxa"/>
              <w:right w:w="95" w:type="dxa"/>
            </w:tcMar>
          </w:tcPr>
          <w:p>
            <w:pPr>
              <w:pStyle w:val="TableText"/>
            </w:pPr>
            <w:r>
              <w:rPr>
                <w:rFonts w:ascii="Arial" w:hAnsi="Arial"/>
                <w:b w:val="0"/>
              </w:rPr>
              <w:t>C₀ est mort. Surtout, ce serait substituer une relation à celle vécue par le joueur. La fin porte explicitement sur C₁.</w:t>
            </w:r>
          </w:p>
        </w:tc>
      </w:tr>
      <w:tr>
        <w:trPr>
          <w:cantSplit/>
        </w:trPr>
        <w:tc>
          <w:tcPr>
            <w:tcW w:type="dxa" w:w="2891"/>
            <w:vAlign w:val="top"/>
            <w:shd w:fill="F1F5F7"/>
            <w:tcMar>
              <w:top w:w="65" w:type="dxa"/>
              <w:left w:w="95" w:type="dxa"/>
              <w:bottom w:w="65" w:type="dxa"/>
              <w:right w:w="95" w:type="dxa"/>
            </w:tcMar>
          </w:tcPr>
          <w:p>
            <w:pPr>
              <w:pStyle w:val="TableText"/>
            </w:pPr>
            <w:r>
              <w:rPr>
                <w:rFonts w:ascii="Arial" w:hAnsi="Arial"/>
                <w:b w:val="0"/>
              </w:rPr>
              <w:t>Pourquoi Nacre n’extrait-elle pas le couple immédiatement ?</w:t>
            </w:r>
          </w:p>
        </w:tc>
        <w:tc>
          <w:tcPr>
            <w:tcW w:type="dxa" w:w="6973"/>
            <w:vAlign w:val="top"/>
            <w:shd w:fill="F1F5F7"/>
            <w:tcMar>
              <w:top w:w="65" w:type="dxa"/>
              <w:left w:w="95" w:type="dxa"/>
              <w:bottom w:w="65" w:type="dxa"/>
              <w:right w:w="95" w:type="dxa"/>
            </w:tcMar>
          </w:tcPr>
          <w:p>
            <w:pPr>
              <w:pStyle w:val="TableText"/>
            </w:pPr>
            <w:r>
              <w:rPr>
                <w:rFonts w:ascii="Arial" w:hAnsi="Arial"/>
                <w:b w:val="0"/>
              </w:rPr>
              <w:t>Le secours initial ne peut rattacher que la signature H prévue par H₀. Le noyau blessé de C exige une stabilisation biologique et un support supplémentaires que le groupe acquiert plus tard.</w:t>
            </w:r>
          </w:p>
        </w:tc>
      </w:tr>
      <w:tr>
        <w:trPr>
          <w:cantSplit/>
        </w:trPr>
        <w:tc>
          <w:tcPr>
            <w:tcW w:type="dxa" w:w="2891"/>
            <w:vAlign w:val="top"/>
            <w:shd w:fill="FFFFFF"/>
            <w:tcMar>
              <w:top w:w="65" w:type="dxa"/>
              <w:left w:w="95" w:type="dxa"/>
              <w:bottom w:w="65" w:type="dxa"/>
              <w:right w:w="95" w:type="dxa"/>
            </w:tcMar>
          </w:tcPr>
          <w:p>
            <w:pPr>
              <w:pStyle w:val="TableText"/>
            </w:pPr>
            <w:r>
              <w:rPr>
                <w:rFonts w:ascii="Arial" w:hAnsi="Arial"/>
                <w:b w:val="0"/>
              </w:rPr>
              <w:t>Pourquoi ne pas recopier l’ancre ?</w:t>
            </w:r>
          </w:p>
        </w:tc>
        <w:tc>
          <w:tcPr>
            <w:tcW w:type="dxa" w:w="6973"/>
            <w:vAlign w:val="top"/>
            <w:shd w:fill="FFFFFF"/>
            <w:tcMar>
              <w:top w:w="65" w:type="dxa"/>
              <w:left w:w="95" w:type="dxa"/>
              <w:bottom w:w="65" w:type="dxa"/>
              <w:right w:w="95" w:type="dxa"/>
            </w:tcMar>
          </w:tcPr>
          <w:p>
            <w:pPr>
              <w:pStyle w:val="TableText"/>
            </w:pPr>
            <w:r>
              <w:rPr>
                <w:rFonts w:ascii="Arial" w:hAnsi="Arial"/>
                <w:b w:val="0"/>
              </w:rPr>
              <w:t>Ses données descriptives sont copiables ; sa structure chronale ne l’est pas. Une deuxième copie de fichiers ne restitue pas l’événement consommé.</w:t>
            </w:r>
          </w:p>
        </w:tc>
      </w:tr>
      <w:tr>
        <w:trPr>
          <w:cantSplit/>
        </w:trPr>
        <w:tc>
          <w:tcPr>
            <w:tcW w:type="dxa" w:w="2891"/>
            <w:vAlign w:val="top"/>
            <w:shd w:fill="F1F5F7"/>
            <w:tcMar>
              <w:top w:w="65" w:type="dxa"/>
              <w:left w:w="95" w:type="dxa"/>
              <w:bottom w:w="65" w:type="dxa"/>
              <w:right w:w="95" w:type="dxa"/>
            </w:tcMar>
          </w:tcPr>
          <w:p>
            <w:pPr>
              <w:pStyle w:val="TableText"/>
            </w:pPr>
            <w:r>
              <w:rPr>
                <w:rFonts w:ascii="Arial" w:hAnsi="Arial"/>
                <w:b w:val="0"/>
              </w:rPr>
              <w:t>Pourquoi ne pas invoquer cent H pour vaincre ?</w:t>
            </w:r>
          </w:p>
        </w:tc>
        <w:tc>
          <w:tcPr>
            <w:tcW w:type="dxa" w:w="6973"/>
            <w:vAlign w:val="top"/>
            <w:shd w:fill="F1F5F7"/>
            <w:tcMar>
              <w:top w:w="65" w:type="dxa"/>
              <w:left w:w="95" w:type="dxa"/>
              <w:bottom w:w="65" w:type="dxa"/>
              <w:right w:w="95" w:type="dxa"/>
            </w:tcMar>
          </w:tcPr>
          <w:p>
            <w:pPr>
              <w:pStyle w:val="TableText"/>
            </w:pPr>
            <w:r>
              <w:rPr>
                <w:rFonts w:ascii="Arial" w:hAnsi="Arial"/>
                <w:b w:val="0"/>
              </w:rPr>
              <w:t>La seule ancre disponible possède un segment unique, déjà consommé en partie. La signature dérivée ne sert pas de nouvelle source exploitable. L’armée de héros n’est pas permise par la règle.</w:t>
            </w:r>
          </w:p>
        </w:tc>
      </w:tr>
      <w:tr>
        <w:trPr>
          <w:cantSplit/>
        </w:trPr>
        <w:tc>
          <w:tcPr>
            <w:tcW w:type="dxa" w:w="2891"/>
            <w:vAlign w:val="top"/>
            <w:shd w:fill="FFFFFF"/>
            <w:tcMar>
              <w:top w:w="65" w:type="dxa"/>
              <w:left w:w="95" w:type="dxa"/>
              <w:bottom w:w="65" w:type="dxa"/>
              <w:right w:w="95" w:type="dxa"/>
            </w:tcMar>
          </w:tcPr>
          <w:p>
            <w:pPr>
              <w:pStyle w:val="TableText"/>
            </w:pPr>
            <w:r>
              <w:rPr>
                <w:rFonts w:ascii="Arial" w:hAnsi="Arial"/>
                <w:b w:val="0"/>
              </w:rPr>
              <w:t>Pourquoi ne pas geler arbitrairement les ennemis ?</w:t>
            </w:r>
          </w:p>
        </w:tc>
        <w:tc>
          <w:tcPr>
            <w:tcW w:type="dxa" w:w="6973"/>
            <w:vAlign w:val="top"/>
            <w:shd w:fill="FFFFFF"/>
            <w:tcMar>
              <w:top w:w="65" w:type="dxa"/>
              <w:left w:w="95" w:type="dxa"/>
              <w:bottom w:w="65" w:type="dxa"/>
              <w:right w:w="95" w:type="dxa"/>
            </w:tcMar>
          </w:tcPr>
          <w:p>
            <w:pPr>
              <w:pStyle w:val="TableText"/>
            </w:pPr>
            <w:r>
              <w:rPr>
                <w:rFonts w:ascii="Arial" w:hAnsi="Arial"/>
                <w:b w:val="0"/>
              </w:rPr>
              <w:t>La suspension concerne l’enceinte dérivée liée à son ancre, non toute matière voisine. Nacre n’a pas un bouton d’arrêt sur le temps extérieur.</w:t>
            </w:r>
          </w:p>
        </w:tc>
      </w:tr>
      <w:tr>
        <w:trPr>
          <w:cantSplit/>
        </w:trPr>
        <w:tc>
          <w:tcPr>
            <w:tcW w:type="dxa" w:w="2891"/>
            <w:vAlign w:val="top"/>
            <w:shd w:fill="F1F5F7"/>
            <w:tcMar>
              <w:top w:w="65" w:type="dxa"/>
              <w:left w:w="95" w:type="dxa"/>
              <w:bottom w:w="65" w:type="dxa"/>
              <w:right w:w="95" w:type="dxa"/>
            </w:tcMar>
          </w:tcPr>
          <w:p>
            <w:pPr>
              <w:pStyle w:val="TableText"/>
            </w:pPr>
            <w:r>
              <w:rPr>
                <w:rFonts w:ascii="Arial" w:hAnsi="Arial"/>
                <w:b w:val="0"/>
              </w:rPr>
              <w:t>Pourquoi tuer Séveran en fin de jeu ne change-t-il rien au départ ?</w:t>
            </w:r>
          </w:p>
        </w:tc>
        <w:tc>
          <w:tcPr>
            <w:tcW w:type="dxa" w:w="6973"/>
            <w:vAlign w:val="top"/>
            <w:shd w:fill="F1F5F7"/>
            <w:tcMar>
              <w:top w:w="65" w:type="dxa"/>
              <w:left w:w="95" w:type="dxa"/>
              <w:bottom w:w="65" w:type="dxa"/>
              <w:right w:w="95" w:type="dxa"/>
            </w:tcMar>
          </w:tcPr>
          <w:p>
            <w:pPr>
              <w:pStyle w:val="TableText"/>
            </w:pPr>
            <w:r>
              <w:rPr>
                <w:rFonts w:ascii="Arial" w:hAnsi="Arial"/>
                <w:b w:val="0"/>
              </w:rPr>
              <w:t>Il est vaincu après son raid et après l’extraction, dans le présent J. Sa mort n’annule pas les actes qu’il a déjà accomplis.</w:t>
            </w:r>
          </w:p>
        </w:tc>
      </w:tr>
      <w:tr>
        <w:trPr>
          <w:cantSplit/>
        </w:trPr>
        <w:tc>
          <w:tcPr>
            <w:tcW w:type="dxa" w:w="2891"/>
            <w:vAlign w:val="top"/>
            <w:shd w:fill="FFFFFF"/>
            <w:tcMar>
              <w:top w:w="65" w:type="dxa"/>
              <w:left w:w="95" w:type="dxa"/>
              <w:bottom w:w="65" w:type="dxa"/>
              <w:right w:w="95" w:type="dxa"/>
            </w:tcMar>
          </w:tcPr>
          <w:p>
            <w:pPr>
              <w:pStyle w:val="TableText"/>
            </w:pPr>
            <w:r>
              <w:rPr>
                <w:rFonts w:ascii="Arial" w:hAnsi="Arial"/>
                <w:b w:val="0"/>
              </w:rPr>
              <w:t>La guerre ne peut-elle pas simplement être effacée ?</w:t>
            </w:r>
          </w:p>
        </w:tc>
        <w:tc>
          <w:tcPr>
            <w:tcW w:type="dxa" w:w="6973"/>
            <w:vAlign w:val="top"/>
            <w:shd w:fill="FFFFFF"/>
            <w:tcMar>
              <w:top w:w="65" w:type="dxa"/>
              <w:left w:w="95" w:type="dxa"/>
              <w:bottom w:w="65" w:type="dxa"/>
              <w:right w:w="95" w:type="dxa"/>
            </w:tcMar>
          </w:tcPr>
          <w:p>
            <w:pPr>
              <w:pStyle w:val="TableText"/>
            </w:pPr>
            <w:r>
              <w:rPr>
                <w:rFonts w:ascii="Arial" w:hAnsi="Arial"/>
                <w:b w:val="0"/>
              </w:rPr>
              <w:t>Aucune ancre ne contient la planète entière ; la technologie ne réécrit pas la source. Les morts, les responsabilités et les destructions demeurent.</w:t>
            </w:r>
          </w:p>
        </w:tc>
      </w:tr>
      <w:tr>
        <w:trPr>
          <w:cantSplit/>
        </w:trPr>
        <w:tc>
          <w:tcPr>
            <w:tcW w:type="dxa" w:w="2891"/>
            <w:vAlign w:val="top"/>
            <w:shd w:fill="F1F5F7"/>
            <w:tcMar>
              <w:top w:w="65" w:type="dxa"/>
              <w:left w:w="95" w:type="dxa"/>
              <w:bottom w:w="65" w:type="dxa"/>
              <w:right w:w="95" w:type="dxa"/>
            </w:tcMar>
          </w:tcPr>
          <w:p>
            <w:pPr>
              <w:pStyle w:val="TableText"/>
            </w:pPr>
            <w:r>
              <w:rPr>
                <w:rFonts w:ascii="Arial" w:hAnsi="Arial"/>
                <w:b w:val="0"/>
              </w:rPr>
              <w:t>Que devient le laboratoire local ?</w:t>
            </w:r>
          </w:p>
        </w:tc>
        <w:tc>
          <w:tcPr>
            <w:tcW w:type="dxa" w:w="6973"/>
            <w:vAlign w:val="top"/>
            <w:shd w:fill="F1F5F7"/>
            <w:tcMar>
              <w:top w:w="65" w:type="dxa"/>
              <w:left w:w="95" w:type="dxa"/>
              <w:bottom w:w="65" w:type="dxa"/>
              <w:right w:w="95" w:type="dxa"/>
            </w:tcMar>
          </w:tcPr>
          <w:p>
            <w:pPr>
              <w:pStyle w:val="TableText"/>
            </w:pPr>
            <w:r>
              <w:rPr>
                <w:rFonts w:ascii="Arial" w:hAnsi="Arial"/>
                <w:b w:val="0"/>
              </w:rPr>
              <w:t>Après extraction de C₁ et consommation de l’ancre, son support se referme. Aucun autre être conscient n’y a été introduit puis abandonné. La scène doit limiter explicitement ses occupants au couple et aux visiteurs.</w:t>
            </w:r>
          </w:p>
        </w:tc>
      </w:tr>
      <w:tr>
        <w:trPr>
          <w:cantSplit/>
        </w:trPr>
        <w:tc>
          <w:tcPr>
            <w:tcW w:type="dxa" w:w="2891"/>
            <w:vAlign w:val="top"/>
            <w:shd w:fill="FFFFFF"/>
            <w:tcMar>
              <w:top w:w="65" w:type="dxa"/>
              <w:left w:w="95" w:type="dxa"/>
              <w:bottom w:w="65" w:type="dxa"/>
              <w:right w:w="95" w:type="dxa"/>
            </w:tcMar>
          </w:tcPr>
          <w:p>
            <w:pPr>
              <w:pStyle w:val="TableText"/>
            </w:pPr>
            <w:r>
              <w:rPr>
                <w:rFonts w:ascii="Arial" w:hAnsi="Arial"/>
                <w:b w:val="0"/>
              </w:rPr>
              <w:t>Et les autres copies possibles ?</w:t>
            </w:r>
          </w:p>
        </w:tc>
        <w:tc>
          <w:tcPr>
            <w:tcW w:type="dxa" w:w="6973"/>
            <w:vAlign w:val="top"/>
            <w:shd w:fill="FFFFFF"/>
            <w:tcMar>
              <w:top w:w="65" w:type="dxa"/>
              <w:left w:w="95" w:type="dxa"/>
              <w:bottom w:w="65" w:type="dxa"/>
              <w:right w:w="95" w:type="dxa"/>
            </w:tcMar>
          </w:tcPr>
          <w:p>
            <w:pPr>
              <w:pStyle w:val="TableText"/>
            </w:pPr>
            <w:r>
              <w:rPr>
                <w:rFonts w:ascii="Arial" w:hAnsi="Arial"/>
                <w:b w:val="0"/>
              </w:rPr>
              <w:t>La technologie est dangereuse même sans paradoxe. Le dénouement détruit le prototype militaire et place les recherches sous contrôle partagé. Ne pas réintroduire une nouvelle ancre parfaite comme solution facile à chaque arc futur.</w:t>
            </w:r>
          </w:p>
        </w:tc>
      </w:tr>
    </w:tbl>
    <w:p>
      <w:pPr>
        <w:spacing w:after="0"/>
      </w:pPr>
    </w:p>
    <w:p>
      <w:r>
        <w:rPr>
          <w:rFonts w:ascii="Arial" w:hAnsi="Arial"/>
          <w:b w:val="0"/>
        </w:rPr>
        <w:t>Les limites sont de la conception fictionnelle. Une future réécriture peut les changer, mais doit alors refaire cet audit au lieu d’ajouter une exception isolée pour obtenir une scène spectaculaire.</w:t>
      </w:r>
    </w:p>
    <w:p>
      <w:r>
        <w:br w:type="page"/>
      </w:r>
    </w:p>
    <w:p>
      <w:pPr>
        <w:spacing w:after="60"/>
      </w:pPr>
      <w:r>
        <w:rPr>
          <w:rFonts w:ascii="Arial" w:hAnsi="Arial"/>
          <w:b/>
          <w:color w:val="677784"/>
          <w:sz w:val="16"/>
        </w:rPr>
        <w:t>QUESTIONS AUXQUELLES LE SCÉNARIO RÉPOND</w:t>
      </w:r>
    </w:p>
    <w:p>
      <w:bookmarkStart w:id="29" w:name="section_29"/>
      <w:pPr>
        <w:pStyle w:val="Heading1"/>
      </w:pPr>
      <w:r>
        <w:t>28 — Motivations et crédibilité</w:t>
      </w:r>
      <w:bookmarkEnd w:id="29"/>
    </w:p>
    <w:tbl>
      <w:tblPr>
        <w:tblW w:type="auto" w:w="0"/>
        <w:jc w:val="center"/>
        <w:tblLayout w:type="fixed"/>
        <w:tblLook w:firstColumn="1" w:firstRow="1" w:lastColumn="0" w:lastRow="0" w:noHBand="0" w:noVBand="1" w:val="04A0"/>
      </w:tblPr>
      <w:tblGrid>
        <w:gridCol w:w="2948"/>
        <w:gridCol w:w="6917"/>
      </w:tblGrid>
      <w:tr>
        <w:trPr>
          <w:tblHeader/>
        </w:trPr>
        <w:tc>
          <w:tcPr>
            <w:tcW w:type="dxa" w:w="2948"/>
            <w:vAlign w:val="center"/>
            <w:shd w:fill="253A52"/>
            <w:tcMar>
              <w:top w:w="65" w:type="dxa"/>
              <w:left w:w="95" w:type="dxa"/>
              <w:bottom w:w="65" w:type="dxa"/>
              <w:right w:w="95" w:type="dxa"/>
            </w:tcMar>
          </w:tcPr>
          <w:p>
            <w:pPr>
              <w:pStyle w:val="TableText"/>
            </w:pPr>
            <w:r>
              <w:rPr>
                <w:rFonts w:ascii="Arial" w:hAnsi="Arial"/>
                <w:b/>
                <w:color w:val="FFFFFF"/>
              </w:rPr>
              <w:t>Risque narratif</w:t>
            </w:r>
          </w:p>
        </w:tc>
        <w:tc>
          <w:tcPr>
            <w:tcW w:type="dxa" w:w="6917"/>
            <w:vAlign w:val="center"/>
            <w:shd w:fill="253A52"/>
            <w:tcMar>
              <w:top w:w="65" w:type="dxa"/>
              <w:left w:w="95" w:type="dxa"/>
              <w:bottom w:w="65" w:type="dxa"/>
              <w:right w:w="95" w:type="dxa"/>
            </w:tcMar>
          </w:tcPr>
          <w:p>
            <w:pPr>
              <w:pStyle w:val="TableText"/>
            </w:pPr>
            <w:r>
              <w:rPr>
                <w:rFonts w:ascii="Arial" w:hAnsi="Arial"/>
                <w:b/>
                <w:color w:val="FFFFFF"/>
              </w:rPr>
              <w:t>Solution proposée</w:t>
            </w:r>
          </w:p>
        </w:tc>
      </w:tr>
      <w:tr>
        <w:trPr>
          <w:cantSplit/>
        </w:trPr>
        <w:tc>
          <w:tcPr>
            <w:tcW w:type="dxa" w:w="2948"/>
            <w:vAlign w:val="top"/>
            <w:shd w:fill="F1F5F7"/>
            <w:tcMar>
              <w:top w:w="65" w:type="dxa"/>
              <w:left w:w="95" w:type="dxa"/>
              <w:bottom w:w="65" w:type="dxa"/>
              <w:right w:w="95" w:type="dxa"/>
            </w:tcMar>
          </w:tcPr>
          <w:p>
            <w:pPr>
              <w:pStyle w:val="TableText"/>
            </w:pPr>
            <w:r>
              <w:rPr>
                <w:rFonts w:ascii="Arial" w:hAnsi="Arial"/>
                <w:b w:val="0"/>
              </w:rPr>
              <w:t>Un monde uniquement au service du héros</w:t>
            </w:r>
          </w:p>
        </w:tc>
        <w:tc>
          <w:tcPr>
            <w:tcW w:type="dxa" w:w="6917"/>
            <w:vAlign w:val="top"/>
            <w:shd w:fill="F1F5F7"/>
            <w:tcMar>
              <w:top w:w="65" w:type="dxa"/>
              <w:left w:w="95" w:type="dxa"/>
              <w:bottom w:w="65" w:type="dxa"/>
              <w:right w:w="95" w:type="dxa"/>
            </w:tcMar>
          </w:tcPr>
          <w:p>
            <w:pPr>
              <w:pStyle w:val="TableText"/>
            </w:pPr>
            <w:r>
              <w:rPr>
                <w:rFonts w:ascii="Arial" w:hAnsi="Arial"/>
                <w:b w:val="0"/>
              </w:rPr>
              <w:t>Chaque région dispose de son enjeu autonome. Les habitants refusent parfois de l’aider. La libération doit les laisser plus autonomes, pas plus dépendants de lui.</w:t>
            </w:r>
          </w:p>
        </w:tc>
      </w:tr>
      <w:tr>
        <w:trPr>
          <w:cantSplit/>
        </w:trPr>
        <w:tc>
          <w:tcPr>
            <w:tcW w:type="dxa" w:w="2948"/>
            <w:vAlign w:val="top"/>
            <w:shd w:fill="FFFFFF"/>
            <w:tcMar>
              <w:top w:w="65" w:type="dxa"/>
              <w:left w:w="95" w:type="dxa"/>
              <w:bottom w:w="65" w:type="dxa"/>
              <w:right w:w="95" w:type="dxa"/>
            </w:tcMar>
          </w:tcPr>
          <w:p>
            <w:pPr>
              <w:pStyle w:val="TableText"/>
            </w:pPr>
            <w:r>
              <w:rPr>
                <w:rFonts w:ascii="Arial" w:hAnsi="Arial"/>
                <w:b w:val="0"/>
              </w:rPr>
              <w:t>Un élu qui réussit tout</w:t>
            </w:r>
          </w:p>
        </w:tc>
        <w:tc>
          <w:tcPr>
            <w:tcW w:type="dxa" w:w="6917"/>
            <w:vAlign w:val="top"/>
            <w:shd w:fill="FFFFFF"/>
            <w:tcMar>
              <w:top w:w="65" w:type="dxa"/>
              <w:left w:w="95" w:type="dxa"/>
              <w:bottom w:w="65" w:type="dxa"/>
              <w:right w:w="95" w:type="dxa"/>
            </w:tcMar>
          </w:tcPr>
          <w:p>
            <w:pPr>
              <w:pStyle w:val="TableText"/>
            </w:pPr>
            <w:r>
              <w:rPr>
                <w:rFonts w:ascii="Arial" w:hAnsi="Arial"/>
                <w:b w:val="0"/>
              </w:rPr>
              <w:t>Son noyau contourne un verrou, mais les habitants lui apprennent à lire et réparer les Accords. Des humains ordinaires détiennent des savoirs qu’il ne possède pas.</w:t>
            </w:r>
          </w:p>
        </w:tc>
      </w:tr>
      <w:tr>
        <w:trPr>
          <w:cantSplit/>
        </w:trPr>
        <w:tc>
          <w:tcPr>
            <w:tcW w:type="dxa" w:w="2948"/>
            <w:vAlign w:val="top"/>
            <w:shd w:fill="F1F5F7"/>
            <w:tcMar>
              <w:top w:w="65" w:type="dxa"/>
              <w:left w:w="95" w:type="dxa"/>
              <w:bottom w:w="65" w:type="dxa"/>
              <w:right w:w="95" w:type="dxa"/>
            </w:tcMar>
          </w:tcPr>
          <w:p>
            <w:pPr>
              <w:pStyle w:val="TableText"/>
            </w:pPr>
            <w:r>
              <w:rPr>
                <w:rFonts w:ascii="Arial" w:hAnsi="Arial"/>
                <w:b w:val="0"/>
              </w:rPr>
              <w:t>Le secret de C rend tout leur amour faux</w:t>
            </w:r>
          </w:p>
        </w:tc>
        <w:tc>
          <w:tcPr>
            <w:tcW w:type="dxa" w:w="6917"/>
            <w:vAlign w:val="top"/>
            <w:shd w:fill="F1F5F7"/>
            <w:tcMar>
              <w:top w:w="65" w:type="dxa"/>
              <w:left w:w="95" w:type="dxa"/>
              <w:bottom w:w="65" w:type="dxa"/>
              <w:right w:w="95" w:type="dxa"/>
            </w:tcMar>
          </w:tcPr>
          <w:p>
            <w:pPr>
              <w:pStyle w:val="TableText"/>
            </w:pPr>
            <w:r>
              <w:rPr>
                <w:rFonts w:ascii="Arial" w:hAnsi="Arial"/>
                <w:b w:val="0"/>
              </w:rPr>
              <w:t>C a quitté sa mission et choisi une relation adulte réelle. Le silence demeure une faute. La reprise du couple inclut une discussion et des engagements nouveaux.</w:t>
            </w:r>
          </w:p>
        </w:tc>
      </w:tr>
      <w:tr>
        <w:trPr>
          <w:cantSplit/>
        </w:trPr>
        <w:tc>
          <w:tcPr>
            <w:tcW w:type="dxa" w:w="2948"/>
            <w:vAlign w:val="top"/>
            <w:shd w:fill="FFFFFF"/>
            <w:tcMar>
              <w:top w:w="65" w:type="dxa"/>
              <w:left w:w="95" w:type="dxa"/>
              <w:bottom w:w="65" w:type="dxa"/>
              <w:right w:w="95" w:type="dxa"/>
            </w:tcMar>
          </w:tcPr>
          <w:p>
            <w:pPr>
              <w:pStyle w:val="TableText"/>
            </w:pPr>
            <w:r>
              <w:rPr>
                <w:rFonts w:ascii="Arial" w:hAnsi="Arial"/>
                <w:b w:val="0"/>
              </w:rPr>
              <w:t>Les témoins taisent la vérité pour le scénario</w:t>
            </w:r>
          </w:p>
        </w:tc>
        <w:tc>
          <w:tcPr>
            <w:tcW w:type="dxa" w:w="6917"/>
            <w:vAlign w:val="top"/>
            <w:shd w:fill="FFFFFF"/>
            <w:tcMar>
              <w:top w:w="65" w:type="dxa"/>
              <w:left w:w="95" w:type="dxa"/>
              <w:bottom w:w="65" w:type="dxa"/>
              <w:right w:w="95" w:type="dxa"/>
            </w:tcMar>
          </w:tcPr>
          <w:p>
            <w:pPr>
              <w:pStyle w:val="TableText"/>
            </w:pPr>
            <w:r>
              <w:rPr>
                <w:rFonts w:ascii="Arial" w:hAnsi="Arial"/>
                <w:b w:val="0"/>
              </w:rPr>
              <w:t>Chacun révèle tôt ce qu’il sait réellement. Les informations tardives proviennent de dossiers indisponibles, de preuves à vérifier ou de témoins rencontrés plus tard, non d’un interdit cosmique commode.</w:t>
            </w:r>
          </w:p>
        </w:tc>
      </w:tr>
      <w:tr>
        <w:trPr>
          <w:cantSplit/>
        </w:trPr>
        <w:tc>
          <w:tcPr>
            <w:tcW w:type="dxa" w:w="2948"/>
            <w:vAlign w:val="top"/>
            <w:shd w:fill="F1F5F7"/>
            <w:tcMar>
              <w:top w:w="65" w:type="dxa"/>
              <w:left w:w="95" w:type="dxa"/>
              <w:bottom w:w="65" w:type="dxa"/>
              <w:right w:w="95" w:type="dxa"/>
            </w:tcMar>
          </w:tcPr>
          <w:p>
            <w:pPr>
              <w:pStyle w:val="TableText"/>
            </w:pPr>
            <w:r>
              <w:rPr>
                <w:rFonts w:ascii="Arial" w:hAnsi="Arial"/>
                <w:b w:val="0"/>
              </w:rPr>
              <w:t>Nacre sait tout mais ne dit rien</w:t>
            </w:r>
          </w:p>
        </w:tc>
        <w:tc>
          <w:tcPr>
            <w:tcW w:type="dxa" w:w="6917"/>
            <w:vAlign w:val="top"/>
            <w:shd w:fill="F1F5F7"/>
            <w:tcMar>
              <w:top w:w="65" w:type="dxa"/>
              <w:left w:w="95" w:type="dxa"/>
              <w:bottom w:w="65" w:type="dxa"/>
              <w:right w:w="95" w:type="dxa"/>
            </w:tcMar>
          </w:tcPr>
          <w:p>
            <w:pPr>
              <w:pStyle w:val="TableText"/>
            </w:pPr>
            <w:r>
              <w:rPr>
                <w:rFonts w:ascii="Arial" w:hAnsi="Arial"/>
                <w:b w:val="0"/>
              </w:rPr>
              <w:t>Ses pertes sont documentées et limitées. Elle partage les données lisibles et corrige ses hypothèses quand les preuves évoluent.</w:t>
            </w:r>
          </w:p>
        </w:tc>
      </w:tr>
      <w:tr>
        <w:trPr>
          <w:cantSplit/>
        </w:trPr>
        <w:tc>
          <w:tcPr>
            <w:tcW w:type="dxa" w:w="2948"/>
            <w:vAlign w:val="top"/>
            <w:shd w:fill="FFFFFF"/>
            <w:tcMar>
              <w:top w:w="65" w:type="dxa"/>
              <w:left w:w="95" w:type="dxa"/>
              <w:bottom w:w="65" w:type="dxa"/>
              <w:right w:w="95" w:type="dxa"/>
            </w:tcMar>
          </w:tcPr>
          <w:p>
            <w:pPr>
              <w:pStyle w:val="TableText"/>
            </w:pPr>
            <w:r>
              <w:rPr>
                <w:rFonts w:ascii="Arial" w:hAnsi="Arial"/>
                <w:b w:val="0"/>
              </w:rPr>
              <w:t>Séveran choisit le pire plan sans raison</w:t>
            </w:r>
          </w:p>
        </w:tc>
        <w:tc>
          <w:tcPr>
            <w:tcW w:type="dxa" w:w="6917"/>
            <w:vAlign w:val="top"/>
            <w:shd w:fill="FFFFFF"/>
            <w:tcMar>
              <w:top w:w="65" w:type="dxa"/>
              <w:left w:w="95" w:type="dxa"/>
              <w:bottom w:w="65" w:type="dxa"/>
              <w:right w:w="95" w:type="dxa"/>
            </w:tcMar>
          </w:tcPr>
          <w:p>
            <w:pPr>
              <w:pStyle w:val="TableText"/>
            </w:pPr>
            <w:r>
              <w:rPr>
                <w:rFonts w:ascii="Arial" w:hAnsi="Arial"/>
                <w:b w:val="0"/>
              </w:rPr>
              <w:t>Le noyau adulte est inaccessible et le jeune noyau est la seule clé identifiée. L’attaque dans A est une tentative de capture d’une ressource, pas une modification inefficace du passé.</w:t>
            </w:r>
          </w:p>
        </w:tc>
      </w:tr>
      <w:tr>
        <w:trPr>
          <w:cantSplit/>
        </w:trPr>
        <w:tc>
          <w:tcPr>
            <w:tcW w:type="dxa" w:w="2948"/>
            <w:vAlign w:val="top"/>
            <w:shd w:fill="F1F5F7"/>
            <w:tcMar>
              <w:top w:w="65" w:type="dxa"/>
              <w:left w:w="95" w:type="dxa"/>
              <w:bottom w:w="65" w:type="dxa"/>
              <w:right w:w="95" w:type="dxa"/>
            </w:tcMar>
          </w:tcPr>
          <w:p>
            <w:pPr>
              <w:pStyle w:val="TableText"/>
            </w:pPr>
            <w:r>
              <w:rPr>
                <w:rFonts w:ascii="Arial" w:hAnsi="Arial"/>
                <w:b w:val="0"/>
              </w:rPr>
              <w:t>Un repentir efface les victimes de H₀</w:t>
            </w:r>
          </w:p>
        </w:tc>
        <w:tc>
          <w:tcPr>
            <w:tcW w:type="dxa" w:w="6917"/>
            <w:vAlign w:val="top"/>
            <w:shd w:fill="F1F5F7"/>
            <w:tcMar>
              <w:top w:w="65" w:type="dxa"/>
              <w:left w:w="95" w:type="dxa"/>
              <w:bottom w:w="65" w:type="dxa"/>
              <w:right w:w="95" w:type="dxa"/>
            </w:tcMar>
          </w:tcPr>
          <w:p>
            <w:pPr>
              <w:pStyle w:val="TableText"/>
            </w:pPr>
            <w:r>
              <w:rPr>
                <w:rFonts w:ascii="Arial" w:hAnsi="Arial"/>
                <w:b w:val="0"/>
              </w:rPr>
              <w:t>Les preuves sont conservées, les habitants peuvent maintenir leur jugement et la transition examine ses systèmes. Son dernier secours est une bonne action, pas un acquittement global.</w:t>
            </w:r>
          </w:p>
        </w:tc>
      </w:tr>
      <w:tr>
        <w:trPr>
          <w:cantSplit/>
        </w:trPr>
        <w:tc>
          <w:tcPr>
            <w:tcW w:type="dxa" w:w="2948"/>
            <w:vAlign w:val="top"/>
            <w:shd w:fill="FFFFFF"/>
            <w:tcMar>
              <w:top w:w="65" w:type="dxa"/>
              <w:left w:w="95" w:type="dxa"/>
              <w:bottom w:w="65" w:type="dxa"/>
              <w:right w:w="95" w:type="dxa"/>
            </w:tcMar>
          </w:tcPr>
          <w:p>
            <w:pPr>
              <w:pStyle w:val="TableText"/>
            </w:pPr>
            <w:r>
              <w:rPr>
                <w:rFonts w:ascii="Arial" w:hAnsi="Arial"/>
                <w:b w:val="0"/>
              </w:rPr>
              <w:t>Un personnage quatre étoiles est insignifiant</w:t>
            </w:r>
          </w:p>
        </w:tc>
        <w:tc>
          <w:tcPr>
            <w:tcW w:type="dxa" w:w="6917"/>
            <w:vAlign w:val="top"/>
            <w:shd w:fill="FFFFFF"/>
            <w:tcMar>
              <w:top w:w="65" w:type="dxa"/>
              <w:left w:w="95" w:type="dxa"/>
              <w:bottom w:w="65" w:type="dxa"/>
              <w:right w:w="95" w:type="dxa"/>
            </w:tcMar>
          </w:tcPr>
          <w:p>
            <w:pPr>
              <w:pStyle w:val="TableText"/>
            </w:pPr>
            <w:r>
              <w:rPr>
                <w:rFonts w:ascii="Arial" w:hAnsi="Arial"/>
                <w:b w:val="0"/>
              </w:rPr>
              <w:t>Des compétences humaines et spécialisées rendent les opérations possibles. Le rang de collection n’est pas la mesure de l’intelligence, de la dignité ni du poids narratif.</w:t>
            </w:r>
          </w:p>
        </w:tc>
      </w:tr>
      <w:tr>
        <w:trPr>
          <w:cantSplit/>
        </w:trPr>
        <w:tc>
          <w:tcPr>
            <w:tcW w:type="dxa" w:w="2948"/>
            <w:vAlign w:val="top"/>
            <w:shd w:fill="F1F5F7"/>
            <w:tcMar>
              <w:top w:w="65" w:type="dxa"/>
              <w:left w:w="95" w:type="dxa"/>
              <w:bottom w:w="65" w:type="dxa"/>
              <w:right w:w="95" w:type="dxa"/>
            </w:tcMar>
          </w:tcPr>
          <w:p>
            <w:pPr>
              <w:pStyle w:val="TableText"/>
            </w:pPr>
            <w:r>
              <w:rPr>
                <w:rFonts w:ascii="Arial" w:hAnsi="Arial"/>
                <w:b w:val="0"/>
              </w:rPr>
              <w:t>Le final transforme le héros en nouveau tyran</w:t>
            </w:r>
          </w:p>
        </w:tc>
        <w:tc>
          <w:tcPr>
            <w:tcW w:type="dxa" w:w="6917"/>
            <w:vAlign w:val="top"/>
            <w:shd w:fill="F1F5F7"/>
            <w:tcMar>
              <w:top w:w="65" w:type="dxa"/>
              <w:left w:w="95" w:type="dxa"/>
              <w:bottom w:w="65" w:type="dxa"/>
              <w:right w:w="95" w:type="dxa"/>
            </w:tcMar>
          </w:tcPr>
          <w:p>
            <w:pPr>
              <w:pStyle w:val="TableText"/>
            </w:pPr>
            <w:r>
              <w:rPr>
                <w:rFonts w:ascii="Arial" w:hAnsi="Arial"/>
                <w:b w:val="0"/>
              </w:rPr>
              <w:t>H refuse la souveraineté technique et transmet ses méthodes. Les passages sont administrés par plusieurs communautés, avec possibilité de contester ses décisions.</w:t>
            </w:r>
          </w:p>
        </w:tc>
      </w:tr>
      <w:tr>
        <w:trPr>
          <w:cantSplit/>
        </w:trPr>
        <w:tc>
          <w:tcPr>
            <w:tcW w:type="dxa" w:w="2948"/>
            <w:vAlign w:val="top"/>
            <w:shd w:fill="FFFFFF"/>
            <w:tcMar>
              <w:top w:w="65" w:type="dxa"/>
              <w:left w:w="95" w:type="dxa"/>
              <w:bottom w:w="65" w:type="dxa"/>
              <w:right w:w="95" w:type="dxa"/>
            </w:tcMar>
          </w:tcPr>
          <w:p>
            <w:pPr>
              <w:pStyle w:val="TableText"/>
            </w:pPr>
            <w:r>
              <w:rPr>
                <w:rFonts w:ascii="Arial" w:hAnsi="Arial"/>
                <w:b w:val="0"/>
              </w:rPr>
              <w:t>Après la victoire, plus rien ne justifie le jeu</w:t>
            </w:r>
          </w:p>
        </w:tc>
        <w:tc>
          <w:tcPr>
            <w:tcW w:type="dxa" w:w="6917"/>
            <w:vAlign w:val="top"/>
            <w:shd w:fill="FFFFFF"/>
            <w:tcMar>
              <w:top w:w="65" w:type="dxa"/>
              <w:left w:w="95" w:type="dxa"/>
              <w:bottom w:w="65" w:type="dxa"/>
              <w:right w:w="95" w:type="dxa"/>
            </w:tcMar>
          </w:tcPr>
          <w:p>
            <w:pPr>
              <w:pStyle w:val="TableText"/>
            </w:pPr>
            <w:r>
              <w:rPr>
                <w:rFonts w:ascii="Arial" w:hAnsi="Arial"/>
                <w:b w:val="0"/>
              </w:rPr>
              <w:t>Reconstruire, démanteler des dépendances et rouvrir les routes produisent des aventures sans invalider la défaite du Régent ni inventer immédiatement un ennemi universel supérieur.</w:t>
            </w:r>
          </w:p>
        </w:tc>
      </w:tr>
    </w:tbl>
    <w:p>
      <w:pPr>
        <w:spacing w:after="0"/>
      </w:pPr>
    </w:p>
    <w:p>
      <w:r>
        <w:rPr>
          <w:rFonts w:ascii="Arial" w:hAnsi="Arial"/>
          <w:b/>
        </w:rPr>
        <w:t>Boussole émotionnelle :</w:t>
      </w:r>
      <w:r>
        <w:rPr>
          <w:rFonts w:ascii="Arial" w:hAnsi="Arial"/>
          <w:b w:val="0"/>
        </w:rPr>
        <w:t xml:space="preserve"> le jeu oppose moins le bien au mal que le soin au contrôle. Les deux peuvent commencer par la même phrase — « je veux te protéger » — puis aboutir à des actes radicalement différents.</w:t>
      </w:r>
    </w:p>
    <w:p>
      <w:r>
        <w:br w:type="page"/>
      </w:r>
    </w:p>
    <w:p>
      <w:pPr>
        <w:spacing w:after="60"/>
      </w:pPr>
      <w:r>
        <w:rPr>
          <w:rFonts w:ascii="Arial" w:hAnsi="Arial"/>
          <w:b/>
          <w:color w:val="677784"/>
          <w:sz w:val="16"/>
        </w:rPr>
        <w:t>CE QUI NE DOIT PAS ÊTRE EFFACÉ</w:t>
      </w:r>
    </w:p>
    <w:p>
      <w:bookmarkStart w:id="30" w:name="section_30"/>
      <w:pPr>
        <w:pStyle w:val="Heading1"/>
      </w:pPr>
      <w:r>
        <w:t>29 — Fin, après-histoire et garde-fous</w:t>
      </w:r>
      <w:bookmarkEnd w:id="30"/>
    </w:p>
    <w:p>
      <w:pPr>
        <w:pStyle w:val="Heading2"/>
      </w:pPr>
      <w:r>
        <w:t>Une victoire sur trois plans</w:t>
      </w:r>
    </w:p>
    <w:p>
      <w:r>
        <w:rPr>
          <w:rFonts w:ascii="Arial" w:hAnsi="Arial"/>
          <w:b/>
        </w:rPr>
        <w:t>Intime :</w:t>
      </w:r>
      <w:r>
        <w:rPr>
          <w:rFonts w:ascii="Arial" w:hAnsi="Arial"/>
          <w:b w:val="0"/>
        </w:rPr>
        <w:t xml:space="preserve"> C₁ est sauvé comme personne continue et retrouve H₁. Leur relation ne revient pas automatiquement à l’état d’avant. </w:t>
      </w:r>
      <w:r>
        <w:rPr>
          <w:rFonts w:ascii="Arial" w:hAnsi="Arial"/>
          <w:b/>
        </w:rPr>
        <w:t>Politique :</w:t>
      </w:r>
      <w:r>
        <w:rPr>
          <w:rFonts w:ascii="Arial" w:hAnsi="Arial"/>
          <w:b w:val="0"/>
        </w:rPr>
        <w:t xml:space="preserve"> les régions retrouvent des moyens d’action sans nouveau souverain absolu. </w:t>
      </w:r>
      <w:r>
        <w:rPr>
          <w:rFonts w:ascii="Arial" w:hAnsi="Arial"/>
          <w:b/>
        </w:rPr>
        <w:t>Technique :</w:t>
      </w:r>
      <w:r>
        <w:rPr>
          <w:rFonts w:ascii="Arial" w:hAnsi="Arial"/>
          <w:b w:val="0"/>
        </w:rPr>
        <w:t xml:space="preserve"> la fonction de bifurcation exceptionnelle est consommée et le réseau d’accord devient progressivement transmissible.</w:t>
      </w:r>
    </w:p>
    <w:p>
      <w:r>
        <w:rPr>
          <w:rFonts w:ascii="Arial" w:hAnsi="Arial"/>
          <w:b w:val="0"/>
        </w:rPr>
        <w:t>La fin ne rend pas le monde parfait. Les victimes de l’empire et de H₀ existent toujours dans les souvenirs, les bâtiments et les décisions publiques. Certaines personnes quittent Orthe ; d’autres souhaitent préserver des institutions de l’ancien régime. Le jeu peut explorer ces tensions sans prétendre que vaincre le boss les a résolues.</w:t>
      </w:r>
    </w:p>
    <w:p>
      <w:pPr>
        <w:pStyle w:val="Heading2"/>
      </w:pPr>
      <w:r>
        <w:t>Une extension naturelle du jeu</w:t>
      </w:r>
    </w:p>
    <w:tbl>
      <w:tblPr>
        <w:tblW w:type="auto" w:w="0"/>
        <w:jc w:val="center"/>
        <w:tblLayout w:type="fixed"/>
        <w:tblLook w:firstColumn="1" w:firstRow="1" w:lastColumn="0" w:lastRow="0" w:noHBand="0" w:noVBand="1" w:val="04A0"/>
      </w:tblPr>
      <w:tblGrid>
        <w:gridCol w:w="2268"/>
        <w:gridCol w:w="7597"/>
      </w:tblGrid>
      <w:tr>
        <w:trPr>
          <w:tblHeader/>
        </w:trPr>
        <w:tc>
          <w:tcPr>
            <w:tcW w:type="dxa" w:w="2268"/>
            <w:vAlign w:val="center"/>
            <w:shd w:fill="253A52"/>
            <w:tcMar>
              <w:top w:w="65" w:type="dxa"/>
              <w:left w:w="95" w:type="dxa"/>
              <w:bottom w:w="65" w:type="dxa"/>
              <w:right w:w="95" w:type="dxa"/>
            </w:tcMar>
          </w:tcPr>
          <w:p>
            <w:pPr>
              <w:pStyle w:val="TableText"/>
            </w:pPr>
            <w:r>
              <w:rPr>
                <w:rFonts w:ascii="Arial" w:hAnsi="Arial"/>
                <w:b/>
                <w:color w:val="FFFFFF"/>
              </w:rPr>
              <w:t>Axe après l’histoire</w:t>
            </w:r>
          </w:p>
        </w:tc>
        <w:tc>
          <w:tcPr>
            <w:tcW w:type="dxa" w:w="7597"/>
            <w:vAlign w:val="center"/>
            <w:shd w:fill="253A52"/>
            <w:tcMar>
              <w:top w:w="65" w:type="dxa"/>
              <w:left w:w="95" w:type="dxa"/>
              <w:bottom w:w="65" w:type="dxa"/>
              <w:right w:w="95" w:type="dxa"/>
            </w:tcMar>
          </w:tcPr>
          <w:p>
            <w:pPr>
              <w:pStyle w:val="TableText"/>
            </w:pPr>
            <w:r>
              <w:rPr>
                <w:rFonts w:ascii="Arial" w:hAnsi="Arial"/>
                <w:b/>
                <w:color w:val="FFFFFF"/>
              </w:rPr>
              <w:t>Matière à aventures</w:t>
            </w:r>
          </w:p>
        </w:tc>
      </w:tr>
      <w:tr>
        <w:trPr>
          <w:cantSplit/>
        </w:trPr>
        <w:tc>
          <w:tcPr>
            <w:tcW w:type="dxa" w:w="2268"/>
            <w:vAlign w:val="top"/>
            <w:shd w:fill="F1F5F7"/>
            <w:tcMar>
              <w:top w:w="65" w:type="dxa"/>
              <w:left w:w="95" w:type="dxa"/>
              <w:bottom w:w="65" w:type="dxa"/>
              <w:right w:w="95" w:type="dxa"/>
            </w:tcMar>
          </w:tcPr>
          <w:p>
            <w:pPr>
              <w:pStyle w:val="TableText"/>
            </w:pPr>
            <w:r>
              <w:rPr>
                <w:rFonts w:ascii="Arial" w:hAnsi="Arial"/>
                <w:b w:val="0"/>
              </w:rPr>
              <w:t>Reconstruction</w:t>
            </w:r>
          </w:p>
        </w:tc>
        <w:tc>
          <w:tcPr>
            <w:tcW w:type="dxa" w:w="7597"/>
            <w:vAlign w:val="top"/>
            <w:shd w:fill="F1F5F7"/>
            <w:tcMar>
              <w:top w:w="65" w:type="dxa"/>
              <w:left w:w="95" w:type="dxa"/>
              <w:bottom w:w="65" w:type="dxa"/>
              <w:right w:w="95" w:type="dxa"/>
            </w:tcMar>
          </w:tcPr>
          <w:p>
            <w:pPr>
              <w:pStyle w:val="TableText"/>
            </w:pPr>
            <w:r>
              <w:rPr>
                <w:rFonts w:ascii="Arial" w:hAnsi="Arial"/>
                <w:b w:val="0"/>
              </w:rPr>
              <w:t>Rétablir une route, négocier des secours, remettre en service un quartier. Le décor peut refléter réellement ce qui a été accompli.</w:t>
            </w:r>
          </w:p>
        </w:tc>
      </w:tr>
      <w:tr>
        <w:trPr>
          <w:cantSplit/>
        </w:trPr>
        <w:tc>
          <w:tcPr>
            <w:tcW w:type="dxa" w:w="2268"/>
            <w:vAlign w:val="top"/>
            <w:shd w:fill="FFFFFF"/>
            <w:tcMar>
              <w:top w:w="65" w:type="dxa"/>
              <w:left w:w="95" w:type="dxa"/>
              <w:bottom w:w="65" w:type="dxa"/>
              <w:right w:w="95" w:type="dxa"/>
            </w:tcMar>
          </w:tcPr>
          <w:p>
            <w:pPr>
              <w:pStyle w:val="TableText"/>
            </w:pPr>
            <w:r>
              <w:rPr>
                <w:rFonts w:ascii="Arial" w:hAnsi="Arial"/>
                <w:b w:val="0"/>
              </w:rPr>
              <w:t>Autonomie des Accords</w:t>
            </w:r>
          </w:p>
        </w:tc>
        <w:tc>
          <w:tcPr>
            <w:tcW w:type="dxa" w:w="7597"/>
            <w:vAlign w:val="top"/>
            <w:shd w:fill="FFFFFF"/>
            <w:tcMar>
              <w:top w:w="65" w:type="dxa"/>
              <w:left w:w="95" w:type="dxa"/>
              <w:bottom w:w="65" w:type="dxa"/>
              <w:right w:w="95" w:type="dxa"/>
            </w:tcMar>
          </w:tcPr>
          <w:p>
            <w:pPr>
              <w:pStyle w:val="TableText"/>
            </w:pPr>
            <w:r>
              <w:rPr>
                <w:rFonts w:ascii="Arial" w:hAnsi="Arial"/>
                <w:b w:val="0"/>
              </w:rPr>
              <w:t>Former de nouvelles équipes de réparation. Découvrir des pouvoirs altérés par des adaptations locales, pas seulement des versions plus puissantes.</w:t>
            </w:r>
          </w:p>
        </w:tc>
      </w:tr>
      <w:tr>
        <w:trPr>
          <w:cantSplit/>
        </w:trPr>
        <w:tc>
          <w:tcPr>
            <w:tcW w:type="dxa" w:w="2268"/>
            <w:vAlign w:val="top"/>
            <w:shd w:fill="F1F5F7"/>
            <w:tcMar>
              <w:top w:w="65" w:type="dxa"/>
              <w:left w:w="95" w:type="dxa"/>
              <w:bottom w:w="65" w:type="dxa"/>
              <w:right w:w="95" w:type="dxa"/>
            </w:tcMar>
          </w:tcPr>
          <w:p>
            <w:pPr>
              <w:pStyle w:val="TableText"/>
            </w:pPr>
            <w:r>
              <w:rPr>
                <w:rFonts w:ascii="Arial" w:hAnsi="Arial"/>
                <w:b w:val="0"/>
              </w:rPr>
              <w:t>Routes planétaires</w:t>
            </w:r>
          </w:p>
        </w:tc>
        <w:tc>
          <w:tcPr>
            <w:tcW w:type="dxa" w:w="7597"/>
            <w:vAlign w:val="top"/>
            <w:shd w:fill="F1F5F7"/>
            <w:tcMar>
              <w:top w:w="65" w:type="dxa"/>
              <w:left w:w="95" w:type="dxa"/>
              <w:bottom w:w="65" w:type="dxa"/>
              <w:right w:w="95" w:type="dxa"/>
            </w:tcMar>
          </w:tcPr>
          <w:p>
            <w:pPr>
              <w:pStyle w:val="TableText"/>
            </w:pPr>
            <w:r>
              <w:rPr>
                <w:rFonts w:ascii="Arial" w:hAnsi="Arial"/>
                <w:b w:val="0"/>
              </w:rPr>
              <w:t>Retrouver des descendants des premières migrations. Certaines sociétés ont une relation hostile, indifférente ou mythifiée à Orthe.</w:t>
            </w:r>
          </w:p>
        </w:tc>
      </w:tr>
      <w:tr>
        <w:trPr>
          <w:cantSplit/>
        </w:trPr>
        <w:tc>
          <w:tcPr>
            <w:tcW w:type="dxa" w:w="2268"/>
            <w:vAlign w:val="top"/>
            <w:shd w:fill="FFFFFF"/>
            <w:tcMar>
              <w:top w:w="65" w:type="dxa"/>
              <w:left w:w="95" w:type="dxa"/>
              <w:bottom w:w="65" w:type="dxa"/>
              <w:right w:w="95" w:type="dxa"/>
            </w:tcMar>
          </w:tcPr>
          <w:p>
            <w:pPr>
              <w:pStyle w:val="TableText"/>
            </w:pPr>
            <w:r>
              <w:rPr>
                <w:rFonts w:ascii="Arial" w:hAnsi="Arial"/>
                <w:b w:val="0"/>
              </w:rPr>
              <w:t>Héritages du Concordat</w:t>
            </w:r>
          </w:p>
        </w:tc>
        <w:tc>
          <w:tcPr>
            <w:tcW w:type="dxa" w:w="7597"/>
            <w:vAlign w:val="top"/>
            <w:shd w:fill="FFFFFF"/>
            <w:tcMar>
              <w:top w:w="65" w:type="dxa"/>
              <w:left w:w="95" w:type="dxa"/>
              <w:bottom w:w="65" w:type="dxa"/>
              <w:right w:w="95" w:type="dxa"/>
            </w:tcMar>
          </w:tcPr>
          <w:p>
            <w:pPr>
              <w:pStyle w:val="TableText"/>
            </w:pPr>
            <w:r>
              <w:rPr>
                <w:rFonts w:ascii="Arial" w:hAnsi="Arial"/>
                <w:b w:val="0"/>
              </w:rPr>
              <w:t>Cellules militaires restantes, administrations dépendantes, populations craignant la disparition des garanties impériales. La faction continue d’avoir des conséquences sans ressusciter son chef.</w:t>
            </w:r>
          </w:p>
        </w:tc>
      </w:tr>
      <w:tr>
        <w:trPr>
          <w:cantSplit/>
        </w:trPr>
        <w:tc>
          <w:tcPr>
            <w:tcW w:type="dxa" w:w="2268"/>
            <w:vAlign w:val="top"/>
            <w:shd w:fill="F1F5F7"/>
            <w:tcMar>
              <w:top w:w="65" w:type="dxa"/>
              <w:left w:w="95" w:type="dxa"/>
              <w:bottom w:w="65" w:type="dxa"/>
              <w:right w:w="95" w:type="dxa"/>
            </w:tcMar>
          </w:tcPr>
          <w:p>
            <w:pPr>
              <w:pStyle w:val="TableText"/>
            </w:pPr>
            <w:r>
              <w:rPr>
                <w:rFonts w:ascii="Arial" w:hAnsi="Arial"/>
                <w:b w:val="0"/>
              </w:rPr>
              <w:t>Origines incomplètes</w:t>
            </w:r>
          </w:p>
        </w:tc>
        <w:tc>
          <w:tcPr>
            <w:tcW w:type="dxa" w:w="7597"/>
            <w:vAlign w:val="top"/>
            <w:shd w:fill="F1F5F7"/>
            <w:tcMar>
              <w:top w:w="65" w:type="dxa"/>
              <w:left w:w="95" w:type="dxa"/>
              <w:bottom w:w="65" w:type="dxa"/>
              <w:right w:w="95" w:type="dxa"/>
            </w:tcMar>
          </w:tcPr>
          <w:p>
            <w:pPr>
              <w:pStyle w:val="TableText"/>
            </w:pPr>
            <w:r>
              <w:rPr>
                <w:rFonts w:ascii="Arial" w:hAnsi="Arial"/>
                <w:b w:val="0"/>
              </w:rPr>
              <w:t>Étudier ce que les Créateurs ont compris ou mal compris. Ce mystère ne doit pas révéler qu’Orthe n’était finalement qu’une simulation fabriquée pour H.</w:t>
            </w:r>
          </w:p>
        </w:tc>
      </w:tr>
      <w:tr>
        <w:trPr>
          <w:cantSplit/>
        </w:trPr>
        <w:tc>
          <w:tcPr>
            <w:tcW w:type="dxa" w:w="2268"/>
            <w:vAlign w:val="top"/>
            <w:shd w:fill="FFFFFF"/>
            <w:tcMar>
              <w:top w:w="65" w:type="dxa"/>
              <w:left w:w="95" w:type="dxa"/>
              <w:bottom w:w="65" w:type="dxa"/>
              <w:right w:w="95" w:type="dxa"/>
            </w:tcMar>
          </w:tcPr>
          <w:p>
            <w:pPr>
              <w:pStyle w:val="TableText"/>
            </w:pPr>
            <w:r>
              <w:rPr>
                <w:rFonts w:ascii="Arial" w:hAnsi="Arial"/>
                <w:b w:val="0"/>
              </w:rPr>
              <w:t>Vie du groupe</w:t>
            </w:r>
          </w:p>
        </w:tc>
        <w:tc>
          <w:tcPr>
            <w:tcW w:type="dxa" w:w="7597"/>
            <w:vAlign w:val="top"/>
            <w:shd w:fill="FFFFFF"/>
            <w:tcMar>
              <w:top w:w="65" w:type="dxa"/>
              <w:left w:w="95" w:type="dxa"/>
              <w:bottom w:w="65" w:type="dxa"/>
              <w:right w:w="95" w:type="dxa"/>
            </w:tcMar>
          </w:tcPr>
          <w:p>
            <w:pPr>
              <w:pStyle w:val="TableText"/>
            </w:pPr>
            <w:r>
              <w:rPr>
                <w:rFonts w:ascii="Arial" w:hAnsi="Arial"/>
                <w:b w:val="0"/>
              </w:rPr>
              <w:t>Relations, métiers, expéditions, ateliers et choix individuels. Le gacha élargit un monde habité ; il ne le remplace pas.</w:t>
            </w:r>
          </w:p>
        </w:tc>
      </w:tr>
    </w:tbl>
    <w:p>
      <w:pPr>
        <w:spacing w:after="0"/>
      </w:pPr>
    </w:p>
    <w:p>
      <w:pPr>
        <w:pStyle w:val="Heading2"/>
      </w:pPr>
      <w:r>
        <w:t>Inspirations : direction, pas emprunts de lore</w:t>
      </w:r>
    </w:p>
    <w:p>
      <w:r>
        <w:rPr>
          <w:rFonts w:ascii="Arial" w:hAnsi="Arial"/>
          <w:b w:val="0"/>
        </w:rPr>
        <w:t>À partir des univers cités par l’utilisateur, la direction retenue privilégie des régions fortement identifiables, des liens affectifs entre personnages, des contrastes entre quotidien et catastrophe, une exploration généreuse et un mystère cosmique progressif. Les peuples, les règles temporelles, les institutions et les conclusions présentés ici sont des propositions pour ce jeu, pas une adaptation d’une intrigue existante.</w:t>
      </w:r>
    </w:p>
    <w:p>
      <w:r>
        <w:rPr>
          <w:rFonts w:ascii="Arial" w:hAnsi="Arial"/>
          <w:b w:val="0"/>
        </w:rPr>
        <w:t>Éviter les équivalences mécaniques trop visibles : un dirigeant divin par élément, une succession de clés émotionnelles interchangeables, un compagnon qui sait tout, ou des personnages conçus uniquement pour remplir une bannière.</w:t>
      </w:r>
    </w:p>
    <w:p>
      <w:r>
        <w:br w:type="page"/>
      </w:r>
    </w:p>
    <w:p>
      <w:pPr>
        <w:spacing w:after="60"/>
      </w:pPr>
      <w:r>
        <w:rPr>
          <w:rFonts w:ascii="Arial" w:hAnsi="Arial"/>
          <w:b/>
          <w:color w:val="677784"/>
          <w:sz w:val="16"/>
        </w:rPr>
        <w:t>DÉCISIONS OUVERTES SANS TROUS STRUCTURELS LAISSÉS VIDES</w:t>
      </w:r>
    </w:p>
    <w:p>
      <w:bookmarkStart w:id="31" w:name="section_31"/>
      <w:pPr>
        <w:pStyle w:val="Heading1"/>
      </w:pPr>
      <w:r>
        <w:t>30 — Ce qui reste modifiable</w:t>
      </w:r>
      <w:bookmarkEnd w:id="31"/>
    </w:p>
    <w:tbl>
      <w:tblPr>
        <w:tblW w:type="auto" w:w="0"/>
        <w:jc w:val="center"/>
        <w:tblLayout w:type="fixed"/>
        <w:tblLook w:firstColumn="1" w:firstRow="1" w:lastColumn="0" w:lastRow="0" w:noHBand="0" w:noVBand="1" w:val="04A0"/>
      </w:tblPr>
      <w:tblGrid>
        <w:gridCol w:w="2551"/>
        <w:gridCol w:w="7313"/>
      </w:tblGrid>
      <w:tr>
        <w:trPr>
          <w:tblHeader/>
        </w:trPr>
        <w:tc>
          <w:tcPr>
            <w:tcW w:type="dxa" w:w="2551"/>
            <w:vAlign w:val="center"/>
            <w:shd w:fill="253A52"/>
            <w:tcMar>
              <w:top w:w="65" w:type="dxa"/>
              <w:left w:w="95" w:type="dxa"/>
              <w:bottom w:w="65" w:type="dxa"/>
              <w:right w:w="95" w:type="dxa"/>
            </w:tcMar>
          </w:tcPr>
          <w:p>
            <w:pPr>
              <w:pStyle w:val="TableText"/>
            </w:pPr>
            <w:r>
              <w:rPr>
                <w:rFonts w:ascii="Arial" w:hAnsi="Arial"/>
                <w:b/>
                <w:color w:val="FFFFFF"/>
              </w:rPr>
              <w:t>Variable</w:t>
            </w:r>
          </w:p>
        </w:tc>
        <w:tc>
          <w:tcPr>
            <w:tcW w:type="dxa" w:w="7313"/>
            <w:vAlign w:val="center"/>
            <w:shd w:fill="253A52"/>
            <w:tcMar>
              <w:top w:w="65" w:type="dxa"/>
              <w:left w:w="95" w:type="dxa"/>
              <w:bottom w:w="65" w:type="dxa"/>
              <w:right w:w="95" w:type="dxa"/>
            </w:tcMar>
          </w:tcPr>
          <w:p>
            <w:pPr>
              <w:pStyle w:val="TableText"/>
            </w:pPr>
            <w:r>
              <w:rPr>
                <w:rFonts w:ascii="Arial" w:hAnsi="Arial"/>
                <w:b/>
                <w:color w:val="FFFFFF"/>
              </w:rPr>
              <w:t>Valeur proposée et impact d’un changement</w:t>
            </w:r>
          </w:p>
        </w:tc>
      </w:tr>
      <w:tr>
        <w:trPr>
          <w:cantSplit/>
        </w:trPr>
        <w:tc>
          <w:tcPr>
            <w:tcW w:type="dxa" w:w="2551"/>
            <w:vAlign w:val="top"/>
            <w:shd w:fill="F1F5F7"/>
            <w:tcMar>
              <w:top w:w="65" w:type="dxa"/>
              <w:left w:w="95" w:type="dxa"/>
              <w:bottom w:w="65" w:type="dxa"/>
              <w:right w:w="95" w:type="dxa"/>
            </w:tcMar>
          </w:tcPr>
          <w:p>
            <w:pPr>
              <w:pStyle w:val="TableText"/>
            </w:pPr>
            <w:r>
              <w:rPr>
                <w:rFonts w:ascii="Arial" w:hAnsi="Arial"/>
                <w:b w:val="0"/>
              </w:rPr>
              <w:t>Noms et apparences</w:t>
            </w:r>
          </w:p>
        </w:tc>
        <w:tc>
          <w:tcPr>
            <w:tcW w:type="dxa" w:w="7313"/>
            <w:vAlign w:val="top"/>
            <w:shd w:fill="F1F5F7"/>
            <w:tcMar>
              <w:top w:w="65" w:type="dxa"/>
              <w:left w:w="95" w:type="dxa"/>
              <w:bottom w:w="65" w:type="dxa"/>
              <w:right w:w="95" w:type="dxa"/>
            </w:tcMar>
          </w:tcPr>
          <w:p>
            <w:pPr>
              <w:pStyle w:val="TableText"/>
            </w:pPr>
            <w:r>
              <w:rPr>
                <w:rFonts w:ascii="Arial" w:hAnsi="Arial"/>
                <w:b w:val="0"/>
              </w:rPr>
              <w:t>Orthe, Sélis, Nacre, Séveran et les noms de régions sont provisoires. Les modifier n’affecte pas la causalité.</w:t>
            </w:r>
          </w:p>
        </w:tc>
      </w:tr>
      <w:tr>
        <w:trPr>
          <w:cantSplit/>
        </w:trPr>
        <w:tc>
          <w:tcPr>
            <w:tcW w:type="dxa" w:w="2551"/>
            <w:vAlign w:val="top"/>
            <w:shd w:fill="FFFFFF"/>
            <w:tcMar>
              <w:top w:w="65" w:type="dxa"/>
              <w:left w:w="95" w:type="dxa"/>
              <w:bottom w:w="65" w:type="dxa"/>
              <w:right w:w="95" w:type="dxa"/>
            </w:tcMar>
          </w:tcPr>
          <w:p>
            <w:pPr>
              <w:pStyle w:val="TableText"/>
            </w:pPr>
            <w:r>
              <w:rPr>
                <w:rFonts w:ascii="Arial" w:hAnsi="Arial"/>
                <w:b w:val="0"/>
              </w:rPr>
              <w:t>Durées</w:t>
            </w:r>
          </w:p>
        </w:tc>
        <w:tc>
          <w:tcPr>
            <w:tcW w:type="dxa" w:w="7313"/>
            <w:vAlign w:val="top"/>
            <w:shd w:fill="FFFFFF"/>
            <w:tcMar>
              <w:top w:w="65" w:type="dxa"/>
              <w:left w:w="95" w:type="dxa"/>
              <w:bottom w:w="65" w:type="dxa"/>
              <w:right w:w="95" w:type="dxa"/>
            </w:tcMar>
          </w:tcPr>
          <w:p>
            <w:pPr>
              <w:pStyle w:val="TableText"/>
            </w:pPr>
            <w:r>
              <w:rPr>
                <w:rFonts w:ascii="Arial" w:hAnsi="Arial"/>
                <w:b w:val="0"/>
              </w:rPr>
              <w:t>A + 4 ans pour G, A + 14 ans pour Z, neuf mois pour J ; âge de 29 ans en A. Un autre étalonnage doit préserver l’âge adulte du couple et les vies vécues entre les repères.</w:t>
            </w:r>
          </w:p>
        </w:tc>
      </w:tr>
      <w:tr>
        <w:trPr>
          <w:cantSplit/>
        </w:trPr>
        <w:tc>
          <w:tcPr>
            <w:tcW w:type="dxa" w:w="2551"/>
            <w:vAlign w:val="top"/>
            <w:shd w:fill="F1F5F7"/>
            <w:tcMar>
              <w:top w:w="65" w:type="dxa"/>
              <w:left w:w="95" w:type="dxa"/>
              <w:bottom w:w="65" w:type="dxa"/>
              <w:right w:w="95" w:type="dxa"/>
            </w:tcMar>
          </w:tcPr>
          <w:p>
            <w:pPr>
              <w:pStyle w:val="TableText"/>
            </w:pPr>
            <w:r>
              <w:rPr>
                <w:rFonts w:ascii="Arial" w:hAnsi="Arial"/>
                <w:b w:val="0"/>
              </w:rPr>
              <w:t>Nombre de régions</w:t>
            </w:r>
          </w:p>
        </w:tc>
        <w:tc>
          <w:tcPr>
            <w:tcW w:type="dxa" w:w="7313"/>
            <w:vAlign w:val="top"/>
            <w:shd w:fill="F1F5F7"/>
            <w:tcMar>
              <w:top w:w="65" w:type="dxa"/>
              <w:left w:w="95" w:type="dxa"/>
              <w:bottom w:w="65" w:type="dxa"/>
              <w:right w:w="95" w:type="dxa"/>
            </w:tcMar>
          </w:tcPr>
          <w:p>
            <w:pPr>
              <w:pStyle w:val="TableText"/>
            </w:pPr>
            <w:r>
              <w:rPr>
                <w:rFonts w:ascii="Arial" w:hAnsi="Arial"/>
                <w:b w:val="0"/>
              </w:rPr>
              <w:t>Six pour diversifier les structures et éviter une simple collection d’incarnations. On peut subdiviser ou fusionner une région en conservant ses fonctions dramatiques et techniques.</w:t>
            </w:r>
          </w:p>
        </w:tc>
      </w:tr>
      <w:tr>
        <w:trPr>
          <w:cantSplit/>
        </w:trPr>
        <w:tc>
          <w:tcPr>
            <w:tcW w:type="dxa" w:w="2551"/>
            <w:vAlign w:val="top"/>
            <w:shd w:fill="FFFFFF"/>
            <w:tcMar>
              <w:top w:w="65" w:type="dxa"/>
              <w:left w:w="95" w:type="dxa"/>
              <w:bottom w:w="65" w:type="dxa"/>
              <w:right w:w="95" w:type="dxa"/>
            </w:tcMar>
          </w:tcPr>
          <w:p>
            <w:pPr>
              <w:pStyle w:val="TableText"/>
            </w:pPr>
            <w:r>
              <w:rPr>
                <w:rFonts w:ascii="Arial" w:hAnsi="Arial"/>
                <w:b w:val="0"/>
              </w:rPr>
              <w:t>Visibilité du modèle temporel</w:t>
            </w:r>
          </w:p>
        </w:tc>
        <w:tc>
          <w:tcPr>
            <w:tcW w:type="dxa" w:w="7313"/>
            <w:vAlign w:val="top"/>
            <w:shd w:fill="FFFFFF"/>
            <w:tcMar>
              <w:top w:w="65" w:type="dxa"/>
              <w:left w:w="95" w:type="dxa"/>
              <w:bottom w:w="65" w:type="dxa"/>
              <w:right w:w="95" w:type="dxa"/>
            </w:tcMar>
          </w:tcPr>
          <w:p>
            <w:pPr>
              <w:pStyle w:val="TableText"/>
            </w:pPr>
            <w:r>
              <w:rPr>
                <w:rFonts w:ascii="Arial" w:hAnsi="Arial"/>
                <w:b w:val="0"/>
              </w:rPr>
              <w:t>Le joueur découvre tôt le décalage et au milieu la bifurcation complète. On peut déplacer légèrement les explications, pas dissimuler une règle indispensable jusqu’au final.</w:t>
            </w:r>
          </w:p>
        </w:tc>
      </w:tr>
      <w:tr>
        <w:trPr>
          <w:cantSplit/>
        </w:trPr>
        <w:tc>
          <w:tcPr>
            <w:tcW w:type="dxa" w:w="2551"/>
            <w:vAlign w:val="top"/>
            <w:shd w:fill="F1F5F7"/>
            <w:tcMar>
              <w:top w:w="65" w:type="dxa"/>
              <w:left w:w="95" w:type="dxa"/>
              <w:bottom w:w="65" w:type="dxa"/>
              <w:right w:w="95" w:type="dxa"/>
            </w:tcMar>
          </w:tcPr>
          <w:p>
            <w:pPr>
              <w:pStyle w:val="TableText"/>
            </w:pPr>
            <w:r>
              <w:rPr>
                <w:rFonts w:ascii="Arial" w:hAnsi="Arial"/>
                <w:b w:val="0"/>
              </w:rPr>
              <w:t>Niveau de noirceur</w:t>
            </w:r>
          </w:p>
        </w:tc>
        <w:tc>
          <w:tcPr>
            <w:tcW w:type="dxa" w:w="7313"/>
            <w:vAlign w:val="top"/>
            <w:shd w:fill="F1F5F7"/>
            <w:tcMar>
              <w:top w:w="65" w:type="dxa"/>
              <w:left w:w="95" w:type="dxa"/>
              <w:bottom w:w="65" w:type="dxa"/>
              <w:right w:w="95" w:type="dxa"/>
            </w:tcMar>
          </w:tcPr>
          <w:p>
            <w:pPr>
              <w:pStyle w:val="TableText"/>
            </w:pPr>
            <w:r>
              <w:rPr>
                <w:rFonts w:ascii="Arial" w:hAnsi="Arial"/>
                <w:b w:val="0"/>
              </w:rPr>
              <w:t>Le régime a des victimes réelles, mais les villes conservent humour, travail, amour et fêtes. Le deuil ne doit pas rendre toutes les quêtes sombres.</w:t>
            </w:r>
          </w:p>
        </w:tc>
      </w:tr>
      <w:tr>
        <w:trPr>
          <w:cantSplit/>
        </w:trPr>
        <w:tc>
          <w:tcPr>
            <w:tcW w:type="dxa" w:w="2551"/>
            <w:vAlign w:val="top"/>
            <w:shd w:fill="FFFFFF"/>
            <w:tcMar>
              <w:top w:w="65" w:type="dxa"/>
              <w:left w:w="95" w:type="dxa"/>
              <w:bottom w:w="65" w:type="dxa"/>
              <w:right w:w="95" w:type="dxa"/>
            </w:tcMar>
          </w:tcPr>
          <w:p>
            <w:pPr>
              <w:pStyle w:val="TableText"/>
            </w:pPr>
            <w:r>
              <w:rPr>
                <w:rFonts w:ascii="Arial" w:hAnsi="Arial"/>
                <w:b w:val="0"/>
              </w:rPr>
              <w:t>Ampleur des pouvoirs</w:t>
            </w:r>
          </w:p>
        </w:tc>
        <w:tc>
          <w:tcPr>
            <w:tcW w:type="dxa" w:w="7313"/>
            <w:vAlign w:val="top"/>
            <w:shd w:fill="FFFFFF"/>
            <w:tcMar>
              <w:top w:w="65" w:type="dxa"/>
              <w:left w:w="95" w:type="dxa"/>
              <w:bottom w:w="65" w:type="dxa"/>
              <w:right w:w="95" w:type="dxa"/>
            </w:tcMar>
          </w:tcPr>
          <w:p>
            <w:pPr>
              <w:pStyle w:val="TableText"/>
            </w:pPr>
            <w:r>
              <w:rPr>
                <w:rFonts w:ascii="Arial" w:hAnsi="Arial"/>
                <w:b w:val="0"/>
              </w:rPr>
              <w:t>Les effets visuels peuvent être spectaculaires. La capacité de créer une conscience, de réinitialiser une planète ou de ressusciter librement quelqu’un reste exclue sans révision générale.</w:t>
            </w:r>
          </w:p>
        </w:tc>
      </w:tr>
      <w:tr>
        <w:trPr>
          <w:cantSplit/>
        </w:trPr>
        <w:tc>
          <w:tcPr>
            <w:tcW w:type="dxa" w:w="2551"/>
            <w:vAlign w:val="top"/>
            <w:shd w:fill="F1F5F7"/>
            <w:tcMar>
              <w:top w:w="65" w:type="dxa"/>
              <w:left w:w="95" w:type="dxa"/>
              <w:bottom w:w="65" w:type="dxa"/>
              <w:right w:w="95" w:type="dxa"/>
            </w:tcMar>
          </w:tcPr>
          <w:p>
            <w:pPr>
              <w:pStyle w:val="TableText"/>
            </w:pPr>
            <w:r>
              <w:rPr>
                <w:rFonts w:ascii="Arial" w:hAnsi="Arial"/>
                <w:b w:val="0"/>
              </w:rPr>
              <w:t>Raretés et économie</w:t>
            </w:r>
          </w:p>
        </w:tc>
        <w:tc>
          <w:tcPr>
            <w:tcW w:type="dxa" w:w="7313"/>
            <w:vAlign w:val="top"/>
            <w:shd w:fill="F1F5F7"/>
            <w:tcMar>
              <w:top w:w="65" w:type="dxa"/>
              <w:left w:w="95" w:type="dxa"/>
              <w:bottom w:w="65" w:type="dxa"/>
              <w:right w:w="95" w:type="dxa"/>
            </w:tcMar>
          </w:tcPr>
          <w:p>
            <w:pPr>
              <w:pStyle w:val="TableText"/>
            </w:pPr>
            <w:r>
              <w:rPr>
                <w:rFonts w:ascii="Arial" w:hAnsi="Arial"/>
                <w:b w:val="0"/>
              </w:rPr>
              <w:t>Les rangs de personnages proposés servent de maquette. Taux, garanties chiffrées, monnaies et coûts nécessitent un travail de game design distinct.</w:t>
            </w:r>
          </w:p>
        </w:tc>
      </w:tr>
      <w:tr>
        <w:trPr>
          <w:cantSplit/>
        </w:trPr>
        <w:tc>
          <w:tcPr>
            <w:tcW w:type="dxa" w:w="2551"/>
            <w:vAlign w:val="top"/>
            <w:shd w:fill="FFFFFF"/>
            <w:tcMar>
              <w:top w:w="65" w:type="dxa"/>
              <w:left w:w="95" w:type="dxa"/>
              <w:bottom w:w="65" w:type="dxa"/>
              <w:right w:w="95" w:type="dxa"/>
            </w:tcMar>
          </w:tcPr>
          <w:p>
            <w:pPr>
              <w:pStyle w:val="TableText"/>
            </w:pPr>
            <w:r>
              <w:rPr>
                <w:rFonts w:ascii="Arial" w:hAnsi="Arial"/>
                <w:b w:val="0"/>
              </w:rPr>
              <w:t>Choix de dialogue</w:t>
            </w:r>
          </w:p>
        </w:tc>
        <w:tc>
          <w:tcPr>
            <w:tcW w:type="dxa" w:w="7313"/>
            <w:vAlign w:val="top"/>
            <w:shd w:fill="FFFFFF"/>
            <w:tcMar>
              <w:top w:w="65" w:type="dxa"/>
              <w:left w:w="95" w:type="dxa"/>
              <w:bottom w:w="65" w:type="dxa"/>
              <w:right w:w="95" w:type="dxa"/>
            </w:tcMar>
          </w:tcPr>
          <w:p>
            <w:pPr>
              <w:pStyle w:val="TableText"/>
            </w:pPr>
            <w:r>
              <w:rPr>
                <w:rFonts w:ascii="Arial" w:hAnsi="Arial"/>
                <w:b w:val="0"/>
              </w:rPr>
              <w:t>Ils peuvent modifier les méthodes, les liens et des conséquences locales. Le parcours principal garde le refus du sacrifice civil et la fin non impériale comme proposition de référence.</w:t>
            </w:r>
          </w:p>
        </w:tc>
      </w:tr>
      <w:tr>
        <w:trPr>
          <w:cantSplit/>
        </w:trPr>
        <w:tc>
          <w:tcPr>
            <w:tcW w:type="dxa" w:w="2551"/>
            <w:vAlign w:val="top"/>
            <w:shd w:fill="F1F5F7"/>
            <w:tcMar>
              <w:top w:w="65" w:type="dxa"/>
              <w:left w:w="95" w:type="dxa"/>
              <w:bottom w:w="65" w:type="dxa"/>
              <w:right w:w="95" w:type="dxa"/>
            </w:tcMar>
          </w:tcPr>
          <w:p>
            <w:pPr>
              <w:pStyle w:val="TableText"/>
            </w:pPr>
            <w:r>
              <w:rPr>
                <w:rFonts w:ascii="Arial" w:hAnsi="Arial"/>
                <w:b w:val="0"/>
              </w:rPr>
              <w:t>Héros-monstre, variante écartée</w:t>
            </w:r>
          </w:p>
        </w:tc>
        <w:tc>
          <w:tcPr>
            <w:tcW w:type="dxa" w:w="7313"/>
            <w:vAlign w:val="top"/>
            <w:shd w:fill="F1F5F7"/>
            <w:tcMar>
              <w:top w:w="65" w:type="dxa"/>
              <w:left w:w="95" w:type="dxa"/>
              <w:bottom w:w="65" w:type="dxa"/>
              <w:right w:w="95" w:type="dxa"/>
            </w:tcMar>
          </w:tcPr>
          <w:p>
            <w:pPr>
              <w:pStyle w:val="TableText"/>
            </w:pPr>
            <w:r>
              <w:rPr>
                <w:rFonts w:ascii="Arial" w:hAnsi="Arial"/>
                <w:b w:val="0"/>
              </w:rPr>
              <w:t>Pour réintroduire cette idée, il faudrait ajouter une continuation clairement définie et revoir l’histoire du Concordat. Ne pas superposer simplement un futur lointain à cette version en conservant toutes ses causalités.</w:t>
            </w:r>
          </w:p>
        </w:tc>
      </w:tr>
      <w:tr>
        <w:trPr>
          <w:cantSplit/>
        </w:trPr>
        <w:tc>
          <w:tcPr>
            <w:tcW w:type="dxa" w:w="2551"/>
            <w:vAlign w:val="top"/>
            <w:shd w:fill="FFFFFF"/>
            <w:tcMar>
              <w:top w:w="65" w:type="dxa"/>
              <w:left w:w="95" w:type="dxa"/>
              <w:bottom w:w="65" w:type="dxa"/>
              <w:right w:w="95" w:type="dxa"/>
            </w:tcMar>
          </w:tcPr>
          <w:p>
            <w:pPr>
              <w:pStyle w:val="TableText"/>
            </w:pPr>
            <w:r>
              <w:rPr>
                <w:rFonts w:ascii="Arial" w:hAnsi="Arial"/>
                <w:b w:val="0"/>
              </w:rPr>
              <w:t>Fin plus tragique</w:t>
            </w:r>
          </w:p>
        </w:tc>
        <w:tc>
          <w:tcPr>
            <w:tcW w:type="dxa" w:w="7313"/>
            <w:vAlign w:val="top"/>
            <w:shd w:fill="FFFFFF"/>
            <w:tcMar>
              <w:top w:w="65" w:type="dxa"/>
              <w:left w:w="95" w:type="dxa"/>
              <w:bottom w:w="65" w:type="dxa"/>
              <w:right w:w="95" w:type="dxa"/>
            </w:tcMar>
          </w:tcPr>
          <w:p>
            <w:pPr>
              <w:pStyle w:val="TableText"/>
            </w:pPr>
            <w:r>
              <w:rPr>
                <w:rFonts w:ascii="Arial" w:hAnsi="Arial"/>
                <w:b w:val="0"/>
              </w:rPr>
              <w:t>C₁ pourrait ne pas survivre, mais ce serait une autre promesse émotionnelle. La présente proposition choisit clairement le sauvetage, avec pertes et responsabilités maintenues autour de lui.</w:t>
            </w:r>
          </w:p>
        </w:tc>
      </w:tr>
    </w:tbl>
    <w:p>
      <w:pPr>
        <w:spacing w:after="0"/>
      </w:pPr>
    </w:p>
    <w:p>
      <w:pPr>
        <w:pStyle w:val="Heading2"/>
      </w:pPr>
      <w:r>
        <w:t>Ordre conseillé des prochaines adaptations</w:t>
      </w:r>
    </w:p>
    <w:p>
      <w:r>
        <w:rPr>
          <w:rFonts w:ascii="Arial" w:hAnsi="Arial"/>
          <w:b w:val="0"/>
        </w:rPr>
        <w:t>Valider d’abord la nature de la bifurcation locale et l’identité distincte du Régent. Ajuster ensuite le couple et la responsabilité de H₀. Les noms, les costumes et le détail des bannières peuvent venir après : ils ne doivent pas forcer rétroactivement des exceptions aux règles du monde.</w:t>
      </w:r>
    </w:p>
    <w:p>
      <w:r>
        <w:rPr>
          <w:rFonts w:ascii="Arial" w:hAnsi="Arial"/>
          <w:b w:val="0"/>
        </w:rPr>
        <w:t>Cette page n’est pas une demande de réponses immédiates. Le document fournit des valeurs par défaut pour que l’utilisateur puisse réagir à une histoire complète plutôt qu’à une succession de questions non résolues.</w:t>
      </w:r>
    </w:p>
    <w:p>
      <w:r>
        <w:br w:type="page"/>
      </w:r>
    </w:p>
    <w:p>
      <w:pPr>
        <w:spacing w:after="60"/>
      </w:pPr>
      <w:r>
        <w:rPr>
          <w:rFonts w:ascii="Arial" w:hAnsi="Arial"/>
          <w:b/>
          <w:color w:val="677784"/>
          <w:sz w:val="16"/>
        </w:rPr>
        <w:t>RETOUR RAPIDE AUX FONDAMENTAUX</w:t>
      </w:r>
    </w:p>
    <w:p>
      <w:bookmarkStart w:id="32" w:name="section_32"/>
      <w:pPr>
        <w:pStyle w:val="Heading1"/>
      </w:pPr>
      <w:r>
        <w:t>31 — Glossaire et mémoire courte</w:t>
      </w:r>
      <w:bookmarkEnd w:id="32"/>
    </w:p>
    <w:tbl>
      <w:tblPr>
        <w:tblW w:type="auto" w:w="0"/>
        <w:jc w:val="center"/>
        <w:tblLayout w:type="fixed"/>
        <w:tblLook w:firstColumn="1" w:firstRow="1" w:lastColumn="0" w:lastRow="0" w:noHBand="0" w:noVBand="1" w:val="04A0"/>
      </w:tblPr>
      <w:tblGrid>
        <w:gridCol w:w="2438"/>
        <w:gridCol w:w="7427"/>
      </w:tblGrid>
      <w:tr>
        <w:trPr>
          <w:tblHeader/>
        </w:trPr>
        <w:tc>
          <w:tcPr>
            <w:tcW w:type="dxa" w:w="2438"/>
            <w:vAlign w:val="center"/>
            <w:shd w:fill="253A52"/>
            <w:tcMar>
              <w:top w:w="65" w:type="dxa"/>
              <w:left w:w="95" w:type="dxa"/>
              <w:bottom w:w="65" w:type="dxa"/>
              <w:right w:w="95" w:type="dxa"/>
            </w:tcMar>
          </w:tcPr>
          <w:p>
            <w:pPr>
              <w:pStyle w:val="TableText"/>
            </w:pPr>
            <w:r>
              <w:rPr>
                <w:rFonts w:ascii="Arial" w:hAnsi="Arial"/>
                <w:b/>
                <w:color w:val="FFFFFF"/>
              </w:rPr>
              <w:t>Terme</w:t>
            </w:r>
          </w:p>
        </w:tc>
        <w:tc>
          <w:tcPr>
            <w:tcW w:type="dxa" w:w="7427"/>
            <w:vAlign w:val="center"/>
            <w:shd w:fill="253A52"/>
            <w:tcMar>
              <w:top w:w="65" w:type="dxa"/>
              <w:left w:w="95" w:type="dxa"/>
              <w:bottom w:w="65" w:type="dxa"/>
              <w:right w:w="95" w:type="dxa"/>
            </w:tcMar>
          </w:tcPr>
          <w:p>
            <w:pPr>
              <w:pStyle w:val="TableText"/>
            </w:pPr>
            <w:r>
              <w:rPr>
                <w:rFonts w:ascii="Arial" w:hAnsi="Arial"/>
                <w:b/>
                <w:color w:val="FFFFFF"/>
              </w:rPr>
              <w:t>Définition</w:t>
            </w:r>
          </w:p>
        </w:tc>
      </w:tr>
      <w:tr>
        <w:trPr>
          <w:cantSplit/>
        </w:trPr>
        <w:tc>
          <w:tcPr>
            <w:tcW w:type="dxa" w:w="2438"/>
            <w:vAlign w:val="top"/>
            <w:shd w:fill="F1F5F7"/>
            <w:tcMar>
              <w:top w:w="65" w:type="dxa"/>
              <w:left w:w="95" w:type="dxa"/>
              <w:bottom w:w="65" w:type="dxa"/>
              <w:right w:w="95" w:type="dxa"/>
            </w:tcMar>
          </w:tcPr>
          <w:p>
            <w:pPr>
              <w:pStyle w:val="TableText"/>
            </w:pPr>
            <w:r>
              <w:rPr>
                <w:rFonts w:ascii="Arial" w:hAnsi="Arial"/>
                <w:b w:val="0"/>
              </w:rPr>
              <w:t>Orthe</w:t>
            </w:r>
          </w:p>
        </w:tc>
        <w:tc>
          <w:tcPr>
            <w:tcW w:type="dxa" w:w="7427"/>
            <w:vAlign w:val="top"/>
            <w:shd w:fill="F1F5F7"/>
            <w:tcMar>
              <w:top w:w="65" w:type="dxa"/>
              <w:left w:w="95" w:type="dxa"/>
              <w:bottom w:w="65" w:type="dxa"/>
              <w:right w:w="95" w:type="dxa"/>
            </w:tcMar>
          </w:tcPr>
          <w:p>
            <w:pPr>
              <w:pStyle w:val="TableText"/>
            </w:pPr>
            <w:r>
              <w:rPr>
                <w:rFonts w:ascii="Arial" w:hAnsi="Arial"/>
                <w:b w:val="0"/>
              </w:rPr>
              <w:t>Monde des Origines, planète réelle issue du berceau de l’univers. Son histoire ne dépend pas de H.</w:t>
            </w:r>
          </w:p>
        </w:tc>
      </w:tr>
      <w:tr>
        <w:trPr>
          <w:cantSplit/>
        </w:trPr>
        <w:tc>
          <w:tcPr>
            <w:tcW w:type="dxa" w:w="2438"/>
            <w:vAlign w:val="top"/>
            <w:shd w:fill="FFFFFF"/>
            <w:tcMar>
              <w:top w:w="65" w:type="dxa"/>
              <w:left w:w="95" w:type="dxa"/>
              <w:bottom w:w="65" w:type="dxa"/>
              <w:right w:w="95" w:type="dxa"/>
            </w:tcMar>
          </w:tcPr>
          <w:p>
            <w:pPr>
              <w:pStyle w:val="TableText"/>
            </w:pPr>
            <w:r>
              <w:rPr>
                <w:rFonts w:ascii="Arial" w:hAnsi="Arial"/>
                <w:b w:val="0"/>
              </w:rPr>
              <w:t>Sélis</w:t>
            </w:r>
          </w:p>
        </w:tc>
        <w:tc>
          <w:tcPr>
            <w:tcW w:type="dxa" w:w="7427"/>
            <w:vAlign w:val="top"/>
            <w:shd w:fill="FFFFFF"/>
            <w:tcMar>
              <w:top w:w="65" w:type="dxa"/>
              <w:left w:w="95" w:type="dxa"/>
              <w:bottom w:w="65" w:type="dxa"/>
              <w:right w:w="95" w:type="dxa"/>
            </w:tcMar>
          </w:tcPr>
          <w:p>
            <w:pPr>
              <w:pStyle w:val="TableText"/>
            </w:pPr>
            <w:r>
              <w:rPr>
                <w:rFonts w:ascii="Arial" w:hAnsi="Arial"/>
                <w:b w:val="0"/>
              </w:rPr>
              <w:t>Planète d’accueil où H grandit, rencontre C adulte et travaille avec cette personne avant A.</w:t>
            </w:r>
          </w:p>
        </w:tc>
      </w:tr>
      <w:tr>
        <w:trPr>
          <w:cantSplit/>
        </w:trPr>
        <w:tc>
          <w:tcPr>
            <w:tcW w:type="dxa" w:w="2438"/>
            <w:vAlign w:val="top"/>
            <w:shd w:fill="F1F5F7"/>
            <w:tcMar>
              <w:top w:w="65" w:type="dxa"/>
              <w:left w:w="95" w:type="dxa"/>
              <w:bottom w:w="65" w:type="dxa"/>
              <w:right w:w="95" w:type="dxa"/>
            </w:tcMar>
          </w:tcPr>
          <w:p>
            <w:pPr>
              <w:pStyle w:val="TableText"/>
            </w:pPr>
            <w:r>
              <w:rPr>
                <w:rFonts w:ascii="Arial" w:hAnsi="Arial"/>
                <w:b w:val="0"/>
              </w:rPr>
              <w:t>Porteur</w:t>
            </w:r>
          </w:p>
        </w:tc>
        <w:tc>
          <w:tcPr>
            <w:tcW w:type="dxa" w:w="7427"/>
            <w:vAlign w:val="top"/>
            <w:shd w:fill="F1F5F7"/>
            <w:tcMar>
              <w:top w:w="65" w:type="dxa"/>
              <w:left w:w="95" w:type="dxa"/>
              <w:bottom w:w="65" w:type="dxa"/>
              <w:right w:w="95" w:type="dxa"/>
            </w:tcMar>
          </w:tcPr>
          <w:p>
            <w:pPr>
              <w:pStyle w:val="TableText"/>
            </w:pPr>
            <w:r>
              <w:rPr>
                <w:rFonts w:ascii="Arial" w:hAnsi="Arial"/>
                <w:b w:val="0"/>
              </w:rPr>
              <w:t>Être doté d’un noyau primordial. Absence de vieillissement après maturité ne signifie pas invulnérabilité.</w:t>
            </w:r>
          </w:p>
        </w:tc>
      </w:tr>
      <w:tr>
        <w:trPr>
          <w:cantSplit/>
        </w:trPr>
        <w:tc>
          <w:tcPr>
            <w:tcW w:type="dxa" w:w="2438"/>
            <w:vAlign w:val="top"/>
            <w:shd w:fill="FFFFFF"/>
            <w:tcMar>
              <w:top w:w="65" w:type="dxa"/>
              <w:left w:w="95" w:type="dxa"/>
              <w:bottom w:w="65" w:type="dxa"/>
              <w:right w:w="95" w:type="dxa"/>
            </w:tcMar>
          </w:tcPr>
          <w:p>
            <w:pPr>
              <w:pStyle w:val="TableText"/>
            </w:pPr>
            <w:r>
              <w:rPr>
                <w:rFonts w:ascii="Arial" w:hAnsi="Arial"/>
                <w:b w:val="0"/>
              </w:rPr>
              <w:t>Grand Bâillon</w:t>
            </w:r>
          </w:p>
        </w:tc>
        <w:tc>
          <w:tcPr>
            <w:tcW w:type="dxa" w:w="7427"/>
            <w:vAlign w:val="top"/>
            <w:shd w:fill="FFFFFF"/>
            <w:tcMar>
              <w:top w:w="65" w:type="dxa"/>
              <w:left w:w="95" w:type="dxa"/>
              <w:bottom w:w="65" w:type="dxa"/>
              <w:right w:w="95" w:type="dxa"/>
            </w:tcMar>
          </w:tcPr>
          <w:p>
            <w:pPr>
              <w:pStyle w:val="TableText"/>
            </w:pPr>
            <w:r>
              <w:rPr>
                <w:rFonts w:ascii="Arial" w:hAnsi="Arial"/>
                <w:b w:val="0"/>
              </w:rPr>
              <w:t>Verrou impérial bloquant les signatures de pouvoir enregistrées dans l’ancien réseau.</w:t>
            </w:r>
          </w:p>
        </w:tc>
      </w:tr>
      <w:tr>
        <w:trPr>
          <w:cantSplit/>
        </w:trPr>
        <w:tc>
          <w:tcPr>
            <w:tcW w:type="dxa" w:w="2438"/>
            <w:vAlign w:val="top"/>
            <w:shd w:fill="F1F5F7"/>
            <w:tcMar>
              <w:top w:w="65" w:type="dxa"/>
              <w:left w:w="95" w:type="dxa"/>
              <w:bottom w:w="65" w:type="dxa"/>
              <w:right w:w="95" w:type="dxa"/>
            </w:tcMar>
          </w:tcPr>
          <w:p>
            <w:pPr>
              <w:pStyle w:val="TableText"/>
            </w:pPr>
            <w:r>
              <w:rPr>
                <w:rFonts w:ascii="Arial" w:hAnsi="Arial"/>
                <w:b w:val="0"/>
              </w:rPr>
              <w:t>Accord / réaccord</w:t>
            </w:r>
          </w:p>
        </w:tc>
        <w:tc>
          <w:tcPr>
            <w:tcW w:type="dxa" w:w="7427"/>
            <w:vAlign w:val="top"/>
            <w:shd w:fill="F1F5F7"/>
            <w:tcMar>
              <w:top w:w="65" w:type="dxa"/>
              <w:left w:w="95" w:type="dxa"/>
              <w:bottom w:w="65" w:type="dxa"/>
              <w:right w:w="95" w:type="dxa"/>
            </w:tcMar>
          </w:tcPr>
          <w:p>
            <w:pPr>
              <w:pStyle w:val="TableText"/>
            </w:pPr>
            <w:r>
              <w:rPr>
                <w:rFonts w:ascii="Arial" w:hAnsi="Arial"/>
                <w:b w:val="0"/>
              </w:rPr>
              <w:t>Relation stabilisée permettant l’usage d’un pouvoir ou la coopération d’un équipement. Le réaccord répare un chemin verrouillé.</w:t>
            </w:r>
          </w:p>
        </w:tc>
      </w:tr>
      <w:tr>
        <w:trPr>
          <w:cantSplit/>
        </w:trPr>
        <w:tc>
          <w:tcPr>
            <w:tcW w:type="dxa" w:w="2438"/>
            <w:vAlign w:val="top"/>
            <w:shd w:fill="FFFFFF"/>
            <w:tcMar>
              <w:top w:w="65" w:type="dxa"/>
              <w:left w:w="95" w:type="dxa"/>
              <w:bottom w:w="65" w:type="dxa"/>
              <w:right w:w="95" w:type="dxa"/>
            </w:tcMar>
          </w:tcPr>
          <w:p>
            <w:pPr>
              <w:pStyle w:val="TableText"/>
            </w:pPr>
            <w:r>
              <w:rPr>
                <w:rFonts w:ascii="Arial" w:hAnsi="Arial"/>
                <w:b w:val="0"/>
              </w:rPr>
              <w:t>Concordat</w:t>
            </w:r>
          </w:p>
        </w:tc>
        <w:tc>
          <w:tcPr>
            <w:tcW w:type="dxa" w:w="7427"/>
            <w:vAlign w:val="top"/>
            <w:shd w:fill="FFFFFF"/>
            <w:tcMar>
              <w:top w:w="65" w:type="dxa"/>
              <w:left w:w="95" w:type="dxa"/>
              <w:bottom w:w="65" w:type="dxa"/>
              <w:right w:w="95" w:type="dxa"/>
            </w:tcMar>
          </w:tcPr>
          <w:p>
            <w:pPr>
              <w:pStyle w:val="TableText"/>
            </w:pPr>
            <w:r>
              <w:rPr>
                <w:rFonts w:ascii="Arial" w:hAnsi="Arial"/>
                <w:b w:val="0"/>
              </w:rPr>
              <w:t>Faction impériale responsable de l’oppression d’Orthe et de l’attaque du prologue.</w:t>
            </w:r>
          </w:p>
        </w:tc>
      </w:tr>
      <w:tr>
        <w:trPr>
          <w:cantSplit/>
        </w:trPr>
        <w:tc>
          <w:tcPr>
            <w:tcW w:type="dxa" w:w="2438"/>
            <w:vAlign w:val="top"/>
            <w:shd w:fill="F1F5F7"/>
            <w:tcMar>
              <w:top w:w="65" w:type="dxa"/>
              <w:left w:w="95" w:type="dxa"/>
              <w:bottom w:w="65" w:type="dxa"/>
              <w:right w:w="95" w:type="dxa"/>
            </w:tcMar>
          </w:tcPr>
          <w:p>
            <w:pPr>
              <w:pStyle w:val="TableText"/>
            </w:pPr>
            <w:r>
              <w:rPr>
                <w:rFonts w:ascii="Arial" w:hAnsi="Arial"/>
                <w:b w:val="0"/>
              </w:rPr>
              <w:t>Séveran</w:t>
            </w:r>
          </w:p>
        </w:tc>
        <w:tc>
          <w:tcPr>
            <w:tcW w:type="dxa" w:w="7427"/>
            <w:vAlign w:val="top"/>
            <w:shd w:fill="F1F5F7"/>
            <w:tcMar>
              <w:top w:w="65" w:type="dxa"/>
              <w:left w:w="95" w:type="dxa"/>
              <w:bottom w:w="65" w:type="dxa"/>
              <w:right w:w="95" w:type="dxa"/>
            </w:tcMar>
          </w:tcPr>
          <w:p>
            <w:pPr>
              <w:pStyle w:val="TableText"/>
            </w:pPr>
            <w:r>
              <w:rPr>
                <w:rFonts w:ascii="Arial" w:hAnsi="Arial"/>
                <w:b w:val="0"/>
              </w:rPr>
              <w:t>Régent du Concordat. Il veut rendre le devenir dépendant de son contrôle, non effacer rétroactivement toute l’histoire.</w:t>
            </w:r>
          </w:p>
        </w:tc>
      </w:tr>
      <w:tr>
        <w:trPr>
          <w:cantSplit/>
        </w:trPr>
        <w:tc>
          <w:tcPr>
            <w:tcW w:type="dxa" w:w="2438"/>
            <w:vAlign w:val="top"/>
            <w:shd w:fill="FFFFFF"/>
            <w:tcMar>
              <w:top w:w="65" w:type="dxa"/>
              <w:left w:w="95" w:type="dxa"/>
              <w:bottom w:w="65" w:type="dxa"/>
              <w:right w:w="95" w:type="dxa"/>
            </w:tcMar>
          </w:tcPr>
          <w:p>
            <w:pPr>
              <w:pStyle w:val="TableText"/>
            </w:pPr>
            <w:r>
              <w:rPr>
                <w:rFonts w:ascii="Arial" w:hAnsi="Arial"/>
                <w:b w:val="0"/>
              </w:rPr>
              <w:t>Nacre</w:t>
            </w:r>
          </w:p>
        </w:tc>
        <w:tc>
          <w:tcPr>
            <w:tcW w:type="dxa" w:w="7427"/>
            <w:vAlign w:val="top"/>
            <w:shd w:fill="FFFFFF"/>
            <w:tcMar>
              <w:top w:w="65" w:type="dxa"/>
              <w:left w:w="95" w:type="dxa"/>
              <w:bottom w:w="65" w:type="dxa"/>
              <w:right w:w="95" w:type="dxa"/>
            </w:tcMar>
          </w:tcPr>
          <w:p>
            <w:pPr>
              <w:pStyle w:val="TableText"/>
            </w:pPr>
            <w:r>
              <w:rPr>
                <w:rFonts w:ascii="Arial" w:hAnsi="Arial"/>
                <w:b w:val="0"/>
              </w:rPr>
              <w:t>Compagnon IA conçu dans la source ; mémoire partiellement endommagée, personnalité indépendante, lien de secours avec A₁.</w:t>
            </w:r>
          </w:p>
        </w:tc>
      </w:tr>
      <w:tr>
        <w:trPr>
          <w:cantSplit/>
        </w:trPr>
        <w:tc>
          <w:tcPr>
            <w:tcW w:type="dxa" w:w="2438"/>
            <w:vAlign w:val="top"/>
            <w:shd w:fill="F1F5F7"/>
            <w:tcMar>
              <w:top w:w="65" w:type="dxa"/>
              <w:left w:w="95" w:type="dxa"/>
              <w:bottom w:w="65" w:type="dxa"/>
              <w:right w:w="95" w:type="dxa"/>
            </w:tcMar>
          </w:tcPr>
          <w:p>
            <w:pPr>
              <w:pStyle w:val="TableText"/>
            </w:pPr>
            <w:r>
              <w:rPr>
                <w:rFonts w:ascii="Arial" w:hAnsi="Arial"/>
                <w:b w:val="0"/>
              </w:rPr>
              <w:t>Anneau témoin / ancre</w:t>
            </w:r>
          </w:p>
        </w:tc>
        <w:tc>
          <w:tcPr>
            <w:tcW w:type="dxa" w:w="7427"/>
            <w:vAlign w:val="top"/>
            <w:shd w:fill="F1F5F7"/>
            <w:tcMar>
              <w:top w:w="65" w:type="dxa"/>
              <w:left w:w="95" w:type="dxa"/>
              <w:bottom w:w="65" w:type="dxa"/>
              <w:right w:w="95" w:type="dxa"/>
            </w:tcMar>
          </w:tcPr>
          <w:p>
            <w:pPr>
              <w:pStyle w:val="TableText"/>
            </w:pPr>
            <w:r>
              <w:rPr>
                <w:rFonts w:ascii="Arial" w:hAnsi="Arial"/>
                <w:b w:val="0"/>
              </w:rPr>
              <w:t>Vestige qui a enregistré A. Sa structure chronale unique permet une continuation locale réelle, consommable une seule fois.</w:t>
            </w:r>
          </w:p>
        </w:tc>
      </w:tr>
      <w:tr>
        <w:trPr>
          <w:cantSplit/>
        </w:trPr>
        <w:tc>
          <w:tcPr>
            <w:tcW w:type="dxa" w:w="2438"/>
            <w:vAlign w:val="top"/>
            <w:shd w:fill="FFFFFF"/>
            <w:tcMar>
              <w:top w:w="65" w:type="dxa"/>
              <w:left w:w="95" w:type="dxa"/>
              <w:bottom w:w="65" w:type="dxa"/>
              <w:right w:w="95" w:type="dxa"/>
            </w:tcMar>
          </w:tcPr>
          <w:p>
            <w:pPr>
              <w:pStyle w:val="TableText"/>
            </w:pPr>
            <w:r>
              <w:rPr>
                <w:rFonts w:ascii="Arial" w:hAnsi="Arial"/>
                <w:b w:val="0"/>
              </w:rPr>
              <w:t>A₀ / A₁</w:t>
            </w:r>
          </w:p>
        </w:tc>
        <w:tc>
          <w:tcPr>
            <w:tcW w:type="dxa" w:w="7427"/>
            <w:vAlign w:val="top"/>
            <w:shd w:fill="FFFFFF"/>
            <w:tcMar>
              <w:top w:w="65" w:type="dxa"/>
              <w:left w:w="95" w:type="dxa"/>
              <w:bottom w:w="65" w:type="dxa"/>
              <w:right w:w="95" w:type="dxa"/>
            </w:tcMar>
          </w:tcPr>
          <w:p>
            <w:pPr>
              <w:pStyle w:val="TableText"/>
            </w:pPr>
            <w:r>
              <w:rPr>
                <w:rFonts w:ascii="Arial" w:hAnsi="Arial"/>
                <w:b w:val="0"/>
              </w:rPr>
              <w:t>L’instant source sans attaque / sa continuation locale attaquée, vécue au prologue.</w:t>
            </w:r>
          </w:p>
        </w:tc>
      </w:tr>
      <w:tr>
        <w:trPr>
          <w:cantSplit/>
        </w:trPr>
        <w:tc>
          <w:tcPr>
            <w:tcW w:type="dxa" w:w="2438"/>
            <w:vAlign w:val="top"/>
            <w:shd w:fill="F1F5F7"/>
            <w:tcMar>
              <w:top w:w="65" w:type="dxa"/>
              <w:left w:w="95" w:type="dxa"/>
              <w:bottom w:w="65" w:type="dxa"/>
              <w:right w:w="95" w:type="dxa"/>
            </w:tcMar>
          </w:tcPr>
          <w:p>
            <w:pPr>
              <w:pStyle w:val="TableText"/>
            </w:pPr>
            <w:r>
              <w:rPr>
                <w:rFonts w:ascii="Arial" w:hAnsi="Arial"/>
                <w:b w:val="0"/>
              </w:rPr>
              <w:t>H₀ / H₁ ; C₀ / C₁</w:t>
            </w:r>
          </w:p>
        </w:tc>
        <w:tc>
          <w:tcPr>
            <w:tcW w:type="dxa" w:w="7427"/>
            <w:vAlign w:val="top"/>
            <w:shd w:fill="F1F5F7"/>
            <w:tcMar>
              <w:top w:w="65" w:type="dxa"/>
              <w:left w:w="95" w:type="dxa"/>
              <w:bottom w:w="65" w:type="dxa"/>
              <w:right w:w="95" w:type="dxa"/>
            </w:tcMar>
          </w:tcPr>
          <w:p>
            <w:pPr>
              <w:pStyle w:val="TableText"/>
            </w:pPr>
            <w:r>
              <w:rPr>
                <w:rFonts w:ascii="Arial" w:hAnsi="Arial"/>
                <w:b w:val="0"/>
              </w:rPr>
              <w:t>Scientifique et partenaire de l’histoire-source / protagoniste et partenaire de la continuation jouée.</w:t>
            </w:r>
          </w:p>
        </w:tc>
      </w:tr>
      <w:tr>
        <w:trPr>
          <w:cantSplit/>
        </w:trPr>
        <w:tc>
          <w:tcPr>
            <w:tcW w:type="dxa" w:w="2438"/>
            <w:vAlign w:val="top"/>
            <w:shd w:fill="FFFFFF"/>
            <w:tcMar>
              <w:top w:w="65" w:type="dxa"/>
              <w:left w:w="95" w:type="dxa"/>
              <w:bottom w:w="65" w:type="dxa"/>
              <w:right w:w="95" w:type="dxa"/>
            </w:tcMar>
          </w:tcPr>
          <w:p>
            <w:pPr>
              <w:pStyle w:val="TableText"/>
            </w:pPr>
            <w:r>
              <w:rPr>
                <w:rFonts w:ascii="Arial" w:hAnsi="Arial"/>
                <w:b w:val="0"/>
              </w:rPr>
              <w:t>Méridien</w:t>
            </w:r>
          </w:p>
        </w:tc>
        <w:tc>
          <w:tcPr>
            <w:tcW w:type="dxa" w:w="7427"/>
            <w:vAlign w:val="top"/>
            <w:shd w:fill="FFFFFF"/>
            <w:tcMar>
              <w:top w:w="65" w:type="dxa"/>
              <w:left w:w="95" w:type="dxa"/>
              <w:bottom w:w="65" w:type="dxa"/>
              <w:right w:w="95" w:type="dxa"/>
            </w:tcMar>
          </w:tcPr>
          <w:p>
            <w:pPr>
              <w:pStyle w:val="TableText"/>
            </w:pPr>
            <w:r>
              <w:rPr>
                <w:rFonts w:ascii="Arial" w:hAnsi="Arial"/>
                <w:b w:val="0"/>
              </w:rPr>
              <w:t>Capitale technique du Concordat, lieu de reprise des infrastructures et du combat final dans le présent.</w:t>
            </w:r>
          </w:p>
        </w:tc>
      </w:tr>
    </w:tbl>
    <w:p>
      <w:pPr>
        <w:spacing w:after="0"/>
      </w:pPr>
    </w:p>
    <w:p>
      <w:pPr>
        <w:pStyle w:val="Heading2"/>
      </w:pPr>
      <w:r>
        <w:t>Résumé à relire avant une nouvelle séance</w:t>
      </w:r>
    </w:p>
    <w:p>
      <w:r>
        <w:rPr>
          <w:rFonts w:ascii="Arial" w:hAnsi="Arial"/>
          <w:b w:val="0"/>
        </w:rPr>
        <w:t>Le protagoniste perd son partenaire dans une attaque visant son pouvoir latent. Un secours préparé par son autre vie l’emporte quatorze ans plus tard sur Orthe, le véritable Monde des Origines. Les habitants connaissent le scientifique qu’il aurait pu continuer à devenir : un allié brillant qui a aidé l’empire avant de se rebeller et de mourir.</w:t>
      </w:r>
    </w:p>
    <w:p>
      <w:r>
        <w:rPr>
          <w:rFonts w:ascii="Arial" w:hAnsi="Arial"/>
          <w:b w:val="0"/>
        </w:rPr>
        <w:t>En rendant leur autonomie aux peuples, le héros restaure les capacités de Nacre et des alliés réellement rencontrés. Il comprend que le partenaire du prologue possède encore une continuité sauvable dans le reliquat de l’expérience temporelle. Il le récupère sans effacer les morts de la source, défait le Régent et refuse de lui succéder comme maître du monde. L’histoire se poursuit dans un univers désormais ouvert, pas réinitialisé.</w:t>
      </w:r>
    </w:p>
    <w:sectPr w:rsidR="00FC693F" w:rsidRPr="0006063C" w:rsidSect="00034616">
      <w:headerReference w:type="default" r:id="rId9"/>
      <w:footerReference w:type="default" r:id="rId10"/>
      <w:pgSz w:w="11906" w:h="16838"/>
      <w:pgMar w:top="992" w:right="1020" w:bottom="935" w:left="1020"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77784"/>
        <w:sz w:val="16"/>
      </w:rPr>
      <w:t xml:space="preserve">Proposition v1.0 • 13 septembre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77784"/>
        <w:sz w:val="16"/>
      </w:rPr>
      <w:t>LES ORIGINES  /  BIBLE NARRATIVE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7"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Arial" w:hAnsi="Arial"/>
      <w:b/>
      <w:bCs/>
      <w:color w:val="253A52"/>
      <w:sz w:val="38"/>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Arial" w:hAnsi="Arial"/>
      <w:b/>
      <w:bCs/>
      <w:color w:val="355F68"/>
      <w:sz w:val="24"/>
      <w:szCs w:val="26"/>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Arial" w:hAnsi="Arial"/>
      <w:b/>
      <w:bCs/>
      <w:color w:val="355F6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80"/>
      <w:contextualSpacing/>
    </w:pPr>
    <w:rPr>
      <w:rFonts w:ascii="Arial" w:hAnsi="Arial"/>
      <w:color w:val="253A52"/>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i/>
      <w:iCs/>
      <w:color w:val="67778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67778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line="248" w:lineRule="auto" w:after="60" w:before="4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Jeu original — Bible narrative v1.0 — Monde des Origines</dc:title>
  <dc:subject>Proposition complète : intrigue, temporalité, personnages, gacha et chapitres</dc:subject>
  <dc:creator/>
  <cp:keywords>jeu original, bible narrative, Orthe, proposition v1.0</cp:keywords>
  <dc:description>Refonte intégrale de la version 0.1. Tous les ajouts créatifs restent à valider.</dc:description>
  <cp:lastModifiedBy/>
  <cp:revision>1</cp:revision>
  <dcterms:created xsi:type="dcterms:W3CDTF">2013-12-23T23:15:00Z</dcterms:created>
  <dcterms:modified xsi:type="dcterms:W3CDTF">2013-12-23T23:15:00Z</dcterms:modified>
  <cp:category/>
</cp:coreProperties>
</file>