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22-451 Loper Bright Enterprises v. Raimondo (06/28/2024)</w:t>
      </w:r>
    </w:p>
    <w:p>
      <w:r>
        <w:rPr>
          <w:b/>
        </w:rPr>
        <w:t xml:space="preserve">File: </w:t>
      </w:r>
      <w:r>
        <w:t>Loper Bright v Raimondo.pdf</w:t>
      </w:r>
    </w:p>
    <w:p>
      <w:r>
        <w:rPr>
          <w:i/>
        </w:rPr>
        <w:t>Title source: PDF metadata  ·  6 highlights found, 6 exported with text, 0 without text  ·  6 excerpts, 1 to review</w:t>
      </w:r>
    </w:p>
    <w:p>
      <w:r>
        <w:rPr>
          <w:i/>
          <w:sz w:val="18"/>
        </w:rPr>
        <w:t>Note: 8 line-end hyphens were joined because the word appears unhyphenated elsewhere in the document.</w:t>
      </w:r>
    </w:p>
    <w:p>
      <w:pPr>
        <w:pStyle w:val="ExcerptHeading"/>
        <w:keepNext/>
        <w:spacing w:before="240"/>
      </w:pPr>
      <w:r>
        <w:rPr>
          <w:b/>
        </w:rPr>
        <w:t>Excerpt 1 — PDF page 9 (printed page 1)</w:t>
      </w:r>
    </w:p>
    <w:p>
      <w:pPr>
        <w:pStyle w:val="ExcerptText"/>
      </w:pPr>
      <w:r>
        <w:t xml:space="preserve">Since our decision in Chevron U. S. A. Inc. v. Natural Resources Defense Council, Inc., 467 U. S. 837 (1984), we have sometimes required courts to defer to “permissible” agency interpretations of the statutes those agencies administer— even when a reviewing court reads the statute differently. </w:t>
      </w:r>
      <w:r>
        <w:rPr>
          <w:highlight w:val="yellow"/>
        </w:rPr>
        <w:t>In these cases we consider whether that doctrine should be overruled.</w:t>
      </w:r>
    </w:p>
    <w:p>
      <w:pPr>
        <w:pStyle w:val="ExcerptHeading"/>
        <w:keepNext/>
        <w:spacing w:before="240"/>
      </w:pPr>
      <w:r>
        <w:rPr>
          <w:b/>
        </w:rPr>
        <w:t>Excerpt 2 — PDF page 15 (printed page 7)</w:t>
      </w:r>
    </w:p>
    <w:p>
      <w:pPr>
        <w:pStyle w:val="ExcerptText"/>
      </w:pPr>
      <w:r>
        <w:t xml:space="preserve">Article III of the Constitution assigns to the Federal Judiciary the responsibility and power to adjudicate “Cases” and “Controversies”—concrete disputes with consequences for the parties involved. </w:t>
      </w:r>
      <w:r>
        <w:rPr>
          <w:highlight w:val="yellow"/>
        </w:rPr>
        <w:t>The Framers appreciated that the laws judges would necessarily apply in resolving those disputes would not always be clear.</w:t>
      </w:r>
      <w:r>
        <w:t xml:space="preserve"> Cognizant of the limits of human language and foresight, they anticipated that “[a]ll new laws, though penned with the greatest technical skill, and passed on the fullest and most mature deliberation,” would be “more or less obscure and equivocal, until their meaning” was settled “by a series of particular discussions and adjudications.” The Federalist No. 37, p. 236 (J. Cooke ed. 1961) (J. Madison).</w:t>
      </w:r>
    </w:p>
    <w:p>
      <w:pPr>
        <w:pStyle w:val="ExcerptHeading"/>
        <w:keepNext/>
        <w:spacing w:before="240"/>
      </w:pPr>
      <w:r>
        <w:rPr>
          <w:b/>
        </w:rPr>
        <w:t>Excerpt 3 — PDF page 22 (printed page 14)</w:t>
      </w:r>
    </w:p>
    <w:p>
      <w:pPr>
        <w:pStyle w:val="ExcerptText"/>
      </w:pPr>
      <w:r>
        <w:t xml:space="preserve">The APA thus codifies for agency cases the unremarkable, yet elemental proposition reflected by judicial practice dating back to Marbury: that </w:t>
      </w:r>
      <w:r>
        <w:rPr>
          <w:highlight w:val="green"/>
        </w:rPr>
        <w:t>courts decide legal questions by applying their own judgment.</w:t>
      </w:r>
      <w:r>
        <w:t xml:space="preserve"> It specifies that courts, not agencies, will decide “all relevant questions of law” arising on review of agency action, §706 (emphasis added)— even those involving ambiguous laws—and set aside any such action inconsistent with the law as they interpret it. And it prescribes no deferential standard for courts to employ in answering those legal questions. That omission is telling, because Section 706 does mandate that judicial review of agency policymaking and factfinding be deferential. See §706(2)(A) (agency action to be set aside if “arbitrary, capricious, [or] an abuse of discretion”); §706(2)(E) (agency factfinding in formal proceedings to be set aside if “unsupported by substantial evidence”).</w:t>
      </w:r>
    </w:p>
    <w:p>
      <w:pPr>
        <w:pStyle w:val="ExcerptHeading"/>
        <w:keepNext/>
        <w:spacing w:before="240"/>
      </w:pPr>
      <w:r>
        <w:rPr>
          <w:b/>
        </w:rPr>
        <w:t>Excerpt 4 — PDF page 24 (printed page 16)</w:t>
      </w:r>
    </w:p>
    <w:p>
      <w:pPr>
        <w:pStyle w:val="ReviewFlag"/>
        <w:keepNext/>
      </w:pPr>
      <w:r>
        <w:rPr>
          <w:color w:val="B03000"/>
          <w:sz w:val="18"/>
        </w:rPr>
        <w:t>⚠ Review: paragraph continues across a page or column break: check the join</w:t>
      </w:r>
    </w:p>
    <w:p>
      <w:pPr>
        <w:pStyle w:val="ExcerptText"/>
      </w:pPr>
      <w:r>
        <w:t>The APA, in short, incorporates the traditional understanding of the judicial function, under which courts must exercise independent judgment in determining the meaning of statutory provisions. In exercising such judgment, though, courts may—as they have from the start—</w:t>
      </w:r>
      <w:r>
        <w:rPr>
          <w:highlight w:val="yellow"/>
        </w:rPr>
        <w:t>seek aid from the interpretations of those responsible for implementing particular statutes.</w:t>
      </w:r>
      <w:r>
        <w:t xml:space="preserve"> Such interpretations “constitute a body of experience and informed judgment to which courts and litigants may properly resort for guidance” consistent with the APA. Skidmore, 323 U. S., at 140. And interpretations issued contemporaneously with the statute at issue, and which have remained consistent over time, may be especially useful in determining the statute’s meaning. See ibid.; American Trucking Assns., 310 U. S., at 549.</w:t>
      </w:r>
    </w:p>
    <w:p>
      <w:pPr>
        <w:pStyle w:val="ExcerptHeading"/>
        <w:keepNext/>
        <w:spacing w:before="240"/>
      </w:pPr>
      <w:r>
        <w:rPr>
          <w:b/>
        </w:rPr>
        <w:t>Excerpt 5 — PDF page 31 (printed page 23)</w:t>
      </w:r>
    </w:p>
    <w:p>
      <w:pPr>
        <w:pStyle w:val="ExcerptText"/>
      </w:pPr>
      <w:r>
        <w:t xml:space="preserve">Perhaps most fundamentally, Chevron’s presumption is misguided because </w:t>
      </w:r>
      <w:r>
        <w:rPr>
          <w:highlight w:val="magenta"/>
        </w:rPr>
        <w:t>agencies have no special competence in resolving statutory ambiguities. Courts do.</w:t>
      </w:r>
      <w:r>
        <w:t xml:space="preserve"> The Framers, as noted, anticipated that courts would often confront statutory ambiguities and expected that courts would resolve them by exercising independent legal judgment. And even Chevron itself reaffirmed that “[t]he judiciary is the final authority on issues of statutory construction” and recognized that “in the absence of an administrative interpretation,” it is “necessary” for a court to “impose its own construction on the statute.” Id., at 843, and n. 9. Chevron gravely erred, though, in concluding that the inquiry is fundamentally different just because an administrative interpretation is in play. The very point of the traditional tools of statutory construction—the tools courts use every day— is to resolve statutory ambiguities. That is no less true when the ambiguity is about the scope of an agency’s own power—perhaps the occasion on which abdication in favor of the agency is least appropriate.</w:t>
      </w:r>
    </w:p>
    <w:p>
      <w:pPr>
        <w:pStyle w:val="ExcerptHeading"/>
        <w:keepNext/>
        <w:spacing w:before="240"/>
      </w:pPr>
      <w:r>
        <w:rPr>
          <w:b/>
        </w:rPr>
        <w:t>Excerpt 6 — PDF page 43 (printed page 35)</w:t>
      </w:r>
    </w:p>
    <w:p>
      <w:pPr>
        <w:pStyle w:val="ExcerptText"/>
      </w:pPr>
      <w:r>
        <w:rPr>
          <w:highlight w:val="yellow"/>
        </w:rPr>
        <w:t>Chevron is overruled. Courts must exercise their independent judgment in deciding whether an agency has acted within its statutory authority, as the APA requires.</w:t>
      </w:r>
      <w:r>
        <w:t xml:space="preserve"> Careful attention to the judgment of the Executive Branch may help inform that inquiry. And when a particular statute delegates authority to an agency consistent with constitutional limits, courts must respect the delegation, while ensuring that the agency acts within it. But courts need not and under the APA may not defer to an agency interpretation of the law simply because a statute is ambiguous.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cerptHeading">
    <w:name w:val="Excerpt Heading"/>
    <w:basedOn w:val="Normal"/>
  </w:style>
  <w:style w:type="paragraph" w:customStyle="1" w:styleId="ExcerptText">
    <w:name w:val="Excerpt Text"/>
    <w:basedOn w:val="Normal"/>
  </w:style>
  <w:style w:type="paragraph" w:customStyle="1" w:styleId="ReviewFlag">
    <w:name w:val="Review Flag"/>
    <w:basedOn w:val="Normal"/>
  </w:style>
  <w:style w:type="paragraph" w:customStyle="1" w:styleId="ExcerptNote">
    <w:name w:val="Excerpt Note"/>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