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Community Gardens and the City: A Short Example</w:t>
      </w:r>
    </w:p>
    <w:p>
      <w:r>
        <w:rPr>
          <w:b/>
        </w:rPr>
        <w:t xml:space="preserve">File: </w:t>
      </w:r>
      <w:r>
        <w:t>Sample article.pdf</w:t>
      </w:r>
    </w:p>
    <w:p>
      <w:r>
        <w:rPr>
          <w:i/>
        </w:rPr>
        <w:t>Title source: PDF metadata  ·  6 highlights found, 6 exported with text, 0 without text  ·  4 excerpts, 0 to review</w:t>
      </w:r>
    </w:p>
    <w:p>
      <w:pPr>
        <w:pStyle w:val="ExcerptHeading"/>
        <w:keepNext/>
        <w:spacing w:before="240"/>
      </w:pPr>
      <w:r>
        <w:rPr>
          <w:b/>
        </w:rPr>
        <w:t>Excerpt 1 — PDF page 1 (printed page 101)</w:t>
      </w:r>
    </w:p>
    <w:p>
      <w:pPr>
        <w:pStyle w:val="ExcerptText"/>
      </w:pPr>
      <w:r>
        <w:t xml:space="preserve">Community gardens have long been treated as a small matter of local pride, a patch of tomatoes beside a parking lot and little more. </w:t>
      </w:r>
      <w:r>
        <w:rPr>
          <w:highlight w:val="yellow"/>
        </w:rPr>
        <w:t>Yet the records of the three cities studied here</w:t>
      </w:r>
      <w:r>
        <w:t xml:space="preserve"> </w:t>
      </w:r>
      <w:r>
        <w:rPr>
          <w:highlight w:val="yellow"/>
        </w:rPr>
        <w:t>show that these plots did far more work than their size suggests.</w:t>
      </w:r>
      <w:r>
        <w:t xml:space="preserve"> They gave neighbors a reason to meet, and they gave councils a cheap way to put empty land to use.</w:t>
      </w:r>
    </w:p>
    <w:p>
      <w:pPr>
        <w:pStyle w:val="ExcerptHeading"/>
        <w:keepNext/>
        <w:spacing w:before="240"/>
      </w:pPr>
      <w:r>
        <w:rPr>
          <w:b/>
        </w:rPr>
        <w:t>Excerpt 2 — PDF page 2 (printed page 102)</w:t>
      </w:r>
    </w:p>
    <w:p>
      <w:pPr>
        <w:pStyle w:val="ExcerptText"/>
      </w:pPr>
      <w:r>
        <w:t xml:space="preserve">A volunteer coordinator described the turning point plainly: </w:t>
      </w:r>
      <w:r>
        <w:rPr>
          <w:highlight w:val="yellow"/>
        </w:rPr>
        <w:t>once a garden had a water line, membership roughly doubled</w:t>
      </w:r>
      <w:r>
        <w:t xml:space="preserve"> within a single season. The council eventually funded water access for every plot on public land, </w:t>
      </w:r>
      <w:r>
        <w:rPr>
          <w:highlight w:val="green"/>
        </w:rPr>
        <w:t>which is the policy most often copied elsewhere.</w:t>
      </w:r>
    </w:p>
    <w:p>
      <w:pPr>
        <w:pStyle w:val="ExcerptHeading"/>
        <w:keepNext/>
        <w:spacing w:before="240"/>
      </w:pPr>
      <w:r>
        <w:rPr>
          <w:b/>
        </w:rPr>
        <w:t>Excerpt 3 — PDF page 3 (printed page 103)</w:t>
      </w:r>
    </w:p>
    <w:p>
      <w:pPr>
        <w:pStyle w:val="ExcerptText"/>
      </w:pPr>
      <w:r>
        <w:t xml:space="preserve">Critics raised a fair objection. Land that serves as a garden today may be wanted for housing tomorrow, and </w:t>
      </w:r>
      <w:r>
        <w:rPr>
          <w:highlight w:val="magenta"/>
        </w:rPr>
        <w:t>a program that depends on temporary leases</w:t>
      </w:r>
      <w:r>
        <w:t xml:space="preserve"> can leave gardeners with nothing. Two of the three cities answered by granting longer leases and </w:t>
      </w:r>
      <w:r>
        <w:rPr>
          <w:highlight w:val="green"/>
        </w:rPr>
        <w:t>recording the plots in the land</w:t>
      </w:r>
      <w:r>
        <w:t xml:space="preserve"> register.</w:t>
      </w:r>
    </w:p>
    <w:p>
      <w:pPr>
        <w:pStyle w:val="ExcerptHeading"/>
        <w:keepNext/>
        <w:spacing w:before="240"/>
      </w:pPr>
      <w:r>
        <w:rPr>
          <w:b/>
        </w:rPr>
        <w:t>Excerpt 4 — PDF page 4 (printed page 104)</w:t>
      </w:r>
    </w:p>
    <w:p>
      <w:pPr>
        <w:pStyle w:val="ExcerptText"/>
      </w:pPr>
      <w:r>
        <w:t xml:space="preserve">Taken together, the three cases suggest a modest conclusion. Community gardens </w:t>
      </w:r>
      <w:r>
        <w:rPr>
          <w:highlight w:val="yellow"/>
        </w:rPr>
        <w:t>succeed where</w:t>
      </w:r>
      <w:r>
        <w:t xml:space="preserve"> the city provides basic infrastructure and a stable claim to the land, and they fail where either is missing. Nothing here requires large budgets or new institutions.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cerptHeading">
    <w:name w:val="Excerpt Heading"/>
    <w:basedOn w:val="Normal"/>
  </w:style>
  <w:style w:type="paragraph" w:customStyle="1" w:styleId="ExcerptText">
    <w:name w:val="Excerpt Text"/>
    <w:basedOn w:val="Normal"/>
  </w:style>
  <w:style w:type="paragraph" w:customStyle="1" w:styleId="ReviewFlag">
    <w:name w:val="Review Flag"/>
    <w:basedOn w:val="Normal"/>
  </w:style>
  <w:style w:type="paragraph" w:customStyle="1" w:styleId="ExcerptNote">
    <w:name w:val="Excerpt Note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