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12" w:hanging="392" w:hangingChars="130"/>
        <w:jc w:val="center"/>
        <w:rPr>
          <w:rFonts w:hint="eastAsia" w:eastAsia="新宋体"/>
          <w:lang w:eastAsia="zh-CN"/>
        </w:rPr>
      </w:pPr>
      <w:r>
        <w:rPr>
          <w:rFonts w:hint="eastAsia" w:ascii="Times New Roman" w:hAnsi="Times New Roman" w:eastAsia="新宋体"/>
          <w:b/>
          <w:sz w:val="30"/>
          <w:szCs w:val="30"/>
        </w:rPr>
        <w:t>2019</w:t>
      </w:r>
      <w:r>
        <w:rPr>
          <w:rFonts w:hint="eastAsia" w:ascii="Times New Roman" w:hAnsi="Times New Roman" w:eastAsia="新宋体"/>
          <w:b/>
          <w:sz w:val="30"/>
          <w:szCs w:val="30"/>
          <w:lang w:eastAsia="zh-CN"/>
        </w:rPr>
        <w:t>初三寒假班阶段性测试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，共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20分</w:t>
      </w:r>
      <w:r>
        <w:rPr>
          <w:rFonts w:hint="eastAsia" w:ascii="Times New Roman" w:hAnsi="Times New Roman" w:eastAsia="新宋体"/>
          <w:b/>
          <w:sz w:val="21"/>
          <w:szCs w:val="21"/>
        </w:rPr>
        <w:t>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去香港旅行的小明同学在过马路的时候，红绿灯亮时出现“嘎嘎”的声音来。绿灯亮时声音比较急促，红灯亮时声音较缓慢，其实这些声音系统是为视力障碍者设置的，提示他们过马路，也就是所谓的无障碍设施。回家后小明同学设计了一个带有铃声的交通信号灯电路图，要求各用电器互不影响，绿灯亮的同时电铃1响，红灯亮的同时电铃2响，其中符合要求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09650" cy="60960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90600" cy="6858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28700" cy="81915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43000" cy="84772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2．两个相同的验电器A和B，A带正电，B不带电，用金属棒把A、B连接起来后如图，则（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4336415</wp:posOffset>
            </wp:positionH>
            <wp:positionV relativeFrom="paragraph">
              <wp:posOffset>22225</wp:posOffset>
            </wp:positionV>
            <wp:extent cx="1333500" cy="971550"/>
            <wp:effectExtent l="0" t="0" r="0" b="0"/>
            <wp:wrapNone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A．A中正电荷通过棒流向B，使B中的两金属片带同种电荷张开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B．B中负电荷通过棒流向A，使B中的两金属片带异种电荷张开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C．金属棒中电流方向从B流向A，B带正电荷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D．金属棒中电流方向从A流向B，B带正电荷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296545</wp:posOffset>
            </wp:positionV>
            <wp:extent cx="1677035" cy="1089025"/>
            <wp:effectExtent l="0" t="0" r="18415" b="15875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3．一种变阻器结构如图所示，若顺时针旋转滑动片P（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A．当电路连接A、C两接线端时，电阻值将变小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B．当电路连接A、B两接线端时，电阻值将变小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C．当电路连接A、C两接线端时，电阻值将变大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D．当电路连接B、C两接线端时，电阻值将变小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294640</wp:posOffset>
            </wp:positionV>
            <wp:extent cx="1085850" cy="1066800"/>
            <wp:effectExtent l="0" t="0" r="0" b="0"/>
            <wp:wrapNone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4．如图所示电路中，闭合开关S，灯泡发光，电路正常。若将电压表与电流表交换位置，电路可能出现的情况是（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A．电流表不会损坏、电压表被烧毁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B．电压表有示数，电流表无示数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C．灯泡正常发光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D．电流表有示数，电压表无示数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5．一根锰铜线电阻为R，要使这根连入电路的导线电阻变大，采取的措施是（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A．减小导线两端的电压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B．增大导线中的电流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C．将导线拉长后连入电路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D．将导线对折后连入电路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6．如题1图所示的电路，滑动变阻器滑片从最左端移至最右端的过程中，电压表示数U及滑动变阻器R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接入电路电阻的变化情况如题2图所示，已知定值电阻R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．则下列说法正确的是（　　）</w:t>
      </w:r>
    </w:p>
    <w:p>
      <w:pPr>
        <w:spacing w:line="360" w:lineRule="auto"/>
        <w:ind w:left="312" w:hanging="273" w:hangingChars="130"/>
      </w:pP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3754120</wp:posOffset>
            </wp:positionH>
            <wp:positionV relativeFrom="paragraph">
              <wp:posOffset>-180975</wp:posOffset>
            </wp:positionV>
            <wp:extent cx="2516505" cy="1194435"/>
            <wp:effectExtent l="0" t="0" r="17145" b="5715"/>
            <wp:wrapNone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A．电源电压为 8V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B．滑片移动的过程中，电压表示数与电流表示数之比变大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C．滑动变阻器 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 xml:space="preserve"> 的最大阻值为 10</w:t>
      </w:r>
      <w:r>
        <w:rPr>
          <w:rFonts w:ascii="Cambria Math" w:hAnsi="Cambria Math" w:eastAsia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D．通过 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 xml:space="preserve"> 的电流变化范围为 0.2A～0.6A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7．如图是油量自动测定装置的示意图，O为杠杆支点，R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为定值电阻，R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是滑动变阻器，当闭合开关S后（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3794125</wp:posOffset>
            </wp:positionH>
            <wp:positionV relativeFrom="paragraph">
              <wp:posOffset>26670</wp:posOffset>
            </wp:positionV>
            <wp:extent cx="1405255" cy="1003935"/>
            <wp:effectExtent l="0" t="0" r="4445" b="5715"/>
            <wp:wrapNone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A．油位越低，滑动变阻器R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两端的电压越小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B．电压表的读数随油量的增加而增大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C．电流表的读数随油量的增加而减小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D．滑动变阻器R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连入电路的阻值随油量的增加而增大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8．小华用标有“12V60W”的甲灯和标有“24V30W”的乙灯做实验，若灯丝电阻不变，则关于两个灯的比较，下列说法正确的是（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A．电流通过甲灯所做的功一定比通过乙灯所做的功多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B．若消耗相同的电能，则甲灯正常工作的时间一定比乙灯长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C．将两灯串联接入电压为24V的电路中，甲灯可能正常发光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D．将两灯并联接入电压为12V的电路中，甲灯消耗电能比乙灯快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5221605</wp:posOffset>
            </wp:positionH>
            <wp:positionV relativeFrom="paragraph">
              <wp:posOffset>294640</wp:posOffset>
            </wp:positionV>
            <wp:extent cx="1249045" cy="850265"/>
            <wp:effectExtent l="0" t="0" r="0" b="0"/>
            <wp:wrapTight wrapText="bothSides">
              <wp:wrapPolygon>
                <wp:start x="0" y="0"/>
                <wp:lineTo x="0" y="21294"/>
                <wp:lineTo x="21413" y="21294"/>
                <wp:lineTo x="21413" y="0"/>
                <wp:lineTo x="0" y="0"/>
              </wp:wrapPolygon>
            </wp:wrapTight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9．如图所示是某款速热水龙头的电路原理图，R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为电热丝，当扇形开关在不同档位时，水龙头可以分布放出冷水、温水或热水，当开关接触2、3触点时，水龙头放出的是（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A．冷水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B．温水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C．热水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D．无法判断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865505</wp:posOffset>
            </wp:positionV>
            <wp:extent cx="1162050" cy="809625"/>
            <wp:effectExtent l="0" t="0" r="0" b="0"/>
            <wp:wrapNone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10．2018年8月4日，中国路通一2018黄河口（东营）自行车巡回赛第二站在河口区鸣枪开赛。如图所示是某选手用的自行车前轮的结构图行驶中，磁铁靠近传感器时磁场能使其中的带电粒子发生偏转（即相当于通电导体在磁场中受力运动），产生一种信号，信号传入速度计能测出自行车行驶的速度和里程。下列能说明其原理的图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　　）</w:t>
      </w:r>
    </w:p>
    <w:p>
      <w:pPr>
        <w:tabs>
          <w:tab w:val="left" w:pos="4400"/>
        </w:tabs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9700" cy="9048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9700" cy="1019175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33450" cy="72390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14375" cy="66675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4701540</wp:posOffset>
            </wp:positionH>
            <wp:positionV relativeFrom="paragraph">
              <wp:posOffset>250825</wp:posOffset>
            </wp:positionV>
            <wp:extent cx="1245235" cy="882015"/>
            <wp:effectExtent l="0" t="0" r="12065" b="13335"/>
            <wp:wrapNone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11．如图所示，当闭合开关S，且将滑动变阻器的滑片P向b端滑动时，图中的电磁铁（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A．B端是N极，磁性增强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B．A端是N极，磁性增强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C．B端是S极，磁性增强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D．A端是S极，磁性减弱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-111125</wp:posOffset>
            </wp:positionV>
            <wp:extent cx="1296035" cy="716280"/>
            <wp:effectExtent l="0" t="0" r="18415" b="7620"/>
            <wp:wrapNone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12．小磁针静止时的指向如图所示，由此判断通电螺线管的N极，电源负极分别是（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A．a端，c端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B．a端，d端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C．b端，d端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D．b端，c端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13．如图是拍摄机动车闯红灯的工作原理示意图。光控开关接收到红灯发出的光会自动闭合，压力开关受到机动车的压力会闭合，摄像系统在电路接通时可自动拍摄违章车辆。则下列说法中正确的是（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4126865</wp:posOffset>
            </wp:positionH>
            <wp:positionV relativeFrom="paragraph">
              <wp:posOffset>2540</wp:posOffset>
            </wp:positionV>
            <wp:extent cx="2676525" cy="1152525"/>
            <wp:effectExtent l="0" t="0" r="0" b="0"/>
            <wp:wrapTight wrapText="bothSides">
              <wp:wrapPolygon>
                <wp:start x="0" y="0"/>
                <wp:lineTo x="0" y="21421"/>
                <wp:lineTo x="21523" y="21421"/>
                <wp:lineTo x="21523" y="0"/>
                <wp:lineTo x="0" y="0"/>
              </wp:wrapPolygon>
            </wp:wrapTight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A．只要光控开关接收到红光，摄像系统就会自动拍摄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B．若将光控开关和压力开关并联，也能起到相同的作用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C．只有光控开关和压力开关都闭合时，摄像系统才会自动拍摄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D．只要机动车驶过埋有压力开关的路口，摄像系统就会自动拍摄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14．真空中，电磁波的波长与频率的关系如图所示，真空中（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3008630</wp:posOffset>
            </wp:positionH>
            <wp:positionV relativeFrom="paragraph">
              <wp:posOffset>5715</wp:posOffset>
            </wp:positionV>
            <wp:extent cx="1057275" cy="971550"/>
            <wp:effectExtent l="0" t="0" r="0" b="0"/>
            <wp:wrapNone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A．红外线是红色的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B．可见光的速度比红外线的要大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C．可见光的波长比红外线的要短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D．电磁波的频率越高，波长越长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15．下列有关声和电磁波的说法正确的是（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A．电磁波只能传递信息，不能传递能量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B．声波和可见光都属于电磁波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C．利用超声波给金属工件探伤是利用声波传递能量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D．看电视时调节音量是为了改变声音的响度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665480</wp:posOffset>
            </wp:positionV>
            <wp:extent cx="1190625" cy="775335"/>
            <wp:effectExtent l="0" t="0" r="9525" b="5715"/>
            <wp:wrapNone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16．用一段细铁丝做一个支架作为转动轴，把一根中间戳有小孔（没有戳穿）的饮料吸管放在转动轴上，吸管能在水平面内自由转动（如图所示）。用餐巾纸摩擦吸管使其带电，将毛皮摩擦过的橡胶棒靠近带电吸管的一端时，发现吸管被推开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A．吸管和橡胶棒带异种电荷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B．吸管和餐巾纸摩擦后，两者带同种电荷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C．吸管和餐巾纸摩擦时，吸管得到电子带了负电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D．吸管和餐巾纸摩擦时，餐巾纸失去电子而带了负电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小金将手提电脑的电源线插头插入墙上一个三孔插座时，听到一声巨响，同时室内电灯全部熄灭。检查后发现电脑电源线已炸开并散发焦味，室内空气开关也已自动断开。下列对此次事故原因的分析中，最恰当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A．可能是电脑内的电阻丝损坏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B．可能是炸开处导线破损造成电流直接导通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C．可能是电脑电源线炸开处内部已断路了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D．一定是三孔插座内部原来就已经短路了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18．下列关于安全用电的说法中，错误的是（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A．人体的安全电压不高于36V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B．为了安全，所用保险丝越粗越好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C．更换灯泡、搬动电器前应该断开电源开关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D．使用试电笔时，绝对不能用手接触笔尖的金属体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19．如图所示，甲乙为条形磁体，中间是螺线管，虚线表示磁极间的磁场分布情况的磁感线，则可以判断图中A、B、C、D四个磁极依次是（　　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286000" cy="101917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A．N  S  N  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B．S  N  S  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C．S  S  N  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D．N  N  S  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368300</wp:posOffset>
            </wp:positionV>
            <wp:extent cx="1285875" cy="1362075"/>
            <wp:effectExtent l="0" t="0" r="0" b="0"/>
            <wp:wrapTight wrapText="bothSides">
              <wp:wrapPolygon>
                <wp:start x="0" y="0"/>
                <wp:lineTo x="0" y="21449"/>
                <wp:lineTo x="21440" y="21449"/>
                <wp:lineTo x="21440" y="0"/>
                <wp:lineTo x="0" y="0"/>
              </wp:wrapPolygon>
            </wp:wrapTight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20．如图所示，上端为S极的条形磁体悬挂在一轻弹簧上。闭合开关条形磁体处于静止状态后，下端位于螺线管的上方。下列措施可以使条形磁体向上运动的是（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A．滑片P向右缓慢移动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B．在螺线管中插入铁芯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C．增大电源电压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D．将a、b间电源的正负极对换位置</w:t>
      </w:r>
    </w:p>
    <w:p>
      <w:pPr>
        <w:widowControl/>
        <w:spacing w:line="360" w:lineRule="auto"/>
        <w:ind w:left="312" w:hanging="273" w:hangingChars="130"/>
        <w:jc w:val="left"/>
      </w:pPr>
      <w:r>
        <w:br w:type="page"/>
      </w:r>
    </w:p>
    <w:p>
      <w:pPr>
        <w:spacing w:line="360" w:lineRule="auto"/>
        <w:ind w:left="312" w:hanging="444" w:hangingChars="130"/>
        <w:jc w:val="center"/>
      </w:pPr>
      <w:r>
        <w:rPr>
          <w:rFonts w:hint="eastAsia" w:ascii="Times New Roman" w:hAnsi="Times New Roman" w:eastAsia="新宋体"/>
          <w:b/>
          <w:sz w:val="34"/>
          <w:szCs w:val="34"/>
        </w:rPr>
        <w:t>2019年01月29日卫骏安的初中物理组卷</w:t>
      </w:r>
    </w:p>
    <w:p>
      <w:pPr>
        <w:spacing w:line="360" w:lineRule="auto"/>
        <w:ind w:left="312" w:hanging="209" w:hangingChars="130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1．C；</w:t>
      </w:r>
      <w:r>
        <w:rPr>
          <w:rFonts w:hint="eastAsia" w:ascii="Times New Roman" w:hAnsi="Times New Roman" w:eastAsia="新宋体"/>
          <w:sz w:val="21"/>
          <w:szCs w:val="21"/>
        </w:rPr>
        <w:tab/>
        <w:t>2．D；</w:t>
      </w:r>
      <w:r>
        <w:rPr>
          <w:rFonts w:hint="eastAsia" w:ascii="Times New Roman" w:hAnsi="Times New Roman" w:eastAsia="新宋体"/>
          <w:sz w:val="21"/>
          <w:szCs w:val="21"/>
        </w:rPr>
        <w:tab/>
        <w:t>3．B；</w:t>
      </w:r>
      <w:r>
        <w:rPr>
          <w:rFonts w:hint="eastAsia" w:ascii="Times New Roman" w:hAnsi="Times New Roman" w:eastAsia="新宋体"/>
          <w:sz w:val="21"/>
          <w:szCs w:val="21"/>
        </w:rPr>
        <w:tab/>
        <w:t>4．B；</w:t>
      </w:r>
      <w:r>
        <w:rPr>
          <w:rFonts w:hint="eastAsia" w:ascii="Times New Roman" w:hAnsi="Times New Roman" w:eastAsia="新宋体"/>
          <w:sz w:val="21"/>
          <w:szCs w:val="21"/>
        </w:rPr>
        <w:tab/>
        <w:t>5．C；</w:t>
      </w:r>
      <w:r>
        <w:rPr>
          <w:rFonts w:hint="eastAsia" w:ascii="Times New Roman" w:hAnsi="Times New Roman" w:eastAsia="新宋体"/>
          <w:sz w:val="21"/>
          <w:szCs w:val="21"/>
        </w:rPr>
        <w:tab/>
        <w:t>6．D；</w:t>
      </w:r>
      <w:r>
        <w:rPr>
          <w:rFonts w:hint="eastAsia" w:ascii="Times New Roman" w:hAnsi="Times New Roman" w:eastAsia="新宋体"/>
          <w:sz w:val="21"/>
          <w:szCs w:val="21"/>
        </w:rPr>
        <w:tab/>
        <w:t>7．B；</w:t>
      </w:r>
      <w:r>
        <w:rPr>
          <w:rFonts w:hint="eastAsia" w:ascii="Times New Roman" w:hAnsi="Times New Roman" w:eastAsia="新宋体"/>
          <w:sz w:val="21"/>
          <w:szCs w:val="21"/>
        </w:rPr>
        <w:tab/>
        <w:t>8．D；</w:t>
      </w:r>
      <w:r>
        <w:rPr>
          <w:rFonts w:hint="eastAsia" w:ascii="Times New Roman" w:hAnsi="Times New Roman" w:eastAsia="新宋体"/>
          <w:sz w:val="21"/>
          <w:szCs w:val="21"/>
        </w:rPr>
        <w:tab/>
        <w:t>9．B；</w:t>
      </w:r>
      <w:r>
        <w:rPr>
          <w:rFonts w:hint="eastAsia" w:ascii="Times New Roman" w:hAnsi="Times New Roman" w:eastAsia="新宋体"/>
          <w:sz w:val="21"/>
          <w:szCs w:val="21"/>
        </w:rPr>
        <w:tab/>
        <w:t>10．A；</w:t>
      </w:r>
      <w:r>
        <w:rPr>
          <w:rFonts w:hint="eastAsia" w:ascii="Times New Roman" w:hAnsi="Times New Roman" w:eastAsia="新宋体"/>
          <w:sz w:val="21"/>
          <w:szCs w:val="21"/>
        </w:rPr>
        <w:tab/>
        <w:t>11．A；</w:t>
      </w:r>
      <w:r>
        <w:rPr>
          <w:rFonts w:hint="eastAsia" w:ascii="Times New Roman" w:hAnsi="Times New Roman" w:eastAsia="新宋体"/>
          <w:sz w:val="21"/>
          <w:szCs w:val="21"/>
        </w:rPr>
        <w:tab/>
        <w:t>12．B；</w:t>
      </w:r>
      <w:r>
        <w:rPr>
          <w:rFonts w:hint="eastAsia" w:ascii="Times New Roman" w:hAnsi="Times New Roman" w:eastAsia="新宋体"/>
          <w:sz w:val="21"/>
          <w:szCs w:val="21"/>
        </w:rPr>
        <w:tab/>
        <w:t>13．C；</w:t>
      </w:r>
      <w:r>
        <w:rPr>
          <w:rFonts w:hint="eastAsia" w:ascii="Times New Roman" w:hAnsi="Times New Roman" w:eastAsia="新宋体"/>
          <w:sz w:val="21"/>
          <w:szCs w:val="21"/>
        </w:rPr>
        <w:tab/>
        <w:t>14．C；</w:t>
      </w:r>
      <w:r>
        <w:rPr>
          <w:rFonts w:hint="eastAsia" w:ascii="Times New Roman" w:hAnsi="Times New Roman" w:eastAsia="新宋体"/>
          <w:sz w:val="21"/>
          <w:szCs w:val="21"/>
        </w:rPr>
        <w:tab/>
        <w:t>15．D；</w:t>
      </w:r>
      <w:r>
        <w:rPr>
          <w:rFonts w:hint="eastAsia" w:ascii="Times New Roman" w:hAnsi="Times New Roman" w:eastAsia="新宋体"/>
          <w:sz w:val="21"/>
          <w:szCs w:val="21"/>
        </w:rPr>
        <w:tab/>
        <w:t>16．C；</w:t>
      </w:r>
      <w:r>
        <w:rPr>
          <w:rFonts w:hint="eastAsia" w:ascii="Times New Roman" w:hAnsi="Times New Roman" w:eastAsia="新宋体"/>
          <w:sz w:val="21"/>
          <w:szCs w:val="21"/>
        </w:rPr>
        <w:tab/>
        <w:t>17．B；</w:t>
      </w:r>
      <w:r>
        <w:rPr>
          <w:rFonts w:hint="eastAsia" w:ascii="Times New Roman" w:hAnsi="Times New Roman" w:eastAsia="新宋体"/>
          <w:sz w:val="21"/>
          <w:szCs w:val="21"/>
        </w:rPr>
        <w:tab/>
        <w:t>18．B；</w:t>
      </w:r>
      <w:r>
        <w:rPr>
          <w:rFonts w:hint="eastAsia" w:ascii="Times New Roman" w:hAnsi="Times New Roman" w:eastAsia="新宋体"/>
          <w:sz w:val="21"/>
          <w:szCs w:val="21"/>
        </w:rPr>
        <w:tab/>
        <w:t>19．D；</w:t>
      </w:r>
      <w:r>
        <w:rPr>
          <w:rFonts w:hint="eastAsia" w:ascii="Times New Roman" w:hAnsi="Times New Roman" w:eastAsia="新宋体"/>
          <w:sz w:val="21"/>
          <w:szCs w:val="21"/>
        </w:rPr>
        <w:tab/>
        <w:t>20．D；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left="312" w:hanging="273" w:hangingChars="13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28E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6"/>
    <w:link w:val="13"/>
    <w:qFormat/>
    <w:uiPriority w:val="1"/>
    <w:rPr>
      <w:kern w:val="0"/>
      <w:sz w:val="22"/>
    </w:rPr>
  </w:style>
  <w:style w:type="character" w:styleId="15">
    <w:name w:val="Placeholder Text"/>
    <w:basedOn w:val="6"/>
    <w:semiHidden/>
    <w:qFormat/>
    <w:uiPriority w:val="99"/>
    <w:rPr>
      <w:color w:val="808080"/>
    </w:rPr>
  </w:style>
  <w:style w:type="character" w:customStyle="1" w:styleId="16">
    <w:name w:val="日期 Char"/>
    <w:basedOn w:val="6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2019-01-29T18:03:00Z</dcterms:created>
  <dc:creator>©2010-2019 jyeoo.com</dc:creator>
  <cp:keywords>jyeoo,菁优网</cp:keywords>
  <cp:lastModifiedBy>Administrator</cp:lastModifiedBy>
  <cp:lastPrinted>2019-01-29T18:03:00Z</cp:lastPrinted>
  <dcterms:modified xsi:type="dcterms:W3CDTF">2019-01-29T10:12:11Z</dcterms:modified>
  <dc:title>2019年01月29日卫骏安的初中物理组卷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