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300" w:lineRule="auto"/>
        <w:jc w:val="center"/>
        <w:rPr>
          <w:rFonts w:ascii="Times New Roman" w:cs="Times New Roman" w:eastAsia="Times New Roman" w:hAnsi="Times New Roman"/>
          <w:b w:val="1"/>
          <w:bCs w:val="1"/>
          <w:sz w:val="26"/>
          <w:szCs w:val="26"/>
          <w:u w:val="single"/>
        </w:rPr>
      </w:pPr>
      <w:bookmarkStart w:colFirst="0" w:colLast="0" w:name="_guwod8un71kz" w:id="0"/>
      <w:bookmarkEnd w:id="0"/>
      <w:r w:rsidDel="00000000" w:rsidR="00000000" w:rsidRPr="00000000">
        <w:rPr>
          <w:rFonts w:ascii="Times New Roman" w:cs="Times New Roman" w:eastAsia="Times New Roman" w:hAnsi="Times New Roman"/>
          <w:b w:val="1"/>
          <w:bCs w:val="1"/>
          <w:sz w:val="26"/>
          <w:szCs w:val="26"/>
          <w:u w:val="single"/>
          <w:rtl w:val="0"/>
        </w:rPr>
        <w:t xml:space="preserve">EXECUTIVE SUMMARY REPORT</w:t>
      </w:r>
    </w:p>
    <w:p w:rsidR="00000000" w:rsidDel="00000000" w:rsidP="00000000" w:rsidRDefault="00000000" w:rsidRPr="00000000" w14:paraId="00000002">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w8xhntado606" w:id="1"/>
      <w:bookmarkEnd w:id="1"/>
      <w:r w:rsidDel="00000000" w:rsidR="00000000" w:rsidRPr="00000000">
        <w:rPr>
          <w:rFonts w:ascii="Times New Roman" w:cs="Times New Roman" w:eastAsia="Times New Roman" w:hAnsi="Times New Roman"/>
          <w:b w:val="1"/>
          <w:bCs w:val="1"/>
          <w:sz w:val="26"/>
          <w:szCs w:val="26"/>
          <w:rtl w:val="0"/>
        </w:rPr>
        <w:t xml:space="preserve">1. Overview</w:t>
      </w:r>
    </w:p>
    <w:p w:rsidR="00000000" w:rsidDel="00000000" w:rsidP="00000000" w:rsidRDefault="00000000" w:rsidRPr="00000000" w14:paraId="0000000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summarizes the findings of the Global Superstore Business Intelligence dashboard, developed to help a national retail company's management monitor sales performance, profitability, customer behavior, and regional performance. The dashboard covers order data across multiple markets and regions, three customer segments (Consumer, Corporate, Home Office), and three product categories (Furniture, Office Supplies, Technology).</w:t>
      </w:r>
    </w:p>
    <w:p w:rsidR="00000000" w:rsidDel="00000000" w:rsidP="00000000" w:rsidRDefault="00000000" w:rsidRPr="00000000" w14:paraId="00000004">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4qyugzlbpyfi" w:id="2"/>
      <w:bookmarkEnd w:id="2"/>
      <w:r w:rsidDel="00000000" w:rsidR="00000000" w:rsidRPr="00000000">
        <w:rPr>
          <w:rFonts w:ascii="Times New Roman" w:cs="Times New Roman" w:eastAsia="Times New Roman" w:hAnsi="Times New Roman"/>
          <w:b w:val="1"/>
          <w:bCs w:val="1"/>
          <w:sz w:val="26"/>
          <w:szCs w:val="26"/>
          <w:rtl w:val="0"/>
        </w:rPr>
        <w:t xml:space="preserve">2. Business Performance Snapshot</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85"/>
        <w:gridCol w:w="1785"/>
        <w:gridCol w:w="1785"/>
        <w:gridCol w:w="1785"/>
        <w:tblGridChange w:id="0">
          <w:tblGrid>
            <w:gridCol w:w="1785"/>
            <w:gridCol w:w="1785"/>
            <w:gridCol w:w="1785"/>
            <w:gridCol w:w="1785"/>
            <w:gridCol w:w="178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120.0" w:type="dxa"/>
              <w:left w:w="80.0" w:type="dxa"/>
              <w:bottom w:w="120.0" w:type="dxa"/>
              <w:right w:w="80.0" w:type="dxa"/>
            </w:tcMar>
            <w:vAlign w:val="top"/>
          </w:tcPr>
          <w:p w:rsidR="00000000" w:rsidDel="00000000" w:rsidP="00000000" w:rsidRDefault="00000000" w:rsidRPr="00000000" w14:paraId="00000005">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$4.74M</w:t>
            </w:r>
          </w:p>
          <w:p w:rsidR="00000000" w:rsidDel="00000000" w:rsidP="00000000" w:rsidRDefault="00000000" w:rsidRPr="00000000" w14:paraId="0000000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Sales</w:t>
            </w:r>
          </w:p>
        </w:tc>
        <w:tc>
          <w:tcPr>
            <w:tcBorders>
              <w:top w:color="000000" w:space="0" w:sz="5" w:val="single"/>
              <w:left w:color="000000" w:space="0" w:sz="0" w:val="nil"/>
              <w:bottom w:color="000000" w:space="0" w:sz="5" w:val="single"/>
              <w:right w:color="000000" w:space="0" w:sz="5" w:val="single"/>
            </w:tcBorders>
            <w:shd w:fill="f2f2f2" w:val="clear"/>
            <w:tcMar>
              <w:top w:w="120.0" w:type="dxa"/>
              <w:left w:w="80.0" w:type="dxa"/>
              <w:bottom w:w="120.0" w:type="dxa"/>
              <w:right w:w="80.0" w:type="dxa"/>
            </w:tcMar>
            <w:vAlign w:val="top"/>
          </w:tcPr>
          <w:p w:rsidR="00000000" w:rsidDel="00000000" w:rsidP="00000000" w:rsidRDefault="00000000" w:rsidRPr="00000000" w14:paraId="00000007">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$662.37K</w:t>
            </w:r>
          </w:p>
          <w:p w:rsidR="00000000" w:rsidDel="00000000" w:rsidP="00000000" w:rsidRDefault="00000000" w:rsidRPr="00000000" w14:paraId="0000000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Profit</w:t>
            </w:r>
          </w:p>
        </w:tc>
        <w:tc>
          <w:tcPr>
            <w:tcBorders>
              <w:top w:color="000000" w:space="0" w:sz="5" w:val="single"/>
              <w:left w:color="000000" w:space="0" w:sz="0" w:val="nil"/>
              <w:bottom w:color="000000" w:space="0" w:sz="5" w:val="single"/>
              <w:right w:color="000000" w:space="0" w:sz="5" w:val="single"/>
            </w:tcBorders>
            <w:shd w:fill="f2f2f2" w:val="clear"/>
            <w:tcMar>
              <w:top w:w="120.0" w:type="dxa"/>
              <w:left w:w="80.0" w:type="dxa"/>
              <w:bottom w:w="120.0" w:type="dxa"/>
              <w:right w:w="80.0" w:type="dxa"/>
            </w:tcMar>
            <w:vAlign w:val="top"/>
          </w:tcPr>
          <w:p w:rsidR="00000000" w:rsidDel="00000000" w:rsidP="00000000" w:rsidRDefault="00000000" w:rsidRPr="00000000" w14:paraId="00000009">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8,354</w:t>
            </w:r>
          </w:p>
          <w:p w:rsidR="00000000" w:rsidDel="00000000" w:rsidP="00000000" w:rsidRDefault="00000000" w:rsidRPr="00000000" w14:paraId="0000000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Orders</w:t>
            </w:r>
          </w:p>
        </w:tc>
        <w:tc>
          <w:tcPr>
            <w:tcBorders>
              <w:top w:color="000000" w:space="0" w:sz="5" w:val="single"/>
              <w:left w:color="000000" w:space="0" w:sz="0" w:val="nil"/>
              <w:bottom w:color="000000" w:space="0" w:sz="5" w:val="single"/>
              <w:right w:color="000000" w:space="0" w:sz="5" w:val="single"/>
            </w:tcBorders>
            <w:shd w:fill="f2f2f2" w:val="clear"/>
            <w:tcMar>
              <w:top w:w="120.0" w:type="dxa"/>
              <w:left w:w="80.0" w:type="dxa"/>
              <w:bottom w:w="120.0" w:type="dxa"/>
              <w:right w:w="80.0" w:type="dxa"/>
            </w:tcMar>
            <w:vAlign w:val="top"/>
          </w:tcPr>
          <w:p w:rsidR="00000000" w:rsidDel="00000000" w:rsidP="00000000" w:rsidRDefault="00000000" w:rsidRPr="00000000" w14:paraId="0000000B">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$467.73</w:t>
            </w:r>
          </w:p>
          <w:p w:rsidR="00000000" w:rsidDel="00000000" w:rsidP="00000000" w:rsidRDefault="00000000" w:rsidRPr="00000000" w14:paraId="0000000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Average Sales</w:t>
            </w:r>
          </w:p>
        </w:tc>
        <w:tc>
          <w:tcPr>
            <w:tcBorders>
              <w:top w:color="000000" w:space="0" w:sz="5" w:val="single"/>
              <w:left w:color="000000" w:space="0" w:sz="0" w:val="nil"/>
              <w:bottom w:color="000000" w:space="0" w:sz="5" w:val="single"/>
              <w:right w:color="000000" w:space="0" w:sz="5" w:val="single"/>
            </w:tcBorders>
            <w:shd w:fill="f2f2f2" w:val="clear"/>
            <w:tcMar>
              <w:top w:w="120.0" w:type="dxa"/>
              <w:left w:w="80.0" w:type="dxa"/>
              <w:bottom w:w="120.0" w:type="dxa"/>
              <w:right w:w="80.0" w:type="dxa"/>
            </w:tcMar>
            <w:vAlign w:val="top"/>
          </w:tcPr>
          <w:p w:rsidR="00000000" w:rsidDel="00000000" w:rsidP="00000000" w:rsidRDefault="00000000" w:rsidRPr="00000000" w14:paraId="0000000D">
            <w:pPr>
              <w:spacing w:after="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p w:rsidR="00000000" w:rsidDel="00000000" w:rsidP="00000000" w:rsidRDefault="00000000" w:rsidRPr="00000000" w14:paraId="0000000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Profit Margin</w:t>
            </w:r>
          </w:p>
        </w:tc>
      </w:tr>
    </w:tbl>
    <w:p w:rsidR="00000000" w:rsidDel="00000000" w:rsidP="00000000" w:rsidRDefault="00000000" w:rsidRPr="00000000" w14:paraId="0000000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j0y9p7vfyx5x" w:id="3"/>
      <w:bookmarkEnd w:id="3"/>
      <w:r w:rsidDel="00000000" w:rsidR="00000000" w:rsidRPr="00000000">
        <w:rPr>
          <w:rFonts w:ascii="Times New Roman" w:cs="Times New Roman" w:eastAsia="Times New Roman" w:hAnsi="Times New Roman"/>
          <w:b w:val="1"/>
          <w:bCs w:val="1"/>
          <w:sz w:val="26"/>
          <w:szCs w:val="26"/>
          <w:rtl w:val="0"/>
        </w:rPr>
        <w:t xml:space="preserve">3. Key Business Insights</w:t>
      </w:r>
    </w:p>
    <w:p w:rsidR="00000000" w:rsidDel="00000000" w:rsidP="00000000" w:rsidRDefault="00000000" w:rsidRPr="00000000" w14:paraId="00000011">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Technology drives revenue, but Phones lead at the product level. Technology is the top-performing category by sales, and within it, Phones is the single highest-selling sub-category, showing customers are prioritizing high-ticket electronics over furniture or supplies.</w:t>
      </w:r>
    </w:p>
    <w:p w:rsidR="00000000" w:rsidDel="00000000" w:rsidP="00000000" w:rsidRDefault="00000000" w:rsidRPr="00000000" w14:paraId="00000012">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Central region is the company's most profitable market, ahead of North, North Asia, South, and Central Asia, suggesting operational or demand conditions there are worth replicating elsewhere.</w:t>
      </w:r>
    </w:p>
    <w:p w:rsidR="00000000" w:rsidDel="00000000" w:rsidP="00000000" w:rsidRDefault="00000000" w:rsidRPr="00000000" w14:paraId="00000013">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Consumer is the dominant customer segment, generating more revenue than Corporate or Home Office, indicating the business is fundamentally consumer-facing rather than B2B-driven.</w:t>
      </w:r>
    </w:p>
    <w:p w:rsidR="00000000" w:rsidDel="00000000" w:rsidP="00000000" w:rsidRDefault="00000000" w:rsidRPr="00000000" w14:paraId="00000014">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Overall sales and profit have grown steadily from 2011 to 2014, pointing to healthy multi-year business growth rather than a one-off spike.</w:t>
      </w:r>
    </w:p>
    <w:p w:rsidR="00000000" w:rsidDel="00000000" w:rsidP="00000000" w:rsidRDefault="00000000" w:rsidRPr="00000000" w14:paraId="00000015">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Company-wide profit margin sits at approximately 14%, converting $4.74M in sales into $662K in profit, a moderate margin with visible room for improvement in weaker categories such as Furniture.</w:t>
      </w:r>
    </w:p>
    <w:p w:rsidR="00000000" w:rsidDel="00000000" w:rsidP="00000000" w:rsidRDefault="00000000" w:rsidRPr="00000000" w14:paraId="00000016">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ska1w3r8lx3z" w:id="4"/>
      <w:bookmarkEnd w:id="4"/>
      <w:r w:rsidDel="00000000" w:rsidR="00000000" w:rsidRPr="00000000">
        <w:rPr>
          <w:rFonts w:ascii="Times New Roman" w:cs="Times New Roman" w:eastAsia="Times New Roman" w:hAnsi="Times New Roman"/>
          <w:b w:val="1"/>
          <w:bCs w:val="1"/>
          <w:sz w:val="26"/>
          <w:szCs w:val="26"/>
          <w:rtl w:val="0"/>
        </w:rPr>
        <w:t xml:space="preserve">4. Business Risks</w:t>
      </w:r>
    </w:p>
    <w:p w:rsidR="00000000" w:rsidDel="00000000" w:rsidP="00000000" w:rsidRDefault="00000000" w:rsidRPr="00000000" w14:paraId="00000017">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Revenue concentration in a single category: heavy reliance on Technology/Phones sales means a slowdown in electronics demand or new competition could disproportionately hurt overall revenue.</w:t>
      </w:r>
    </w:p>
    <w:p w:rsidR="00000000" w:rsidDel="00000000" w:rsidP="00000000" w:rsidRDefault="00000000" w:rsidRPr="00000000" w14:paraId="00000018">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Uneven regional profitability: with Central far outperforming regions like Central Asia and South, underperforming regions represent a drag on overall margin.</w:t>
      </w:r>
    </w:p>
    <w:p w:rsidR="00000000" w:rsidDel="00000000" w:rsidP="00000000" w:rsidRDefault="00000000" w:rsidRPr="00000000" w14:paraId="00000019">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Margin pressure: Furniture converts less of its sales into profit than Technology or Office Supplies, and at a 14% overall margin, this leaves limited buffer against further erosion.</w:t>
      </w:r>
    </w:p>
    <w:p w:rsidR="00000000" w:rsidDel="00000000" w:rsidP="00000000" w:rsidRDefault="00000000" w:rsidRPr="00000000" w14:paraId="0000001A">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ki7w7m4cl411" w:id="5"/>
      <w:bookmarkEnd w:id="5"/>
      <w:r w:rsidDel="00000000" w:rsidR="00000000" w:rsidRPr="00000000">
        <w:rPr>
          <w:rFonts w:ascii="Times New Roman" w:cs="Times New Roman" w:eastAsia="Times New Roman" w:hAnsi="Times New Roman"/>
          <w:b w:val="1"/>
          <w:bCs w:val="1"/>
          <w:sz w:val="26"/>
          <w:szCs w:val="26"/>
          <w:rtl w:val="0"/>
        </w:rPr>
        <w:t xml:space="preserve">5. Business Opportunities</w:t>
      </w:r>
    </w:p>
    <w:p w:rsidR="00000000" w:rsidDel="00000000" w:rsidP="00000000" w:rsidRDefault="00000000" w:rsidRPr="00000000" w14:paraId="0000001B">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Expand successful regional practices: whatever is driving Central's strong profit performance could be studied and applied to lower-performing regions like Central Asia and South.</w:t>
      </w:r>
    </w:p>
    <w:p w:rsidR="00000000" w:rsidDel="00000000" w:rsidP="00000000" w:rsidRDefault="00000000" w:rsidRPr="00000000" w14:paraId="0000001C">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Deepen the Consumer segment relationship: since Consumer already leads in revenue, loyalty or repeat-purchase incentives could compound an already strong customer base.</w:t>
      </w:r>
    </w:p>
    <w:p w:rsidR="00000000" w:rsidDel="00000000" w:rsidP="00000000" w:rsidRDefault="00000000" w:rsidRPr="00000000" w14:paraId="0000001D">
      <w:pPr>
        <w:spacing w:after="12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Cross-sell into underrepresented categories: with Furniture and Office Supplies trailing Technology, there is room to bundle or promote these alongside high-traffic Technology purchases.</w:t>
      </w:r>
    </w:p>
    <w:p w:rsidR="00000000" w:rsidDel="00000000" w:rsidP="00000000" w:rsidRDefault="00000000" w:rsidRPr="00000000" w14:paraId="0000001E">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bdmdo9wjqouk" w:id="6"/>
      <w:bookmarkEnd w:id="6"/>
      <w:r w:rsidDel="00000000" w:rsidR="00000000" w:rsidRPr="00000000">
        <w:rPr>
          <w:rFonts w:ascii="Times New Roman" w:cs="Times New Roman" w:eastAsia="Times New Roman" w:hAnsi="Times New Roman"/>
          <w:b w:val="1"/>
          <w:bCs w:val="1"/>
          <w:sz w:val="26"/>
          <w:szCs w:val="26"/>
          <w:rtl w:val="0"/>
        </w:rPr>
        <w:t xml:space="preserve">6. Recommendations</w:t>
      </w:r>
    </w:p>
    <w:p w:rsidR="00000000" w:rsidDel="00000000" w:rsidP="00000000" w:rsidRDefault="00000000" w:rsidRPr="00000000" w14:paraId="0000001F">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Investigate and address Furniture's thin margins by reviewing discounting practices, especially on Tables and Bookcases, and consider renegotiating supplier costs.</w:t>
      </w:r>
    </w:p>
    <w:p w:rsidR="00000000" w:rsidDel="00000000" w:rsidP="00000000" w:rsidRDefault="00000000" w:rsidRPr="00000000" w14:paraId="00000020">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Replicate the Central region's success in underperforming regions by studying its pricing, demand, and logistics practices, then piloting similar approaches in Central Asia and South.</w:t>
      </w:r>
    </w:p>
    <w:p w:rsidR="00000000" w:rsidDel="00000000" w:rsidP="00000000" w:rsidRDefault="00000000" w:rsidRPr="00000000" w14:paraId="00000021">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Increase investment in Technology and Phones through targeted marketing and inventory allocation, while using them to cross-sell Furniture and Office Supplies.</w:t>
      </w:r>
    </w:p>
    <w:p w:rsidR="00000000" w:rsidDel="00000000" w:rsidP="00000000" w:rsidRDefault="00000000" w:rsidRPr="00000000" w14:paraId="00000022">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Build loyalty and repeat-purchase programs around the Consumer segment to increase customer lifetime value where the business is already strongest.</w:t>
      </w:r>
    </w:p>
    <w:p w:rsidR="00000000" w:rsidDel="00000000" w:rsidP="00000000" w:rsidRDefault="00000000" w:rsidRPr="00000000" w14:paraId="00000023">
      <w:pPr>
        <w:spacing w:after="140" w:lineRule="auto"/>
        <w:ind w:left="5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Set a formal profit-margin target (e.g., 16–18%) and monitor it quarterly using the dashboard's Region x Category matrix to catch margin erosion early.</w:t>
      </w:r>
    </w:p>
    <w:p w:rsidR="00000000" w:rsidDel="00000000" w:rsidP="00000000" w:rsidRDefault="00000000" w:rsidRPr="00000000" w14:paraId="00000024">
      <w:pPr>
        <w:pStyle w:val="Heading1"/>
        <w:keepNext w:val="0"/>
        <w:keepLines w:val="0"/>
        <w:spacing w:after="160" w:before="300" w:lineRule="auto"/>
        <w:rPr>
          <w:rFonts w:ascii="Times New Roman" w:cs="Times New Roman" w:eastAsia="Times New Roman" w:hAnsi="Times New Roman"/>
          <w:b w:val="1"/>
          <w:bCs w:val="1"/>
          <w:sz w:val="26"/>
          <w:szCs w:val="26"/>
        </w:rPr>
      </w:pPr>
      <w:bookmarkStart w:colFirst="0" w:colLast="0" w:name="_vvnzgzqk9oy1" w:id="7"/>
      <w:bookmarkEnd w:id="7"/>
      <w:r w:rsidDel="00000000" w:rsidR="00000000" w:rsidRPr="00000000">
        <w:rPr>
          <w:rFonts w:ascii="Times New Roman" w:cs="Times New Roman" w:eastAsia="Times New Roman" w:hAnsi="Times New Roman"/>
          <w:b w:val="1"/>
          <w:bCs w:val="1"/>
          <w:sz w:val="26"/>
          <w:szCs w:val="26"/>
          <w:rtl w:val="0"/>
        </w:rPr>
        <w:t xml:space="preserve">7. Conclusion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Global Superstore dashboard provides management with a clear, interactive view of sales, profitability, and regional performance. While the business shows healthy overall growth and a strong Technology-led revenue base, targeted attention to Furniture margins and underperforming regions offers a clear path to improving profitability further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