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Indledning</w:t>
      </w:r>
    </w:p>
    <w:p>
      <w:r>
        <w:t>Leverancen er beskrevet i Bilag 1 og tidsplanen fremgaar af Bilag 2.</w:t>
      </w:r>
    </w:p>
    <w:p>
      <w:pPr>
        <w:pStyle w:val="Heading1"/>
      </w:pPr>
      <w:r>
        <w:t>Betaling</w:t>
      </w:r>
    </w:p>
    <w:p>
      <w:pPr>
        <w:pStyle w:val="Heading2"/>
      </w:pPr>
      <w:r>
        <w:t>Fakturering</w:t>
      </w:r>
    </w:p>
    <w:p>
      <w:r>
        <w:t>Betaling sker jf. afsnit 2.1 senest 30 dage efter levering.</w:t>
      </w:r>
    </w:p>
    <w:p>
      <w:r>
        <w:t>Bod beregnes i henhold til punkt 4.2 i naervaerende kontrakt.</w:t>
      </w:r>
    </w:p>
    <w:p>
      <w:r>
        <w:t>Se Bilag 7 for service level agreements.</w:t>
      </w:r>
    </w:p>
    <w:p>
      <w:r>
        <w:t>Kravene fremgaar af Bilag 1, punkt 2.1 og skal opfyldes fuldt ud.</w:t>
      </w:r>
    </w:p>
    <w:p>
      <w:r>
        <w:t>Testproceduren er beskrevet i Bilag 2, afsnit 9.9 som parterne følger.</w:t>
      </w:r>
    </w:p>
    <w:p>
      <w:r>
        <w:t>Garantien loeber jf. punkt 3.4 i Leveringsaftalen.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"/>
    </w:lvl>
    <w:lvl w:ilvl="1">
      <w:start w:val="1"/>
      <w:numFmt w:val="decimal"/>
      <w:lvlText w:val="%1.%2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Overskrift 1"/>
    <w:pPr>
      <w:numPr>
        <w:ilvl w:val="0"/>
        <w:numId w:val="1"/>
      </w:numPr>
    </w:pPr>
  </w:style>
  <w:style w:type="paragraph" w:styleId="Heading2">
    <w:name w:val="Overskrift 2"/>
    <w:pPr>
      <w:numPr>
        <w:ilvl w:val="1"/>
        <w:numId w:val="1"/>
      </w:numPr>
    </w:pPr>
  </w:style>
</w:styles>
</file>