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color w:val="1F2A3A"/>
          <w:sz w:val="36"/>
          <w:szCs w:val="36"/>
        </w:rPr>
        <w:t xml:space="preserve">Notat – visuel tidsplan, applikationsintegration og fristtjek</w:t>
      </w:r>
    </w:p>
    <w:p>
      <w:r>
        <w:rPr>
          <w:rFonts w:ascii="Calibri" w:cs="Calibri" w:eastAsia="Calibri" w:hAnsi="Calibri"/>
          <w:b/>
          <w:bCs/>
        </w:rPr>
        <w:t xml:space="preserve">Dato:</w:t>
      </w:r>
      <w:r>
        <w:rPr>
          <w:rFonts w:ascii="Calibri" w:cs="Calibri" w:eastAsia="Calibri" w:hAnsi="Calibri"/>
        </w:rPr>
        <w:t xml:space="preserve"> 10/9-2026</w:t>
      </w:r>
    </w:p>
    <w:p>
      <w:r>
        <w:rPr>
          <w:rFonts w:ascii="Calibri" w:cs="Calibri" w:eastAsia="Calibri" w:hAnsi="Calibri"/>
          <w:b/>
          <w:bCs/>
        </w:rPr>
        <w:t xml:space="preserve">Sag:</w:t>
      </w:r>
      <w:r>
        <w:rPr>
          <w:rFonts w:ascii="Calibri" w:cs="Calibri" w:eastAsia="Calibri" w:hAnsi="Calibri"/>
        </w:rPr>
        <w:t xml:space="preserve"> DVR-udbuddet (LMST) samt generelt værktøj til udbudstidsplaner</w:t>
      </w:r>
    </w:p>
    <w:p>
      <w:r>
        <w:rPr>
          <w:rFonts w:ascii="Calibri" w:cs="Calibri" w:eastAsia="Calibri" w:hAnsi="Calibri"/>
          <w:b/>
          <w:bCs/>
        </w:rPr>
        <w:t xml:space="preserve">Formål:</w:t>
      </w:r>
      <w:r>
        <w:rPr>
          <w:rFonts w:ascii="Calibri" w:cs="Calibri" w:eastAsia="Calibri" w:hAnsi="Calibri"/>
        </w:rPr>
        <w:t xml:space="preserve"> Opsamling, så arbejdet kan genoptages. Upload notatet sammen med de relevante filer.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Status i én linje</w:t>
      </w:r>
    </w:p>
    <w:p>
      <w:r>
        <w:rPr>
          <w:rFonts w:ascii="Calibri" w:cs="Calibri" w:eastAsia="Calibri" w:hAnsi="Calibri"/>
        </w:rPr>
        <w:t xml:space="preserve">Den visuelle tidsplan er leveret, godkendt og gemt som template. Integration i den samlede applikation, paradigmeplaner og fristtjek er drøftet og afgrænset, men </w:t>
      </w:r>
      <w:r>
        <w:rPr>
          <w:rFonts w:ascii="Calibri" w:cs="Calibri" w:eastAsia="Calibri" w:hAnsi="Calibri"/>
          <w:b/>
          <w:bCs/>
        </w:rPr>
        <w:t xml:space="preserve">intet af det er bygget endnu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Visuel tidsplan (leveret og godkendt)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Baggrund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Evas PowerPoint-tidsplan (04-09-26) har et layout, som kunden kan lide, men den indeholder fejl.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Birgers MS Project-plan (Excel-udtræk 10-09-26) har de korrekte datoer og farver, men den er ikke visuel.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Løsning: Evas layout med data fra Birgers plan.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Design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Én slide i 16:9 med redigerbare figurer. Fonten er Calibri.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Hver fase har sin egen svømmebane med neutrale blå og grå faseblokke, så de ikke blandes med belastningsfarverne.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Datoen står til venstre for bjælken og navnet til højre (Evas stil). Hvis der ikke er plads til højre, vendes det automatisk.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Datoer vises i dansk format ("2/10–9/11"). Varigheder er fjernet, fordi de skabte forvirring mellem kalenderdage og arbejdsdage.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Tidsaksen går fra statusdatoens måned til én måned efter sidste dato i planen (her sep 2026–sep 2027).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"I dag"-linjen er rød og stiplet.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Belastningsbåndet viser den højeste markering i hver uge. Rækkefølgen er rød, orange, lilla, grå og til sidst grøn. "Udformning af udbudsmateriale" og milepæle tæller ikke med.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Ferie og helligdage skraveres: vinterferie uge 7, påske (skærtorsdag til 2. påskedag), Kr. Himmelfart, 2. pinsedag, sommerferie uge 27–30, efterårsferie uge 42 og jul 21/12–1/1.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Lovgivningssporet bygger på Evas plan og er markeret "ikke bekræftet".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Farvelegende (Birgers koder, bevidst valgt)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1076"/>
        <w:gridCol w:w="7111"/>
      </w:tblGrid>
      <w:tr>
        <w:trPr>
          <w:cantSplit/>
          <w:tblHeader/>
        </w:trPr>
        <w:tc>
          <w:tcPr>
            <w:tcW w:type="dxa" w:w="1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44546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Farve</w:t>
            </w:r>
          </w:p>
        </w:tc>
        <w:tc>
          <w:tcPr>
            <w:tcW w:type="dxa" w:w="1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44546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71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44546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Betydning</w:t>
            </w:r>
          </w:p>
        </w:tc>
      </w:tr>
      <w:tr>
        <w:trPr>
          <w:cantSplit/>
          <w:tblHeader w:val="false"/>
        </w:trPr>
        <w:tc>
          <w:tcPr>
            <w:tcW w:type="dxa" w:w="1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Rød</w:t>
            </w:r>
          </w:p>
        </w:tc>
        <w:tc>
          <w:tcPr>
            <w:tcW w:type="dxa" w:w="1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FF0000</w:t>
            </w:r>
          </w:p>
        </w:tc>
        <w:tc>
          <w:tcPr>
            <w:tcW w:type="dxa" w:w="71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Spidsbelastning for LMST</w:t>
            </w:r>
          </w:p>
        </w:tc>
      </w:tr>
      <w:tr>
        <w:trPr>
          <w:cantSplit/>
          <w:tblHeader w:val="false"/>
        </w:trPr>
        <w:tc>
          <w:tcPr>
            <w:tcW w:type="dxa" w:w="1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Orange</w:t>
            </w:r>
          </w:p>
        </w:tc>
        <w:tc>
          <w:tcPr>
            <w:tcW w:type="dxa" w:w="1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FFC000</w:t>
            </w:r>
          </w:p>
        </w:tc>
        <w:tc>
          <w:tcPr>
            <w:tcW w:type="dxa" w:w="71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Belastning, men ikke spidsbelastning</w:t>
            </w:r>
          </w:p>
        </w:tc>
      </w:tr>
      <w:tr>
        <w:trPr>
          <w:cantSplit/>
          <w:tblHeader w:val="false"/>
        </w:trPr>
        <w:tc>
          <w:tcPr>
            <w:tcW w:type="dxa" w:w="1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Grøn</w:t>
            </w:r>
          </w:p>
        </w:tc>
        <w:tc>
          <w:tcPr>
            <w:tcW w:type="dxa" w:w="1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92D050</w:t>
            </w:r>
          </w:p>
        </w:tc>
        <w:tc>
          <w:tcPr>
            <w:tcW w:type="dxa" w:w="71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Bolden hos tilbudsgivere/eksterne</w:t>
            </w:r>
          </w:p>
        </w:tc>
      </w:tr>
      <w:tr>
        <w:trPr>
          <w:cantSplit/>
          <w:tblHeader w:val="false"/>
        </w:trPr>
        <w:tc>
          <w:tcPr>
            <w:tcW w:type="dxa" w:w="1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Lilla</w:t>
            </w:r>
          </w:p>
        </w:tc>
        <w:tc>
          <w:tcPr>
            <w:tcW w:type="dxa" w:w="1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7030A0</w:t>
            </w:r>
          </w:p>
        </w:tc>
        <w:tc>
          <w:tcPr>
            <w:tcW w:type="dxa" w:w="71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Godkendelse (styregruppe og Digitaliseringsboard)</w:t>
            </w:r>
          </w:p>
        </w:tc>
      </w:tr>
      <w:tr>
        <w:trPr>
          <w:cantSplit/>
          <w:tblHeader w:val="false"/>
        </w:trPr>
        <w:tc>
          <w:tcPr>
            <w:tcW w:type="dxa" w:w="1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Hvid → grå</w:t>
            </w:r>
          </w:p>
        </w:tc>
        <w:tc>
          <w:tcPr>
            <w:tcW w:type="dxa" w:w="1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A6A6A6</w:t>
            </w:r>
          </w:p>
        </w:tc>
        <w:tc>
          <w:tcPr>
            <w:tcW w:type="dxa" w:w="71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Ingen belastningsmarkering</w:t>
            </w:r>
          </w:p>
        </w:tc>
      </w:tr>
      <w:tr>
        <w:trPr>
          <w:cantSplit/>
          <w:tblHeader w:val="false"/>
        </w:trPr>
        <w:tc>
          <w:tcPr>
            <w:tcW w:type="dxa" w:w="1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Blå romb</w:t>
            </w:r>
          </w:p>
        </w:tc>
        <w:tc>
          <w:tcPr>
            <w:tcW w:type="dxa" w:w="1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00B0F0</w:t>
            </w:r>
          </w:p>
        </w:tc>
        <w:tc>
          <w:tcPr>
            <w:tcW w:type="dxa" w:w="71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Milepæl</w:t>
            </w:r>
          </w:p>
        </w:tc>
      </w:tr>
      <w:tr>
        <w:trPr>
          <w:cantSplit/>
          <w:tblHeader w:val="false"/>
        </w:trPr>
        <w:tc>
          <w:tcPr>
            <w:tcW w:type="dxa" w:w="1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Grå romb</w:t>
            </w:r>
          </w:p>
        </w:tc>
        <w:tc>
          <w:tcPr>
            <w:tcW w:type="dxa" w:w="1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7F7F7F</w:t>
            </w:r>
          </w:p>
        </w:tc>
        <w:tc>
          <w:tcPr>
            <w:tcW w:type="dxa" w:w="71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Frist eller modtagelse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Redaktionelle valg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Tre navne er forkortet: "Tilbudsgivere udarbejder endeligt tilbud (frist vurderes konkret ift. …)" og to rækker, hvor "Forventet tidspunkt for" er fjernet.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"Milepæl:"-præfikset er fjernet, fordi markøren viser det.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Milepælen "Offentliggørelse af udbud 2/10" er tilføjet. </w:t>
      </w:r>
      <w:r>
        <w:rPr>
          <w:rFonts w:ascii="Calibri" w:cs="Calibri" w:eastAsia="Calibri" w:hAnsi="Calibri"/>
          <w:b/>
          <w:bCs/>
        </w:rPr>
        <w:t xml:space="preserve">Den står ikke i MS Project-planen.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Template (genbrug ved revisioner)</w:t>
      </w:r>
    </w:p>
    <w:p>
      <w:r>
        <w:rPr>
          <w:rFonts w:ascii="Calibri" w:cs="Calibri" w:eastAsia="Calibri" w:hAnsi="Calibri"/>
        </w:rPr>
        <w:t xml:space="preserve">Filerne ligger i </w:t>
      </w:r>
      <w:r>
        <w:rPr>
          <w:rFonts w:ascii="Consolas" w:cs="Consolas" w:eastAsia="Consolas" w:hAnsi="Consolas"/>
          <w:sz w:val="19"/>
          <w:szCs w:val="19"/>
        </w:rPr>
        <w:t xml:space="preserve">tidsplan_template/</w:t>
      </w:r>
      <w:r>
        <w:rPr>
          <w:rFonts w:ascii="Calibri" w:cs="Calibri" w:eastAsia="Calibri" w:hAnsi="Calibri"/>
        </w:rPr>
        <w:t xml:space="preserve"> og skal uploades til projektets filer: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</w:rPr>
        <w:t xml:space="preserve">dvr_tidsplan.py</w:t>
      </w:r>
      <w:r>
        <w:rPr>
          <w:rFonts w:ascii="Calibri" w:cs="Calibri" w:eastAsia="Calibri" w:hAnsi="Calibri"/>
        </w:rPr>
        <w:t xml:space="preserve">: læser Excel-udtrækket og beregner layoutet. KONFIGURATION ligger øverst i filen.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</w:rPr>
        <w:t xml:space="preserve">draw.js</w:t>
      </w:r>
      <w:r>
        <w:rPr>
          <w:rFonts w:ascii="Calibri" w:cs="Calibri" w:eastAsia="Calibri" w:hAnsi="Calibri"/>
        </w:rPr>
        <w:t xml:space="preserve">: tegner pptx-filen (Node og pptxgenjs).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</w:rPr>
        <w:t xml:space="preserve">README_tidsplan.md</w:t>
      </w:r>
      <w:r>
        <w:rPr>
          <w:rFonts w:ascii="Calibri" w:cs="Calibri" w:eastAsia="Calibri" w:hAnsi="Calibri"/>
        </w:rPr>
        <w:t xml:space="preserve">: brug og konventioner.</w:t>
      </w:r>
    </w:p>
    <w:p>
      <w:r>
        <w:rPr>
          <w:rFonts w:ascii="Calibri" w:cs="Calibri" w:eastAsia="Calibri" w:hAnsi="Calibri"/>
        </w:rPr>
        <w:t xml:space="preserve">Kommando: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python dvr_tidsplan.py &lt;plan.xlsx&gt; --idag YYYY-MM-DD -o DVR_tidsplan_visuel.pptx</w:t>
      </w:r>
    </w:p>
    <w:p>
      <w:pPr>
        <w:spacing w:after="60"/>
      </w:pPr>
    </w:p>
    <w:p>
      <w:r>
        <w:rPr>
          <w:rFonts w:ascii="Calibri" w:cs="Calibri" w:eastAsia="Calibri" w:hAnsi="Calibri"/>
        </w:rPr>
        <w:t xml:space="preserve">Konventioner for Excel-udtrækket: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Kolonnerne B–E er Aktivitet, Længde, Start og Slut. Data starter i række 3.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Et fed og ikke-indrykket navn er en fase. Et indrykket navn er en aktivitet.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0 dage er en milepæl. Hvis navnet starter med "Milepæl:" eller cellen er blå, bliver markøren blå.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Hvis et navn er for langt, udskriver scriptet en advarsel. Tilføj så en kortere version i </w:t>
      </w:r>
      <w:r>
        <w:rPr>
          <w:rFonts w:ascii="Consolas" w:cs="Consolas" w:eastAsia="Consolas" w:hAnsi="Consolas"/>
          <w:sz w:val="19"/>
          <w:szCs w:val="19"/>
        </w:rPr>
        <w:t xml:space="preserve">KORTE_NAVNE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Templaten er testet mod den godkendte slide og giver samme resultat.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Observationer der stadig er åbne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</w:rPr>
        <w:t xml:space="preserve">Projektkalenderen:</w:t>
      </w:r>
      <w:r>
        <w:rPr>
          <w:rFonts w:ascii="Calibri" w:cs="Calibri" w:eastAsia="Calibri" w:hAnsi="Calibri"/>
        </w:rPr>
        <w:t xml:space="preserve"> "Udarbejdelse af indstillingsnotat" 5/5–19/5-27 = 10 arbejdsdage passer kun, hvis enten Kr. Himmelfart (6/5) eller 2. pinsedag (17/5) mangler i kalenderen. Det bekræfter det kendte hul i 2027-helligdagene.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</w:rPr>
        <w:t xml:space="preserve">Lovgivningssporet (Evas plan) er inkonsistent:</w:t>
      </w:r>
      <w:r>
        <w:rPr>
          <w:rFonts w:ascii="Calibri" w:cs="Calibri" w:eastAsia="Calibri" w:hAnsi="Calibri"/>
        </w:rPr>
        <w:t xml:space="preserve"> Bjælken for vedtagelsen i Folketinget slutter 1/6-28, men milepælen "Lovhjemmel godkendt i FT" står til 1/1-28. Datoerne skal bekræftes.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</w:rPr>
        <w:t xml:space="preserve">§ 134-tvetydighed:</w:t>
      </w:r>
      <w:r>
        <w:rPr>
          <w:rFonts w:ascii="Calibri" w:cs="Calibri" w:eastAsia="Calibri" w:hAnsi="Calibri"/>
        </w:rPr>
        <w:t xml:space="preserve"> "Spørgsmål svar LMST" i prækvalifikationen slutter 9/11, samme dag som ansøgningsfristen. Hvis det betyder, at LMST svarer helt frem til fristen, er det i strid med 6-dagesreglen. Hvis det kun betyder spørgeperioden, er det i orden. Det skal afklares.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</w:rPr>
        <w:t xml:space="preserve">Udbudsmaterialet har kun én dags margin:</w:t>
      </w:r>
      <w:r>
        <w:rPr>
          <w:rFonts w:ascii="Calibri" w:cs="Calibri" w:eastAsia="Calibri" w:hAnsi="Calibri"/>
        </w:rPr>
        <w:t xml:space="preserve"> Udformningen slutter 1/10, og offentliggørelsen er 2/10.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</w:rPr>
        <w:t xml:space="preserve">Fejl i Evas plan</w:t>
      </w:r>
      <w:r>
        <w:rPr>
          <w:rFonts w:ascii="Calibri" w:cs="Calibri" w:eastAsia="Calibri" w:hAnsi="Calibri"/>
        </w:rPr>
        <w:t xml:space="preserve"> (til orientering):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Evalueringen af de indledende tilbud starter før tilbudsfristen.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Forhandlingsmøderne ligger 1/2–21/2 mod 22/2–26/2 i Birgers plan.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Godkendelsen af prækval-indstillingen mangler.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Kontraktunderskrivelsen står til 7/7-27 mod 24/8-27, fordi Eva mangler sommerferiens effekt på ESPD, tjek af ESPD, afslagsbreve og standstill.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Integration i den samlede applikation (drøftet, ikke bygget)</w:t>
      </w:r>
    </w:p>
    <w:p>
      <w:r>
        <w:rPr>
          <w:rFonts w:ascii="Calibri" w:cs="Calibri" w:eastAsia="Calibri" w:hAnsi="Calibri"/>
          <w:b/>
          <w:bCs/>
        </w:rPr>
        <w:t xml:space="preserve">Beslutning:</w:t>
      </w:r>
      <w:r>
        <w:rPr>
          <w:rFonts w:ascii="Calibri" w:cs="Calibri" w:eastAsia="Calibri" w:hAnsi="Calibri"/>
        </w:rPr>
        <w:t xml:space="preserve"> Tidsplanen bliver en feature i den samlede applikation (GUI og moduler) på linje med </w:t>
      </w:r>
      <w:r>
        <w:rPr>
          <w:rFonts w:ascii="Consolas" w:cs="Consolas" w:eastAsia="Consolas" w:hAnsi="Consolas"/>
          <w:sz w:val="19"/>
          <w:szCs w:val="19"/>
        </w:rPr>
        <w:t xml:space="preserve">krydstjek.py</w:t>
      </w:r>
      <w:r>
        <w:rPr>
          <w:rFonts w:ascii="Calibri" w:cs="Calibri" w:eastAsia="Calibri" w:hAnsi="Calibri"/>
        </w:rPr>
        <w:t xml:space="preserve"> og </w:t>
      </w:r>
      <w:r>
        <w:rPr>
          <w:rFonts w:ascii="Consolas" w:cs="Consolas" w:eastAsia="Consolas" w:hAnsi="Consolas"/>
          <w:sz w:val="19"/>
          <w:szCs w:val="19"/>
        </w:rPr>
        <w:t xml:space="preserve">semantik.py</w:t>
      </w:r>
      <w:r>
        <w:rPr>
          <w:rFonts w:ascii="Calibri" w:cs="Calibri" w:eastAsia="Calibri" w:hAnsi="Calibri"/>
        </w:rPr>
        <w:t xml:space="preserve">. Den kaldes fra GUI'en. </w:t>
      </w:r>
      <w:r>
        <w:rPr>
          <w:rFonts w:ascii="Consolas" w:cs="Consolas" w:eastAsia="Consolas" w:hAnsi="Consolas"/>
          <w:sz w:val="19"/>
          <w:szCs w:val="19"/>
        </w:rPr>
        <w:t xml:space="preserve">extractor.py</w:t>
      </w:r>
      <w:r>
        <w:rPr>
          <w:rFonts w:ascii="Calibri" w:cs="Calibri" w:eastAsia="Calibri" w:hAnsi="Calibri"/>
        </w:rPr>
        <w:t xml:space="preserve"> røres ikke.</w:t>
      </w:r>
    </w:p>
    <w:p>
      <w:r>
        <w:rPr>
          <w:rFonts w:ascii="Calibri" w:cs="Calibri" w:eastAsia="Calibri" w:hAnsi="Calibri"/>
        </w:rPr>
        <w:t xml:space="preserve">Forskelle fra de øvrige features, som integrationen skal håndtere: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Input er .xlsx (ikke .docx), så filvælgeren skal tillade det for denne feature.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Output er .pptx (ikke en Excel-rapport).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python-pptx bliver ny afhængighed. Node og pptxgenjs skal fjernes.</w:t>
      </w:r>
    </w:p>
    <w:p>
      <w:r>
        <w:rPr>
          <w:rFonts w:ascii="Calibri" w:cs="Calibri" w:eastAsia="Calibri" w:hAnsi="Calibri"/>
        </w:rPr>
        <w:t xml:space="preserve">Projektspecifik konfiguration (titel, forkortelser, lovgivningsspor, ekstra milepæle) flyttes til en JSON-fil ved siden af planen. Den hører ikke til applikationen.</w:t>
      </w:r>
    </w:p>
    <w:p>
      <w:r>
        <w:rPr>
          <w:rFonts w:ascii="Calibri" w:cs="Calibri" w:eastAsia="Calibri" w:hAnsi="Calibri"/>
        </w:rPr>
        <w:t xml:space="preserve">Planlagte Claude Code-opgaver (briefs er </w:t>
      </w:r>
      <w:r>
        <w:rPr>
          <w:rFonts w:ascii="Calibri" w:cs="Calibri" w:eastAsia="Calibri" w:hAnsi="Calibri"/>
          <w:b/>
          <w:bCs/>
        </w:rPr>
        <w:t xml:space="preserve">ikke</w:t>
      </w:r>
      <w:r>
        <w:rPr>
          <w:rFonts w:ascii="Calibri" w:cs="Calibri" w:eastAsia="Calibri" w:hAnsi="Calibri"/>
        </w:rPr>
        <w:t xml:space="preserve"> skrevet endnu; én opgave pr. prompt, bevar CRLF, eget commit):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b/>
          <w:bCs/>
        </w:rPr>
        <w:t xml:space="preserve">Port `draw.js` til python-pptx</w:t>
      </w:r>
      <w:r>
        <w:rPr>
          <w:rFonts w:ascii="Calibri" w:cs="Calibri" w:eastAsia="Calibri" w:hAnsi="Calibri"/>
        </w:rPr>
        <w:t xml:space="preserve"> med en accepttest: samme slide som den godkendte. Skraveringen laves med en XML-tilføjelse for alpha eller en fast lys farve.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b/>
          <w:bCs/>
        </w:rPr>
        <w:t xml:space="preserve">Tidsplan-modul i applikationen</w:t>
      </w:r>
      <w:r>
        <w:rPr>
          <w:rFonts w:ascii="Calibri" w:cs="Calibri" w:eastAsia="Calibri" w:hAnsi="Calibri"/>
        </w:rPr>
        <w:t xml:space="preserve"> med underkommando i stil med </w:t>
      </w:r>
      <w:r>
        <w:rPr>
          <w:rFonts w:ascii="Consolas" w:cs="Consolas" w:eastAsia="Consolas" w:hAnsi="Consolas"/>
          <w:sz w:val="19"/>
          <w:szCs w:val="19"/>
        </w:rPr>
        <w:t xml:space="preserve">kommentarer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trackchanges</w:t>
      </w:r>
      <w:r>
        <w:rPr>
          <w:rFonts w:ascii="Calibri" w:cs="Calibri" w:eastAsia="Calibri" w:hAnsi="Calibri"/>
        </w:rPr>
        <w:t xml:space="preserve"> og konfiguration i JSON.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b/>
          <w:bCs/>
        </w:rPr>
        <w:t xml:space="preserve">GUI-indgang</w:t>
      </w:r>
      <w:r>
        <w:rPr>
          <w:rFonts w:ascii="Calibri" w:cs="Calibri" w:eastAsia="Calibri" w:hAnsi="Calibri"/>
        </w:rPr>
        <w:t xml:space="preserve"> med valg af Excel-fil og statusdato. Den følger mønstret for de eksisterende knapper.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Paradigmeplaner (idé)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MS Project er fortsat masteren.</w:t>
      </w:r>
      <w:r>
        <w:rPr>
          <w:rFonts w:ascii="Calibri" w:cs="Calibri" w:eastAsia="Calibri" w:hAnsi="Calibri"/>
        </w:rPr>
        <w:t xml:space="preserve"> Applikationen skal ikke være et planlægningsværktøj.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Én .mpt-skabelon for hver procedure,</w:t>
      </w:r>
      <w:r>
        <w:rPr>
          <w:rFonts w:ascii="Calibri" w:cs="Calibri" w:eastAsia="Calibri" w:hAnsi="Calibri"/>
        </w:rPr>
        <w:t xml:space="preserve"> som Birger laver. Hver skabelon får fast fasestruktur, faste aktivitetsnavne og afhængigheder. Lovbestemte frister lægges ind som kalenderdage (</w:t>
      </w:r>
      <w:r>
        <w:rPr>
          <w:rFonts w:ascii="Consolas" w:cs="Consolas" w:eastAsia="Consolas" w:hAnsi="Consolas"/>
          <w:sz w:val="19"/>
          <w:szCs w:val="19"/>
        </w:rPr>
        <w:t xml:space="preserve">fd</w:t>
      </w:r>
      <w:r>
        <w:rPr>
          <w:rFonts w:ascii="Calibri" w:cs="Calibri" w:eastAsia="Calibri" w:hAnsi="Calibri"/>
        </w:rPr>
        <w:t xml:space="preserve">) med Deadline-felter, som ved § 134.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Fast eksportformat for alle skabeloner: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Belastningen bliver data i et brugerdefineret tekstfelt "Belastning" (rød/orange/grøn/lilla), i stedet for en cellefarve der kan forsvinde ved kopiering.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Et nyt felt </w:t>
      </w:r>
      <w:r>
        <w:rPr>
          <w:rFonts w:ascii="Calibri" w:cs="Calibri" w:eastAsia="Calibri" w:hAnsi="Calibri"/>
          <w:b/>
          <w:bCs/>
        </w:rPr>
        <w:t xml:space="preserve">"Fristtype"</w:t>
      </w:r>
      <w:r>
        <w:rPr>
          <w:rFonts w:ascii="Calibri" w:cs="Calibri" w:eastAsia="Calibri" w:hAnsi="Calibri"/>
        </w:rPr>
        <w:t xml:space="preserve"> på frist-milepælene (fx Bekendtgørelse, Ansøgningsfrist, Tilbudsfrist, Svarfrist, Underretning) fortæller fristtjekket, hvad hver milepæl er.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Et gemt eksportkort i Project kan evt. erstatte copy-paste.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Visualiseringen er stort set uafhængig af procedure. Et offentligt udbud får bare færre baner.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Fristtjek (idé, afgrænset)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Afgrænsning (Birgers beslutning)</w:t>
      </w:r>
    </w:p>
    <w:p>
      <w:r>
        <w:rPr>
          <w:rFonts w:ascii="Calibri" w:cs="Calibri" w:eastAsia="Calibri" w:hAnsi="Calibri"/>
        </w:rPr>
        <w:t xml:space="preserve">Værktøjet bygges kun til de processer, der bruges regelmæssigt. Undtagelser håndteres ikke.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Med:</w:t>
      </w:r>
      <w:r>
        <w:rPr>
          <w:rFonts w:ascii="Calibri" w:cs="Calibri" w:eastAsia="Calibri" w:hAnsi="Calibri"/>
        </w:rPr>
        <w:t xml:space="preserve"> offentligt udbud, begrænset udbud og udbud med forhandling efter udbudslovens afsnit II, standardudgaven.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Ikke med:</w:t>
      </w:r>
      <w:r>
        <w:rPr>
          <w:rFonts w:ascii="Calibri" w:cs="Calibri" w:eastAsia="Calibri" w:hAnsi="Calibri"/>
        </w:rPr>
        <w:t xml:space="preserve"> forhåndsmeddelelse, hastende tilfælde, forsyning, forsvar og sikkerhed, øvrige procedurer og light-regimet. Her bruges Kammeradvokatens Fristberegneren som i dag.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Fast forudsætning:</w:t>
      </w:r>
      <w:r>
        <w:rPr>
          <w:rFonts w:ascii="Calibri" w:cs="Calibri" w:eastAsia="Calibri" w:hAnsi="Calibri"/>
        </w:rPr>
        <w:t xml:space="preserve"> Tilbud afgives elektronisk, og udbudsmaterialet er altid elektronisk tilgængeligt fra offentliggørelsen. Forlængelsen på 5 dage ved manglende elektronisk adgang skal derfor ikke håndteres. Forudsætningen står i hver rapport.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Regelkatalog (Claudes læsning, skal valideres af Maj-Britt)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5"/>
        <w:gridCol w:w="3092"/>
        <w:gridCol w:w="2113"/>
        <w:gridCol w:w="2938"/>
      </w:tblGrid>
      <w:tr>
        <w:trPr>
          <w:cantSplit/>
          <w:tblHeader/>
        </w:trPr>
        <w:tc>
          <w:tcPr>
            <w:tcW w:type="dxa" w:w="14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44546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Frist</w:t>
            </w:r>
          </w:p>
        </w:tc>
        <w:tc>
          <w:tcPr>
            <w:tcW w:type="dxa" w:w="30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44546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Offentligt</w:t>
            </w:r>
          </w:p>
        </w:tc>
        <w:tc>
          <w:tcPr>
            <w:tcW w:type="dxa" w:w="2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44546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Begrænset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44546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Med forhandling</w:t>
            </w:r>
          </w:p>
        </w:tc>
      </w:tr>
      <w:tr>
        <w:trPr>
          <w:cantSplit/>
          <w:tblHeader w:val="false"/>
        </w:trPr>
        <w:tc>
          <w:tcPr>
            <w:tcW w:type="dxa" w:w="14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Ansøgningsfrist</w:t>
            </w:r>
          </w:p>
        </w:tc>
        <w:tc>
          <w:tcPr>
            <w:tcW w:type="dxa" w:w="30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</w:t>
            </w:r>
          </w:p>
        </w:tc>
        <w:tc>
          <w:tcPr>
            <w:tcW w:type="dxa" w:w="2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dage fra afsendelse af bekendtgørelsen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dage fra afsendelse af bekendtgørelsen</w:t>
            </w:r>
          </w:p>
        </w:tc>
      </w:tr>
      <w:tr>
        <w:trPr>
          <w:cantSplit/>
          <w:tblHeader w:val="false"/>
        </w:trPr>
        <w:tc>
          <w:tcPr>
            <w:tcW w:type="dxa" w:w="14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Første tilbudsfrist</w:t>
            </w:r>
          </w:p>
        </w:tc>
        <w:tc>
          <w:tcPr>
            <w:tcW w:type="dxa" w:w="30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dage fra afsendelse af bekendtgørelsen (35 minus 5 for elektronisk)</w:t>
            </w:r>
          </w:p>
        </w:tc>
        <w:tc>
          <w:tcPr>
            <w:tcW w:type="dxa" w:w="2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 dage fra opfordringen (30 minus 5)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 dage fra opfordringen (30 minus 5)</w:t>
            </w:r>
          </w:p>
        </w:tc>
      </w:tr>
      <w:tr>
        <w:trPr>
          <w:cantSplit/>
          <w:tblHeader w:val="false"/>
        </w:trPr>
        <w:tc>
          <w:tcPr>
            <w:tcW w:type="dxa" w:w="14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Reviderede og endelige tilbud</w:t>
            </w:r>
          </w:p>
        </w:tc>
        <w:tc>
          <w:tcPr>
            <w:tcW w:type="dxa" w:w="30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</w:t>
            </w:r>
          </w:p>
        </w:tc>
        <w:tc>
          <w:tcPr>
            <w:tcW w:type="dxa" w:w="2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Intet fast minimum. Kun margin vises, ingen godkendt/fejl</w:t>
            </w:r>
          </w:p>
        </w:tc>
      </w:tr>
      <w:tr>
        <w:trPr>
          <w:cantSplit/>
          <w:tblHeader w:val="false"/>
        </w:trPr>
        <w:tc>
          <w:tcPr>
            <w:tcW w:type="dxa" w:w="14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Svar på spørgsmål (§ 134)</w:t>
            </w:r>
          </w:p>
        </w:tc>
        <w:tc>
          <w:tcPr>
            <w:tcW w:type="dxa" w:w="30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Senest 6 dage før fristen</w:t>
            </w:r>
          </w:p>
        </w:tc>
        <w:tc>
          <w:tcPr>
            <w:tcW w:type="dxa" w:w="2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Samme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Samme</w:t>
            </w:r>
          </w:p>
        </w:tc>
      </w:tr>
      <w:tr>
        <w:trPr>
          <w:cantSplit/>
          <w:tblHeader w:val="false"/>
        </w:trPr>
        <w:tc>
          <w:tcPr>
            <w:tcW w:type="dxa" w:w="14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Standstill</w:t>
            </w:r>
          </w:p>
        </w:tc>
        <w:tc>
          <w:tcPr>
            <w:tcW w:type="dxa" w:w="30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kalenderdage efter elektronisk underretning</w:t>
            </w:r>
          </w:p>
        </w:tc>
        <w:tc>
          <w:tcPr>
            <w:tcW w:type="dxa" w:w="2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Samme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Samme</w:t>
            </w:r>
          </w:p>
        </w:tc>
      </w:tr>
      <w:tr>
        <w:trPr>
          <w:cantSplit/>
          <w:tblHeader w:val="false"/>
        </w:trPr>
        <w:tc>
          <w:tcPr>
            <w:tcW w:type="dxa" w:w="14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Udbudsmateriale færdigt</w:t>
            </w:r>
          </w:p>
        </w:tc>
        <w:tc>
          <w:tcPr>
            <w:tcW w:type="dxa" w:w="30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Senest ved offentliggørelsen</w:t>
            </w:r>
          </w:p>
        </w:tc>
        <w:tc>
          <w:tcPr>
            <w:tcW w:type="dxa" w:w="2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Samme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Samme</w:t>
            </w:r>
          </w:p>
        </w:tc>
      </w:tr>
    </w:tbl>
    <w:p>
      <w:pPr>
        <w:spacing w:after="60"/>
      </w:pPr>
    </w:p>
    <w:p>
      <w:r>
        <w:rPr>
          <w:rFonts w:ascii="Calibri" w:cs="Calibri" w:eastAsia="Calibri" w:hAnsi="Calibri"/>
        </w:rPr>
        <w:t xml:space="preserve">Fælles beregningsregler: startdagen tæller ikke med, og en frist der udløber i en weekend eller på en helligdag, rykkes til næste hverdag. Maj-Britt skal bekræfte hjemmel, formentlig EU-forordning 1182/71, og hvordan reglerne anvendes.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Hvorfor det bliver bedre end Fristberegneren</w:t>
      </w:r>
    </w:p>
    <w:p>
      <w:r>
        <w:rPr>
          <w:rFonts w:ascii="Calibri" w:cs="Calibri" w:eastAsia="Calibri" w:hAnsi="Calibri"/>
        </w:rPr>
        <w:t xml:space="preserve">Fristberegneren beregner én minimumsfrist ad gangen og kender ikke tidsplanen. Fristtjekket vil: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tjekke alle frister i planen på én gang og køre igen ved hver revision,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vise margin i dage og ikke kun godkendt/fejl,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gøre beregningsreglerne synlige, herunder kalenderdage og arbejdsdage,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dokumentere hjemmel og forudsætninger for hvert tjek, så rapporten kan indgå i udbudsdokumentationen,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farve en frist-milepæl rød i den visuelle plan, når tjekket fejler.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Designprincipper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Regelkataloget ligger som data (JSON eller Excel), ikke som kode, og det valideres af Maj-Britt.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Værktøjet melder "minimumsfrist overholdt under forudsætning af X", aldrig "lovligt". Det skal undgå at give falsk tryghed.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Fristberegneren bruges som facit: de samme scenarier køres gennem begge værktøjer som regressionstest.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Næste skridt (foreslået rækkefølge)</w:t>
      </w:r>
    </w:p>
    <w:p>
      <w:pPr>
        <w:pStyle w:val="ListParagraph"/>
        <w:numPr>
          <w:ilvl w:val="0"/>
          <w:numId w:val="5"/>
        </w:numPr>
      </w:pPr>
      <w:r>
        <w:rPr>
          <w:rFonts w:ascii="Calibri" w:cs="Calibri" w:eastAsia="Calibri" w:hAnsi="Calibri"/>
        </w:rPr>
        <w:t xml:space="preserve">Upload template-filerne til projektets filer.</w:t>
      </w:r>
    </w:p>
    <w:p>
      <w:pPr>
        <w:pStyle w:val="ListParagraph"/>
        <w:numPr>
          <w:ilvl w:val="0"/>
          <w:numId w:val="5"/>
        </w:numPr>
      </w:pPr>
      <w:r>
        <w:rPr>
          <w:rFonts w:ascii="Calibri" w:cs="Calibri" w:eastAsia="Calibri" w:hAnsi="Calibri"/>
        </w:rPr>
        <w:t xml:space="preserve">Send regelkataloget (afsnit 6) til Maj-Britt til validering, herunder fristberegningsreglerne.</w:t>
      </w:r>
    </w:p>
    <w:p>
      <w:pPr>
        <w:pStyle w:val="ListParagraph"/>
        <w:numPr>
          <w:ilvl w:val="0"/>
          <w:numId w:val="5"/>
        </w:numPr>
      </w:pPr>
      <w:r>
        <w:rPr>
          <w:rFonts w:ascii="Calibri" w:cs="Calibri" w:eastAsia="Calibri" w:hAnsi="Calibri"/>
        </w:rPr>
        <w:t xml:space="preserve">Afklar § 134-tvetydigheden for 9/11 (afsnit 3, punkt 3).</w:t>
      </w:r>
    </w:p>
    <w:p>
      <w:pPr>
        <w:pStyle w:val="ListParagraph"/>
        <w:numPr>
          <w:ilvl w:val="0"/>
          <w:numId w:val="5"/>
        </w:numPr>
      </w:pPr>
      <w:r>
        <w:rPr>
          <w:rFonts w:ascii="Calibri" w:cs="Calibri" w:eastAsia="Calibri" w:hAnsi="Calibri"/>
        </w:rPr>
        <w:t xml:space="preserve">Tilføj de manglende 2027-helligdage i projektkalenderen (kendt hul, bekræftet i afsnit 3, punkt 1).</w:t>
      </w:r>
    </w:p>
    <w:p>
      <w:pPr>
        <w:pStyle w:val="ListParagraph"/>
        <w:numPr>
          <w:ilvl w:val="0"/>
          <w:numId w:val="5"/>
        </w:numPr>
      </w:pPr>
      <w:r>
        <w:rPr>
          <w:rFonts w:ascii="Calibri" w:cs="Calibri" w:eastAsia="Calibri" w:hAnsi="Calibri"/>
        </w:rPr>
        <w:t xml:space="preserve">Bekræft eller ret datoerne i lovgivningssporet.</w:t>
      </w:r>
    </w:p>
    <w:p>
      <w:pPr>
        <w:pStyle w:val="ListParagraph"/>
        <w:numPr>
          <w:ilvl w:val="0"/>
          <w:numId w:val="5"/>
        </w:numPr>
      </w:pPr>
      <w:r>
        <w:rPr>
          <w:rFonts w:ascii="Calibri" w:cs="Calibri" w:eastAsia="Calibri" w:hAnsi="Calibri"/>
        </w:rPr>
        <w:t xml:space="preserve">Beslut rækkefølgen mellem integrationen (afsnit 4), paradigmeskabelonerne (afsnit 5) og fristtjekket (afsnit 6). Fristtjekket forudsætter feltet "Fristtype" fra skabelonerne.</w:t>
      </w:r>
    </w:p>
    <w:p>
      <w:pPr>
        <w:pStyle w:val="ListParagraph"/>
        <w:numPr>
          <w:ilvl w:val="0"/>
          <w:numId w:val="5"/>
        </w:numPr>
      </w:pPr>
      <w:r>
        <w:rPr>
          <w:rFonts w:ascii="Calibri" w:cs="Calibri" w:eastAsia="Calibri" w:hAnsi="Calibri"/>
        </w:rPr>
        <w:t xml:space="preserve">Når rækkefølgen ligger fast, skriver Claude briefs til Claude Code, én opgave ad gangen.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Filer fra sessionen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7"/>
        <w:gridCol w:w="5901"/>
      </w:tblGrid>
      <w:tr>
        <w:trPr>
          <w:cantSplit/>
          <w:tblHeader/>
        </w:trPr>
        <w:tc>
          <w:tcPr>
            <w:tcW w:type="dxa" w:w="3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44546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</w:t>
            </w:r>
          </w:p>
        </w:tc>
        <w:tc>
          <w:tcPr>
            <w:tcW w:type="dxa" w:w="5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44546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Indhold</w:t>
            </w:r>
          </w:p>
        </w:tc>
      </w:tr>
      <w:tr>
        <w:trPr>
          <w:cantSplit/>
          <w:tblHeader w:val="false"/>
        </w:trPr>
        <w:tc>
          <w:tcPr>
            <w:tcW w:type="dxa" w:w="3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DVR_tidsplan_visuel.pptx</w:t>
            </w:r>
          </w:p>
        </w:tc>
        <w:tc>
          <w:tcPr>
            <w:tcW w:type="dxa" w:w="5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 godkendte visuelle tidsplan</w:t>
            </w:r>
          </w:p>
        </w:tc>
      </w:tr>
      <w:tr>
        <w:trPr>
          <w:cantSplit/>
          <w:tblHeader w:val="false"/>
        </w:trPr>
        <w:tc>
          <w:tcPr>
            <w:tcW w:type="dxa" w:w="3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tidsplan_template/dvr_tidsplan.py</w:t>
            </w:r>
          </w:p>
        </w:tc>
        <w:tc>
          <w:tcPr>
            <w:tcW w:type="dxa" w:w="5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Generator (Excel til layout)</w:t>
            </w:r>
          </w:p>
        </w:tc>
      </w:tr>
      <w:tr>
        <w:trPr>
          <w:cantSplit/>
          <w:tblHeader w:val="false"/>
        </w:trPr>
        <w:tc>
          <w:tcPr>
            <w:tcW w:type="dxa" w:w="3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tidsplan_template/draw.js</w:t>
            </w:r>
          </w:p>
        </w:tc>
        <w:tc>
          <w:tcPr>
            <w:tcW w:type="dxa" w:w="5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Renderer (layout til pptx)</w:t>
            </w:r>
          </w:p>
        </w:tc>
      </w:tr>
      <w:tr>
        <w:trPr>
          <w:cantSplit/>
          <w:tblHeader w:val="false"/>
        </w:trPr>
        <w:tc>
          <w:tcPr>
            <w:tcW w:type="dxa" w:w="3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tidsplan_template/README_tidsplan.md</w:t>
            </w:r>
          </w:p>
        </w:tc>
        <w:tc>
          <w:tcPr>
            <w:tcW w:type="dxa" w:w="5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Vejledning</w:t>
            </w:r>
          </w:p>
        </w:tc>
      </w:tr>
      <w:tr>
        <w:trPr>
          <w:cantSplit/>
          <w:tblHeader w:val="false"/>
        </w:trPr>
        <w:tc>
          <w:tcPr>
            <w:tcW w:type="dxa" w:w="3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Kildefiler</w:t>
            </w:r>
          </w:p>
        </w:tc>
        <w:tc>
          <w:tcPr>
            <w:tcW w:type="dxa" w:w="5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Eva_tidsplan_04-09-26_.pptx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Udbud_af__DVR_10-09-26.xlsx</w:t>
            </w:r>
          </w:p>
        </w:tc>
      </w:tr>
    </w:tbl>
    <w:p>
      <w:pPr>
        <w:spacing w:after="6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Side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lowerLetter"/>
      <w:lvlText w:val="%2)"/>
      <w:lvlJc w:val="left"/>
      <w:pPr>
        <w:ind w:left="7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lowerLetter"/>
      <w:lvlText w:val="%2)"/>
      <w:lvlJc w:val="left"/>
      <w:pPr>
        <w:ind w:left="7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lowerLetter"/>
      <w:lvlText w:val="%2)"/>
      <w:lvlJc w:val="left"/>
      <w:pPr>
        <w:ind w:left="7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lowerLetter"/>
      <w:lvlText w:val="%2)"/>
      <w:lvlJc w:val="left"/>
      <w:pPr>
        <w:ind w:left="72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lowerLetter"/>
      <w:lvlText w:val="%2)"/>
      <w:lvlJc w:val="left"/>
      <w:pPr>
        <w:ind w:left="72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lowerLetter"/>
      <w:lvlText w:val="%2)"/>
      <w:lvlJc w:val="left"/>
      <w:pPr>
        <w:ind w:left="72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lowerLetter"/>
      <w:lvlText w:val="%2)"/>
      <w:lvlJc w:val="left"/>
      <w:pPr>
        <w:ind w:left="72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lowerLetter"/>
      <w:lvlText w:val="%2)"/>
      <w:lvlJc w:val="left"/>
      <w:pPr>
        <w:ind w:left="72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lowerLetter"/>
      <w:lvlText w:val="%2)"/>
      <w:lvlJc w:val="left"/>
      <w:pPr>
        <w:ind w:left="72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lowerLetter"/>
      <w:lvlText w:val="%2)"/>
      <w:lvlJc w:val="left"/>
      <w:pPr>
        <w:ind w:left="72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lowerLetter"/>
      <w:lvlText w:val="%2)"/>
      <w:lvlJc w:val="left"/>
      <w:pPr>
        <w:ind w:left="72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lowerLetter"/>
      <w:lvlText w:val="%2)"/>
      <w:lvlJc w:val="left"/>
      <w:pPr>
        <w:ind w:left="7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2A3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F4B6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2026-09-10T08:10:32.531Z</dcterms:created>
  <dcterms:modified xsi:type="dcterms:W3CDTF">2026-09-10T08:10:32.531Z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