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Work Sans Light" w:cs="Work Sans Light" w:eastAsia="Work Sans Light" w:hAnsi="Work Sans Light"/>
        </w:rPr>
      </w:pPr>
      <w:r w:rsidDel="00000000" w:rsidR="00000000" w:rsidRPr="00000000">
        <w:rPr>
          <w:rFonts w:ascii="Work Sans Light" w:cs="Work Sans Light" w:eastAsia="Work Sans Light" w:hAnsi="Work Sans Light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tbl>
      <w:tblPr>
        <w:tblStyle w:val="Table1"/>
        <w:tblW w:w="139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9075"/>
        <w:gridCol w:w="1605"/>
        <w:gridCol w:w="1395"/>
        <w:tblGridChange w:id="0">
          <w:tblGrid>
            <w:gridCol w:w="1890"/>
            <w:gridCol w:w="9075"/>
            <w:gridCol w:w="1605"/>
            <w:gridCol w:w="13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Individual Learning Plan (ILP) 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Learner: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Samir Mosawi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11/04/24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Work Sans Light" w:cs="Work Sans Light" w:eastAsia="Work Sans Light" w:hAnsi="Work Sans Light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40"/>
        <w:gridCol w:w="10380"/>
        <w:tblGridChange w:id="0">
          <w:tblGrid>
            <w:gridCol w:w="3540"/>
            <w:gridCol w:w="1038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Recognition of prior learning?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i w:val="1"/>
                <w:sz w:val="16"/>
                <w:szCs w:val="16"/>
                <w:rtl w:val="0"/>
              </w:rPr>
              <w:t xml:space="preserve">(does the learner have any qualifications related to driving i.e. examiner, driving instructor or driving body qualification)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College Mechanical engineering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University Motor Sports Tech Bsc Hons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MOT Tester, Light vehicle technician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Additional Learning requirements? 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i w:val="1"/>
                <w:sz w:val="16"/>
                <w:szCs w:val="16"/>
                <w:rtl w:val="0"/>
              </w:rPr>
              <w:t xml:space="preserve">(are we aware of any learning requirements have these been disclosed in the recruitment process)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Nothing Disclosed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Learning Style?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i w:val="1"/>
                <w:sz w:val="16"/>
                <w:szCs w:val="16"/>
                <w:rtl w:val="0"/>
              </w:rPr>
              <w:t xml:space="preserve">(Has the learner completed the VARK Questionnaire)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Kinesthetic Learner (Discussed)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Work Sans Light" w:cs="Work Sans Light" w:eastAsia="Work Sans Light" w:hAnsi="Work Sans Light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957.79527559055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4.6100077166855"/>
        <w:gridCol w:w="3001.39080141148"/>
        <w:gridCol w:w="3452.9274706503747"/>
        <w:gridCol w:w="2802.1834473354966"/>
        <w:gridCol w:w="1673.3417742382587"/>
        <w:gridCol w:w="1673.3417742382587"/>
        <w:tblGridChange w:id="0">
          <w:tblGrid>
            <w:gridCol w:w="1354.6100077166855"/>
            <w:gridCol w:w="3001.39080141148"/>
            <w:gridCol w:w="3452.9274706503747"/>
            <w:gridCol w:w="2802.1834473354966"/>
            <w:gridCol w:w="1673.3417742382587"/>
            <w:gridCol w:w="1673.341774238258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Learning Aims?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i w:val="1"/>
                <w:sz w:val="16"/>
                <w:szCs w:val="16"/>
                <w:rtl w:val="0"/>
              </w:rPr>
              <w:t xml:space="preserve">(In this section set deadlines and aims to complete training and also any additional learning/courses i.e. fleetio, clockify, slack. first aid, course deadlines)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Date Set: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Goals/Objectives: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How to achieve this: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Support/Resource: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Target Date: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Achieved Date: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11/04/24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Unit 1 - High Standard driving &amp; Data 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Training using resources and practical 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Google Classroom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QA Coordinators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25/04/24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11/04/24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11/04/24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Unit 2 - Closed Road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Millbrook testing, learning to drive with AV and then going to be assessed.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Google Classroom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QA Coordinators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25/04/24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11/04/24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Unit 3 - Open Road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Open road testing once completed my Unit 2 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Test on all Level routes from Level 1 to Level 4 to prepare myself for assessment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Google Classroom 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QA Coordinators 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Work Sans Light" w:cs="Work Sans Light" w:eastAsia="Work Sans Light" w:hAnsi="Work Sans Light"/>
                <w:u w:val="none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AVSOs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25/04/24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rFonts w:ascii="Work Sans Light" w:cs="Work Sans Light" w:eastAsia="Work Sans Light" w:hAnsi="Work Sans Light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450"/>
        <w:gridCol w:w="1020"/>
        <w:gridCol w:w="4380"/>
        <w:tblGridChange w:id="0">
          <w:tblGrid>
            <w:gridCol w:w="2070"/>
            <w:gridCol w:w="6450"/>
            <w:gridCol w:w="1020"/>
            <w:gridCol w:w="438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Trainer Signature: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Kieran Merrett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11/04/24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Learner Signature: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Samir Mosawi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Work Sans Light" w:cs="Work Sans Light" w:eastAsia="Work Sans Light" w:hAnsi="Work Sans Light"/>
              </w:rPr>
            </w:pPr>
            <w:r w:rsidDel="00000000" w:rsidR="00000000" w:rsidRPr="00000000">
              <w:rPr>
                <w:rFonts w:ascii="Work Sans Light" w:cs="Work Sans Light" w:eastAsia="Work Sans Light" w:hAnsi="Work Sans Light"/>
                <w:rtl w:val="0"/>
              </w:rPr>
              <w:t xml:space="preserve">11/04/24dr</w:t>
            </w:r>
          </w:p>
        </w:tc>
      </w:tr>
    </w:tbl>
    <w:p w:rsidR="00000000" w:rsidDel="00000000" w:rsidP="00000000" w:rsidRDefault="00000000" w:rsidRPr="00000000" w14:paraId="00000046">
      <w:pPr>
        <w:rPr>
          <w:rFonts w:ascii="Work Sans Light" w:cs="Work Sans Light" w:eastAsia="Work Sans Light" w:hAnsi="Work Sans Light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Work Sans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47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New Starter Training 02/08/23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8039100</wp:posOffset>
          </wp:positionH>
          <wp:positionV relativeFrom="paragraph">
            <wp:posOffset>-342897</wp:posOffset>
          </wp:positionV>
          <wp:extent cx="728663" cy="72866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8663" cy="7286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10" Type="http://schemas.openxmlformats.org/officeDocument/2006/relationships/header" Target="header1.xml"/><Relationship Id="rId9" Type="http://schemas.openxmlformats.org/officeDocument/2006/relationships/hyperlink" Target="mailto:samir.mosawi@wayve.ai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mailto:samir.mosawi@wayve.ai" TargetMode="External"/><Relationship Id="rId8" Type="http://schemas.openxmlformats.org/officeDocument/2006/relationships/hyperlink" Target="mailto:kieran.merrett@wayve.a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WorkSansLight-regular.ttf"/><Relationship Id="rId2" Type="http://schemas.openxmlformats.org/officeDocument/2006/relationships/font" Target="fonts/WorkSansLight-bold.ttf"/><Relationship Id="rId3" Type="http://schemas.openxmlformats.org/officeDocument/2006/relationships/font" Target="fonts/WorkSansLight-italic.ttf"/><Relationship Id="rId4" Type="http://schemas.openxmlformats.org/officeDocument/2006/relationships/font" Target="fonts/WorkSansLight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