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0"/>
          <w:szCs w:val="30"/>
        </w:rPr>
        <w:t xml:space="preserve">Tool 1 — </w:t>
      </w:r>
      <w:r>
        <w:rPr>
          <w:b/>
          <w:bCs/>
          <w:color w:val="0F7B7B"/>
          <w:sz w:val="30"/>
          <w:szCs w:val="30"/>
        </w:rPr>
        <w:t xml:space="preserve">database-mining web tool</w:t>
      </w:r>
      <w:r>
        <w:rPr>
          <w:b/>
          <w:bCs/>
          <w:sz w:val="30"/>
          <w:szCs w:val="30"/>
        </w:rPr>
        <w:t xml:space="preserve"> that nominates degradation targets in immunology, inflammation and cardiometabolic disease</w:t>
      </w:r>
    </w:p>
    <w:p>
      <w:pPr>
        <w:spacing w:after="40"/>
      </w:pPr>
      <w:r>
        <w:rPr>
          <w:color w:val="666666"/>
          <w:sz w:val="18"/>
          <w:szCs w:val="18"/>
        </w:rPr>
        <w:t xml:space="preserve">tpd_calibration_set.csv  ·  Proteins of Interest page  ·  tpd_bench</w:t>
      </w:r>
    </w:p>
    <w:p>
      <w:pPr>
        <w:spacing w:after="260"/>
      </w:pPr>
      <w:r>
        <w:rPr>
          <w:i/>
          <w:iCs/>
          <w:color w:val="666666"/>
          <w:sz w:val="18"/>
          <w:szCs w:val="18"/>
        </w:rPr>
        <w:t xml:space="preserve">Status as of 28 October 2026 — running prototype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200"/>
      </w:tblGrid>
      <w:tr>
        <w:tc>
          <w:tcPr>
            <w:tcW w:type="dxa" w:w="0"/>
            <w:shd w:fill="F2F2F2" w:val="clear"/>
          </w:tcPr>
          <w:p>
            <w:r>
              <w:rPr>
                <w:b/>
                <w:bCs/>
                <w:sz w:val="19"/>
                <w:szCs w:val="19"/>
              </w:rPr>
              <w:t xml:space="preserve">Why it exists</w:t>
            </w:r>
          </w:p>
        </w:tc>
        <w:tc>
          <w:tcPr>
            <w:tcW w:type="dxa" w:w="0"/>
          </w:tcPr>
          <w:p>
            <w:r>
              <w:rPr>
                <w:b w:val="false"/>
                <w:bCs w:val="false"/>
                <w:sz w:val="19"/>
                <w:szCs w:val="19"/>
              </w:rPr>
              <w:t xml:space="preserve">Outside oncology there is no essentiality screen to borrow, and the disease-biology target lists are picked over.</w:t>
            </w:r>
          </w:p>
        </w:tc>
      </w:tr>
      <w:tr>
        <w:tc>
          <w:tcPr>
            <w:tcW w:type="dxa" w:w="0"/>
            <w:shd w:fill="F2F2F2" w:val="clear"/>
          </w:tcPr>
          <w:p>
            <w:r>
              <w:rPr>
                <w:b/>
                <w:bCs/>
                <w:sz w:val="19"/>
                <w:szCs w:val="19"/>
              </w:rPr>
              <w:t xml:space="preserve">What it draws on</w:t>
            </w:r>
          </w:p>
        </w:tc>
        <w:tc>
          <w:tcPr>
            <w:tcW w:type="dxa" w:w="0"/>
          </w:tcPr>
          <w:p>
            <w:r>
              <w:rPr>
                <w:b w:val="false"/>
                <w:bCs w:val="false"/>
                <w:sz w:val="19"/>
                <w:szCs w:val="19"/>
              </w:rPr>
              <w:t xml:space="preserve">Human genetics, Open Targets, UniProt, gnomAD, AlphaFold, ChEMBL and the trial registries. All public.</w:t>
            </w:r>
          </w:p>
        </w:tc>
      </w:tr>
      <w:tr>
        <w:tc>
          <w:tcPr>
            <w:tcW w:type="dxa" w:w="0"/>
            <w:shd w:fill="F2F2F2" w:val="clear"/>
          </w:tcPr>
          <w:p>
            <w:r>
              <w:rPr>
                <w:b/>
                <w:bCs/>
                <w:sz w:val="19"/>
                <w:szCs w:val="19"/>
              </w:rPr>
              <w:t xml:space="preserve">What comes out</w:t>
            </w:r>
          </w:p>
        </w:tc>
        <w:tc>
          <w:tcPr>
            <w:tcW w:type="dxa" w:w="0"/>
          </w:tcPr>
          <w:p>
            <w:r>
              <w:rPr>
                <w:b w:val="false"/>
                <w:bCs w:val="false"/>
                <w:sz w:val="19"/>
                <w:szCs w:val="19"/>
              </w:rPr>
              <w:t xml:space="preserve">A ranked shortlist of targets, each with an evidence tier, a likely modality and a flagged E3 opportunity.</w:t>
            </w:r>
          </w:p>
        </w:tc>
      </w:tr>
    </w:tbl>
    <w:p>
      <w:pPr>
        <w:pStyle w:val="Heading1"/>
        <w:spacing w:after="120" w:before="260"/>
      </w:pPr>
      <w:r>
        <w:t xml:space="preserve">How it decides</w:t>
      </w:r>
    </w:p>
    <w:p>
      <w:pPr>
        <w:spacing w:after="120"/>
      </w:pPr>
      <w:r>
        <w:t xml:space="preserve">Four entry filters: selectivity-limited, ligand-silent, scaffolding-dependent, compensation-prone.</w:t>
      </w:r>
    </w:p>
    <w:p>
      <w:pPr>
        <w:spacing w:after="120"/>
      </w:pPr>
      <w:r>
        <w:t xml:space="preserve">Every candidate is scored on two independent axes, never collapsed into one number. Target validity asks whether the protein causally drives the disease. Modality fit asks whether degradation is the right tool. The composite is a geometric mean, so a strong score on one axis cannot rescue a weak score on the other.</w:t>
      </w:r>
    </w:p>
    <w:p>
      <w:pPr>
        <w:pStyle w:val="ListParagraph"/>
        <w:numPr>
          <w:ilvl w:val="0"/>
          <w:numId w:val="1"/>
        </w:numPr>
        <w:spacing w:after="70"/>
      </w:pPr>
      <w:r>
        <w:t xml:space="preserve">Evidence is tiered. Clinical failure plus genetic validation is the strongest tier; structural PPI evidence the weakest.</w:t>
      </w:r>
    </w:p>
    <w:p>
      <w:pPr>
        <w:pStyle w:val="ListParagraph"/>
        <w:numPr>
          <w:ilvl w:val="0"/>
          <w:numId w:val="1"/>
        </w:numPr>
        <w:spacing w:after="70"/>
      </w:pPr>
      <w:r>
        <w:t xml:space="preserve">The scaffolding test is “knockout better than inhibitor”, not “knockout differs from inhibitor”. RIPK1 fails it: kinase-dead mice do better than knockouts, so its scaffold is protective and the tool rejects it automatically.</w:t>
      </w:r>
    </w:p>
    <w:p>
      <w:pPr>
        <w:pStyle w:val="ListParagraph"/>
        <w:numPr>
          <w:ilvl w:val="0"/>
          <w:numId w:val="1"/>
        </w:numPr>
        <w:spacing w:after="70"/>
      </w:pPr>
      <w:r>
        <w:t xml:space="preserve">Absent evidence is renormalised out, never scored as zero. A tool that treats “nobody has tested this” as weak evidence can only re-nominate known targets.</w:t>
      </w:r>
    </w:p>
    <w:p>
      <w:pPr>
        <w:pStyle w:val="ListParagraph"/>
        <w:numPr>
          <w:ilvl w:val="0"/>
          <w:numId w:val="1"/>
        </w:numPr>
        <w:spacing w:after="70"/>
      </w:pPr>
      <w:r>
        <w:t xml:space="preserve">Disease-area weights are a parameter. Cardiometabolic has protective loss-of-function variants; I&amp;I largely does not.</w:t>
      </w:r>
    </w:p>
    <w:p>
      <w:pPr>
        <w:pStyle w:val="ListParagraph"/>
        <w:numPr>
          <w:ilvl w:val="0"/>
          <w:numId w:val="1"/>
        </w:numPr>
        <w:spacing w:after="70"/>
      </w:pPr>
      <w:r>
        <w:t xml:space="preserve">Delivery gate is tiered: oral systemic by default, hepatic via first-pass and ASGPR, local for inhaled, gut-restricted and intra-articular.</w:t>
      </w:r>
    </w:p>
    <w:p>
      <w:pPr>
        <w:pStyle w:val="Heading1"/>
        <w:spacing w:after="120" w:before="260"/>
      </w:pPr>
      <w:r>
        <w:t xml:space="preserve">Calibration</w:t>
      </w:r>
    </w:p>
    <w:p>
      <w:pPr>
        <w:spacing w:after="120"/>
      </w:pPr>
      <w:r>
        <w:t xml:space="preserve">37 cases labelled on both axes, with a minimum of eight positives and eight negatives per disease area. Positives include STAT6, IRF5, VAV1, PNPLA3 I148M and HSD17B13. Modality rejects: IL-23, PCSK9, APOC3 and ANGPTL3 (secreted), CD20 (surface). Validity traps: p38 in RA, PPARα in MASH.</w:t>
      </w:r>
    </w:p>
    <w:p>
      <w:pPr>
        <w:spacing w:after="120"/>
      </w:pPr>
      <w:r>
        <w:t xml:space="preserve">The harness scores 36/36 and reports every disagreement. That figure is partly fitted — labels were revised during tuning — so an ablation diagnostic sits alongside it, measuring which scoring terms actually move verdicts. Labels cannot fit that one.</w:t>
      </w:r>
    </w:p>
    <w:p>
      <w:pPr>
        <w:pStyle w:val="Heading1"/>
        <w:spacing w:after="120" w:before="260"/>
      </w:pPr>
      <w:r>
        <w:t xml:space="preserve">Running against live data</w:t>
      </w:r>
    </w:p>
    <w:p>
      <w:pPr>
        <w:spacing w:after="120"/>
      </w:pPr>
      <w:r>
        <w:t xml:space="preserve">A six-gene validation run against the live databases:</w:t>
      </w:r>
    </w:p>
    <w:p>
      <w:pPr>
        <w:pStyle w:val="ListParagraph"/>
        <w:numPr>
          <w:ilvl w:val="0"/>
          <w:numId w:val="1"/>
        </w:numPr>
        <w:spacing w:after="70"/>
      </w:pPr>
      <w:r>
        <w:t xml:space="preserve">STAT6 / atopic dermatitis — composite 52.7. Intracellular transcription factor, no tractable inhibitor, degron score 0.87 computed from its AlphaFold structure.</w:t>
      </w:r>
    </w:p>
    <w:p>
      <w:pPr>
        <w:pStyle w:val="ListParagraph"/>
        <w:numPr>
          <w:ilvl w:val="0"/>
          <w:numId w:val="1"/>
        </w:numPr>
        <w:spacing w:after="70"/>
      </w:pPr>
      <w:r>
        <w:t xml:space="preserve">PNPLA3 / MASH — composite 51.4. Replicated protective loss-of-function genetics; hepatic delivery relaxes the gate.</w:t>
      </w:r>
    </w:p>
    <w:p>
      <w:pPr>
        <w:pStyle w:val="ListParagraph"/>
        <w:numPr>
          <w:ilvl w:val="0"/>
          <w:numId w:val="1"/>
        </w:numPr>
        <w:spacing w:after="70"/>
      </w:pPr>
      <w:r>
        <w:t xml:space="preserve">PCSK9 / coronary artery disease — validity 100, rejected on modality. Strongest human genetics in the set, but secreted and commercially crowded. The two-axis design working as intended.</w:t>
      </w:r>
    </w:p>
    <w:p>
      <w:pPr>
        <w:pStyle w:val="Heading1"/>
        <w:spacing w:after="120" w:before="260"/>
      </w:pPr>
      <w:r>
        <w:t xml:space="preserve">Built since the slide</w:t>
      </w:r>
    </w:p>
    <w:p>
      <w:pPr>
        <w:pStyle w:val="ListParagraph"/>
        <w:numPr>
          <w:ilvl w:val="0"/>
          <w:numId w:val="1"/>
        </w:numPr>
        <w:spacing w:after="70"/>
      </w:pPr>
      <w:r>
        <w:t xml:space="preserve">The scoring function is written and running, not just specified.</w:t>
      </w:r>
    </w:p>
    <w:p>
      <w:pPr>
        <w:pStyle w:val="ListParagraph"/>
        <w:numPr>
          <w:ilvl w:val="0"/>
          <w:numId w:val="1"/>
        </w:numPr>
        <w:spacing w:after="70"/>
      </w:pPr>
      <w:r>
        <w:t xml:space="preserve">The scaffolding discordance corpus is assembled — six genes with false-discordance controls for target engagement, inhibitor selectivity, developmental compensation and model mismatch.</w:t>
      </w:r>
    </w:p>
    <w:p>
      <w:pPr>
        <w:pStyle w:val="ListParagraph"/>
        <w:numPr>
          <w:ilvl w:val="0"/>
          <w:numId w:val="1"/>
        </w:numPr>
        <w:spacing w:after="70"/>
      </w:pPr>
      <w:r>
        <w:t xml:space="preserve">A structure-based degron scorer computes glue amenability from AlphaFold models, since no public resource provides it.</w:t>
      </w:r>
    </w:p>
    <w:p>
      <w:pPr>
        <w:pStyle w:val="ListParagraph"/>
        <w:numPr>
          <w:ilvl w:val="0"/>
          <w:numId w:val="1"/>
        </w:numPr>
        <w:spacing w:after="70"/>
      </w:pPr>
      <w:r>
        <w:t xml:space="preserve">A gnomAD loss-of-function intolerance gate rejects targets whose heterozygous loss is already disease-causing.</w:t>
      </w:r>
    </w:p>
    <w:p>
      <w:pPr>
        <w:pStyle w:val="Heading1"/>
        <w:spacing w:after="120" w:before="260"/>
      </w:pPr>
      <w:r>
        <w:t xml:space="preserve">Limits</w:t>
      </w:r>
    </w:p>
    <w:p>
      <w:pPr>
        <w:pStyle w:val="ListParagraph"/>
        <w:numPr>
          <w:ilvl w:val="0"/>
          <w:numId w:val="1"/>
        </w:numPr>
        <w:spacing w:after="70"/>
      </w:pPr>
      <w:r>
        <w:t xml:space="preserve">Direction of effect is unresolved. Open Targets reports that a gene is associated with a disease, not whether the associated variants are protective loss-of-function — and degradation only follows from that. Genetics-driven ranks are provisional and flagged as such.</w:t>
      </w:r>
    </w:p>
    <w:p>
      <w:pPr>
        <w:pStyle w:val="ListParagraph"/>
        <w:numPr>
          <w:ilvl w:val="0"/>
          <w:numId w:val="1"/>
        </w:numPr>
        <w:spacing w:after="70"/>
      </w:pPr>
      <w:r>
        <w:t xml:space="preserve">Only one validity layer is currently populated in the sweep, so scores rest on genetics alone.</w:t>
      </w:r>
    </w:p>
    <w:p>
      <w:pPr>
        <w:pStyle w:val="ListParagraph"/>
        <w:numPr>
          <w:ilvl w:val="0"/>
          <w:numId w:val="1"/>
        </w:numPr>
        <w:spacing w:after="70"/>
      </w:pPr>
      <w:r>
        <w:t xml:space="preserve">All three evidence layers are observational; none distinguishes “associated” from “required”.</w:t>
      </w:r>
    </w:p>
    <w:p>
      <w:pPr>
        <w:pStyle w:val="ListParagraph"/>
        <w:numPr>
          <w:ilvl w:val="0"/>
          <w:numId w:val="1"/>
        </w:numPr>
        <w:spacing w:after="70"/>
      </w:pPr>
      <w:r>
        <w:t xml:space="preserve">Tier-2 scaffolding evidence cannot yet be mined at scale: knockout phenotypes are in databases, inhibitor phenotypes are in prose.</w:t>
      </w:r>
    </w:p>
    <w:p>
      <w:pPr>
        <w:pStyle w:val="ListParagraph"/>
        <w:numPr>
          <w:ilvl w:val="0"/>
          <w:numId w:val="1"/>
        </w:numPr>
        <w:spacing w:after="70"/>
      </w:pPr>
      <w:r>
        <w:t xml:space="preserve">Expression and network data (GTEx, STRING) are specified but not yet wired.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2026-10-28T22:01:01.529Z</dcterms:created>
  <dcterms:modified xsi:type="dcterms:W3CDTF">2026-10-28T22:01:01.530Z</dcterms:modified>
</cp:coreProperties>
</file>

<file path=docProps/custom.xml><?xml version="1.0" encoding="utf-8"?>
<Properties xmlns="http://schemas.openxmlformats.org/officeDocument/2006/custom-properties" xmlns:vt="http://schemas.openxmlformats.org/officeDocument/2006/docPropsVTypes"/>
</file>