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54"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rebuchet MS" w:hAnsi="Trebuchet MS" w:cs="Trebuchet MS" w:eastAsia="Trebuchet MS"/>
          <w:b/>
          <w:color w:val="auto"/>
          <w:spacing w:val="0"/>
          <w:position w:val="0"/>
          <w:sz w:val="28"/>
          <w:shd w:fill="auto" w:val="clear"/>
        </w:rPr>
      </w:pPr>
      <w:r>
        <w:rPr>
          <w:rFonts w:ascii="Trebuchet MS" w:hAnsi="Trebuchet MS" w:cs="Trebuchet MS" w:eastAsia="Trebuchet MS"/>
          <w:b/>
          <w:color w:val="auto"/>
          <w:spacing w:val="0"/>
          <w:position w:val="0"/>
          <w:sz w:val="28"/>
          <w:shd w:fill="auto" w:val="clear"/>
        </w:rPr>
        <w:t xml:space="preserve">Crecimiento económico y eficiencia: Análisis cuantitativo de la contribución del capital, empleo y PTF mediante Python</w:t>
      </w:r>
    </w:p>
    <w:p>
      <w:pPr>
        <w:spacing w:before="0" w:after="0" w:line="240"/>
        <w:ind w:right="0" w:left="0" w:firstLine="0"/>
        <w:jc w:val="left"/>
        <w:rPr>
          <w:rFonts w:ascii="Trebuchet MS" w:hAnsi="Trebuchet MS" w:cs="Trebuchet MS" w:eastAsia="Trebuchet MS"/>
          <w:b/>
          <w:color w:val="auto"/>
          <w:spacing w:val="0"/>
          <w:position w:val="0"/>
          <w:sz w:val="28"/>
          <w:shd w:fill="auto" w:val="clear"/>
        </w:rPr>
      </w:pPr>
    </w:p>
    <w:p>
      <w:pPr>
        <w:spacing w:before="0" w:after="0" w:line="240"/>
        <w:ind w:right="0" w:left="0" w:firstLine="0"/>
        <w:jc w:val="left"/>
        <w:rPr>
          <w:rFonts w:ascii="Trebuchet MS" w:hAnsi="Trebuchet MS" w:cs="Trebuchet MS" w:eastAsia="Trebuchet MS"/>
          <w:b/>
          <w:color w:val="auto"/>
          <w:spacing w:val="0"/>
          <w:position w:val="0"/>
          <w:sz w:val="28"/>
          <w:shd w:fill="auto" w:val="clear"/>
        </w:rPr>
      </w:pPr>
      <w:r>
        <w:rPr>
          <w:rFonts w:ascii="Trebuchet MS" w:hAnsi="Trebuchet MS" w:cs="Trebuchet MS" w:eastAsia="Trebuchet MS"/>
          <w:b/>
          <w:color w:val="auto"/>
          <w:spacing w:val="0"/>
          <w:position w:val="0"/>
          <w:sz w:val="28"/>
          <w:shd w:fill="auto" w:val="clear"/>
        </w:rPr>
        <w:t xml:space="preserve">Asignatura: Crecimiento económico. </w:t>
      </w:r>
    </w:p>
    <w:p>
      <w:pPr>
        <w:spacing w:before="0" w:after="0" w:line="240"/>
        <w:ind w:right="0" w:left="0" w:firstLine="0"/>
        <w:jc w:val="left"/>
        <w:rPr>
          <w:rFonts w:ascii="Trebuchet MS" w:hAnsi="Trebuchet MS" w:cs="Trebuchet MS" w:eastAsia="Trebuchet MS"/>
          <w:b/>
          <w:color w:val="auto"/>
          <w:spacing w:val="0"/>
          <w:position w:val="0"/>
          <w:sz w:val="20"/>
          <w:shd w:fill="auto" w:val="clear"/>
        </w:rPr>
      </w:pPr>
    </w:p>
    <w:p>
      <w:pPr>
        <w:spacing w:before="0" w:after="0" w:line="240"/>
        <w:ind w:right="0" w:left="0" w:firstLine="0"/>
        <w:jc w:val="left"/>
        <w:rPr>
          <w:rFonts w:ascii="Trebuchet MS" w:hAnsi="Trebuchet MS" w:cs="Trebuchet MS" w:eastAsia="Trebuchet MS"/>
          <w:b/>
          <w:color w:val="auto"/>
          <w:spacing w:val="0"/>
          <w:position w:val="0"/>
          <w:sz w:val="20"/>
          <w:shd w:fill="auto" w:val="clear"/>
        </w:rPr>
      </w:pPr>
      <w:r>
        <w:rPr>
          <w:rFonts w:ascii="Trebuchet MS" w:hAnsi="Trebuchet MS" w:cs="Trebuchet MS" w:eastAsia="Trebuchet MS"/>
          <w:b/>
          <w:color w:val="auto"/>
          <w:spacing w:val="0"/>
          <w:position w:val="0"/>
          <w:sz w:val="20"/>
          <w:shd w:fill="auto" w:val="clear"/>
        </w:rPr>
        <w:t xml:space="preserve">Fecha: 25-26</w:t>
      </w:r>
    </w:p>
    <w:p>
      <w:pPr>
        <w:spacing w:before="0" w:after="0" w:line="240"/>
        <w:ind w:right="0" w:left="0" w:firstLine="0"/>
        <w:jc w:val="left"/>
        <w:rPr>
          <w:rFonts w:ascii="Trebuchet MS" w:hAnsi="Trebuchet MS" w:cs="Trebuchet MS" w:eastAsia="Trebuchet MS"/>
          <w:b/>
          <w:color w:val="auto"/>
          <w:spacing w:val="0"/>
          <w:position w:val="0"/>
          <w:sz w:val="28"/>
          <w:shd w:fill="auto" w:val="clear"/>
        </w:rPr>
      </w:pPr>
    </w:p>
    <w:p>
      <w:pPr>
        <w:spacing w:before="62" w:after="0" w:line="240"/>
        <w:ind w:right="0" w:left="0" w:firstLine="0"/>
        <w:jc w:val="left"/>
        <w:rPr>
          <w:rFonts w:ascii="Trebuchet MS" w:hAnsi="Trebuchet MS" w:cs="Trebuchet MS" w:eastAsia="Trebuchet MS"/>
          <w:b/>
          <w:color w:val="auto"/>
          <w:spacing w:val="0"/>
          <w:position w:val="0"/>
          <w:sz w:val="28"/>
          <w:shd w:fill="auto" w:val="clear"/>
        </w:rPr>
      </w:pPr>
    </w:p>
    <w:p>
      <w:pPr>
        <w:spacing w:before="0" w:after="0" w:line="252"/>
        <w:ind w:right="0" w:left="721" w:hanging="360"/>
        <w:jc w:val="left"/>
        <w:rPr>
          <w:rFonts w:ascii="Trebuchet MS" w:hAnsi="Trebuchet MS" w:cs="Trebuchet MS" w:eastAsia="Trebuchet MS"/>
          <w:color w:val="auto"/>
          <w:spacing w:val="0"/>
          <w:position w:val="0"/>
          <w:sz w:val="28"/>
          <w:shd w:fill="auto" w:val="clear"/>
        </w:rPr>
      </w:pPr>
      <w:r>
        <w:rPr>
          <w:rFonts w:ascii="Trebuchet MS" w:hAnsi="Trebuchet MS" w:cs="Trebuchet MS" w:eastAsia="Trebuchet MS"/>
          <w:color w:val="auto"/>
          <w:spacing w:val="0"/>
          <w:position w:val="0"/>
          <w:sz w:val="28"/>
          <w:shd w:fill="auto" w:val="clear"/>
        </w:rPr>
        <w:t xml:space="preserve">Autor:</w:t>
      </w:r>
      <w:r>
        <w:rPr>
          <w:rFonts w:ascii="Trebuchet MS" w:hAnsi="Trebuchet MS" w:cs="Trebuchet MS" w:eastAsia="Trebuchet MS"/>
          <w:color w:val="auto"/>
          <w:spacing w:val="-3"/>
          <w:position w:val="0"/>
          <w:sz w:val="28"/>
          <w:shd w:fill="auto" w:val="clear"/>
        </w:rPr>
        <w:t xml:space="preserve"> </w:t>
      </w:r>
      <w:r>
        <w:rPr>
          <w:rFonts w:ascii="Trebuchet MS" w:hAnsi="Trebuchet MS" w:cs="Trebuchet MS" w:eastAsia="Trebuchet MS"/>
          <w:color w:val="auto"/>
          <w:spacing w:val="0"/>
          <w:position w:val="0"/>
          <w:sz w:val="28"/>
          <w:shd w:fill="auto" w:val="clear"/>
        </w:rPr>
        <w:t xml:space="preserve">Kielson</w:t>
      </w:r>
      <w:r>
        <w:rPr>
          <w:rFonts w:ascii="Trebuchet MS" w:hAnsi="Trebuchet MS" w:cs="Trebuchet MS" w:eastAsia="Trebuchet MS"/>
          <w:color w:val="auto"/>
          <w:spacing w:val="-3"/>
          <w:position w:val="0"/>
          <w:sz w:val="28"/>
          <w:shd w:fill="auto" w:val="clear"/>
        </w:rPr>
        <w:t xml:space="preserve"> </w:t>
      </w:r>
      <w:r>
        <w:rPr>
          <w:rFonts w:ascii="Trebuchet MS" w:hAnsi="Trebuchet MS" w:cs="Trebuchet MS" w:eastAsia="Trebuchet MS"/>
          <w:color w:val="auto"/>
          <w:spacing w:val="0"/>
          <w:position w:val="0"/>
          <w:sz w:val="28"/>
          <w:shd w:fill="auto" w:val="clear"/>
        </w:rPr>
        <w:t xml:space="preserve">Luna</w:t>
      </w:r>
      <w:r>
        <w:rPr>
          <w:rFonts w:ascii="Trebuchet MS" w:hAnsi="Trebuchet MS" w:cs="Trebuchet MS" w:eastAsia="Trebuchet MS"/>
          <w:color w:val="auto"/>
          <w:spacing w:val="-7"/>
          <w:position w:val="0"/>
          <w:sz w:val="28"/>
          <w:shd w:fill="auto" w:val="clear"/>
        </w:rPr>
        <w:t xml:space="preserve"> </w:t>
      </w:r>
      <w:r>
        <w:rPr>
          <w:rFonts w:ascii="Trebuchet MS" w:hAnsi="Trebuchet MS" w:cs="Trebuchet MS" w:eastAsia="Trebuchet MS"/>
          <w:color w:val="auto"/>
          <w:spacing w:val="0"/>
          <w:position w:val="0"/>
          <w:sz w:val="28"/>
          <w:shd w:fill="auto" w:val="clear"/>
        </w:rPr>
        <w:t xml:space="preserve">Alvares</w:t>
      </w:r>
    </w:p>
    <w:p>
      <w:pPr>
        <w:spacing w:before="0" w:after="0" w:line="240"/>
        <w:ind w:right="0" w:left="0" w:firstLine="0"/>
        <w:jc w:val="left"/>
        <w:rPr>
          <w:rFonts w:ascii="Trebuchet MS" w:hAnsi="Trebuchet MS" w:cs="Trebuchet MS" w:eastAsia="Trebuchet MS"/>
          <w:color w:val="auto"/>
          <w:spacing w:val="0"/>
          <w:position w:val="0"/>
          <w:sz w:val="28"/>
          <w:shd w:fill="auto" w:val="clear"/>
        </w:rPr>
      </w:pPr>
    </w:p>
    <w:p>
      <w:pPr>
        <w:spacing w:before="2" w:after="0" w:line="240"/>
        <w:ind w:right="0" w:left="0" w:firstLine="0"/>
        <w:jc w:val="left"/>
        <w:rPr>
          <w:rFonts w:ascii="Trebuchet MS" w:hAnsi="Trebuchet MS" w:cs="Trebuchet MS" w:eastAsia="Trebuchet MS"/>
          <w:color w:val="auto"/>
          <w:spacing w:val="0"/>
          <w:position w:val="0"/>
          <w:sz w:val="28"/>
          <w:shd w:fill="auto" w:val="clear"/>
        </w:rPr>
      </w:pPr>
    </w:p>
    <w:p>
      <w:pPr>
        <w:numPr>
          <w:ilvl w:val="0"/>
          <w:numId w:val="8"/>
        </w:numPr>
        <w:tabs>
          <w:tab w:val="left" w:pos="721" w:leader="none"/>
        </w:tabs>
        <w:spacing w:before="0" w:after="0" w:line="240"/>
        <w:ind w:right="0" w:left="721"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2"/>
          <w:position w:val="0"/>
          <w:sz w:val="28"/>
          <w:shd w:fill="auto" w:val="clear"/>
        </w:rPr>
        <w:t xml:space="preserve">Introducción:</w:t>
      </w:r>
    </w:p>
    <w:p>
      <w:pPr>
        <w:spacing w:before="261" w:after="0" w:line="357"/>
        <w:ind w:right="293"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presente informe analiza la evolución económica de cinco países a lo largo de las últimas décadas:</w:t>
      </w:r>
    </w:p>
    <w:p>
      <w:pPr>
        <w:spacing w:before="257" w:after="0" w:line="360"/>
        <w:ind w:right="280"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España y Estados Unidos, Noruega, Bolivia y Marruecos, seleccionados por el grupo en función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 criterios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tanto económicos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como personales.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elección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Noruega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su condición de caso singular dentro de las economías avanzadas, su extraordinario desempeño en términos de PIB per cápita está estrechamente vinculado a la gestión de los recursos petroleros y a la acumulación de riqueza soberana a través del Gobierno de Pensiones Global, el mayor fondo soberano del mundo. Estudiar Noruega permite contrastar la senda de crecimiento de un país que ha transformado un recurso natural en prosperidad intergeneracional sostenida. Bolivia y Marruecos se eligieron para representar economías en vías de desarrollo de distintas regiones geográficas. Bolivia ofrece el interés de una economía latinoamericana fuertemente dependiente de recursos naturales minerales e hidrocarburos que ha experimentado ciclos pronunciados de expansión y ajuste, incluyendo episodios de hiperinflación, reformas estructurales y políticas redistributivas. Marruecos, por su parte, es una economía emergente del norte de África en proceso de transformación estructural, con una creciente integración en las cadenas de valor europeas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 una amplia reforma del sistema de protección social en marcha. La diversidad de países seleccionados permite comparar distintas dinámicas de crecimiento económico y analizar cómo factores como la estructura productiva, los recursos naturales o las instituciones influyen en la evolución de cada economía.</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32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3"/>
        </w:numPr>
        <w:tabs>
          <w:tab w:val="left" w:pos="721" w:leader="none"/>
        </w:tabs>
        <w:spacing w:before="0" w:after="0" w:line="240"/>
        <w:ind w:right="0" w:left="721"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Evolución</w:t>
      </w:r>
      <w:r>
        <w:rPr>
          <w:rFonts w:ascii="Times New Roman" w:hAnsi="Times New Roman" w:cs="Times New Roman" w:eastAsia="Times New Roman"/>
          <w:b/>
          <w:color w:val="auto"/>
          <w:spacing w:val="-2"/>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a</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lo</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largo</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del</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tiempo</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del</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PIB</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real</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per </w:t>
      </w:r>
      <w:r>
        <w:rPr>
          <w:rFonts w:ascii="Times New Roman" w:hAnsi="Times New Roman" w:cs="Times New Roman" w:eastAsia="Times New Roman"/>
          <w:b/>
          <w:color w:val="auto"/>
          <w:spacing w:val="-2"/>
          <w:position w:val="0"/>
          <w:sz w:val="28"/>
          <w:shd w:fill="auto" w:val="clear"/>
        </w:rPr>
        <w:t xml:space="preserve">cápita:</w:t>
      </w:r>
    </w:p>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162"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40"/>
        <w:ind w:right="0" w:left="1"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Evolución</w:t>
      </w:r>
      <w:r>
        <w:rPr>
          <w:rFonts w:ascii="Times New Roman" w:hAnsi="Times New Roman" w:cs="Times New Roman" w:eastAsia="Times New Roman"/>
          <w:b/>
          <w:color w:val="auto"/>
          <w:spacing w:val="-1"/>
          <w:position w:val="0"/>
          <w:sz w:val="24"/>
          <w:u w:val="single"/>
          <w:shd w:fill="auto" w:val="clear"/>
        </w:rPr>
        <w:t xml:space="preserve"> </w:t>
      </w:r>
      <w:r>
        <w:rPr>
          <w:rFonts w:ascii="Times New Roman" w:hAnsi="Times New Roman" w:cs="Times New Roman" w:eastAsia="Times New Roman"/>
          <w:b/>
          <w:color w:val="auto"/>
          <w:spacing w:val="0"/>
          <w:position w:val="0"/>
          <w:sz w:val="24"/>
          <w:u w:val="single"/>
          <w:shd w:fill="auto" w:val="clear"/>
        </w:rPr>
        <w:t xml:space="preserve">del</w:t>
      </w:r>
      <w:r>
        <w:rPr>
          <w:rFonts w:ascii="Times New Roman" w:hAnsi="Times New Roman" w:cs="Times New Roman" w:eastAsia="Times New Roman"/>
          <w:b/>
          <w:color w:val="auto"/>
          <w:spacing w:val="-4"/>
          <w:position w:val="0"/>
          <w:sz w:val="24"/>
          <w:u w:val="single"/>
          <w:shd w:fill="auto" w:val="clear"/>
        </w:rPr>
        <w:t xml:space="preserve"> </w:t>
      </w:r>
      <w:r>
        <w:rPr>
          <w:rFonts w:ascii="Times New Roman" w:hAnsi="Times New Roman" w:cs="Times New Roman" w:eastAsia="Times New Roman"/>
          <w:b/>
          <w:color w:val="auto"/>
          <w:spacing w:val="0"/>
          <w:position w:val="0"/>
          <w:sz w:val="24"/>
          <w:u w:val="single"/>
          <w:shd w:fill="auto" w:val="clear"/>
        </w:rPr>
        <w:t xml:space="preserve">PIB</w:t>
      </w:r>
      <w:r>
        <w:rPr>
          <w:rFonts w:ascii="Times New Roman" w:hAnsi="Times New Roman" w:cs="Times New Roman" w:eastAsia="Times New Roman"/>
          <w:b/>
          <w:color w:val="auto"/>
          <w:spacing w:val="-2"/>
          <w:position w:val="0"/>
          <w:sz w:val="24"/>
          <w:u w:val="single"/>
          <w:shd w:fill="auto" w:val="clear"/>
        </w:rPr>
        <w:t xml:space="preserve"> </w:t>
      </w:r>
      <w:r>
        <w:rPr>
          <w:rFonts w:ascii="Times New Roman" w:hAnsi="Times New Roman" w:cs="Times New Roman" w:eastAsia="Times New Roman"/>
          <w:b/>
          <w:color w:val="auto"/>
          <w:spacing w:val="0"/>
          <w:position w:val="0"/>
          <w:sz w:val="24"/>
          <w:u w:val="single"/>
          <w:shd w:fill="auto" w:val="clear"/>
        </w:rPr>
        <w:t xml:space="preserve">en</w:t>
      </w:r>
      <w:r>
        <w:rPr>
          <w:rFonts w:ascii="Times New Roman" w:hAnsi="Times New Roman" w:cs="Times New Roman" w:eastAsia="Times New Roman"/>
          <w:b/>
          <w:color w:val="auto"/>
          <w:spacing w:val="-1"/>
          <w:position w:val="0"/>
          <w:sz w:val="24"/>
          <w:u w:val="single"/>
          <w:shd w:fill="auto" w:val="clear"/>
        </w:rPr>
        <w:t xml:space="preserve"> </w:t>
      </w:r>
      <w:r>
        <w:rPr>
          <w:rFonts w:ascii="Times New Roman" w:hAnsi="Times New Roman" w:cs="Times New Roman" w:eastAsia="Times New Roman"/>
          <w:b/>
          <w:color w:val="auto"/>
          <w:spacing w:val="0"/>
          <w:position w:val="0"/>
          <w:sz w:val="24"/>
          <w:u w:val="single"/>
          <w:shd w:fill="auto" w:val="clear"/>
        </w:rPr>
        <w:t xml:space="preserve">log</w:t>
      </w:r>
      <w:r>
        <w:rPr>
          <w:rFonts w:ascii="Times New Roman" w:hAnsi="Times New Roman" w:cs="Times New Roman" w:eastAsia="Times New Roman"/>
          <w:b/>
          <w:color w:val="auto"/>
          <w:spacing w:val="-2"/>
          <w:position w:val="0"/>
          <w:sz w:val="24"/>
          <w:u w:val="single"/>
          <w:shd w:fill="auto" w:val="clear"/>
        </w:rPr>
        <w:t xml:space="preserve"> </w:t>
      </w:r>
      <w:r>
        <w:rPr>
          <w:rFonts w:ascii="Times New Roman" w:hAnsi="Times New Roman" w:cs="Times New Roman" w:eastAsia="Times New Roman"/>
          <w:b/>
          <w:color w:val="auto"/>
          <w:spacing w:val="0"/>
          <w:position w:val="0"/>
          <w:sz w:val="24"/>
          <w:u w:val="single"/>
          <w:shd w:fill="auto" w:val="clear"/>
        </w:rPr>
        <w:t xml:space="preserve">base</w:t>
      </w:r>
      <w:r>
        <w:rPr>
          <w:rFonts w:ascii="Times New Roman" w:hAnsi="Times New Roman" w:cs="Times New Roman" w:eastAsia="Times New Roman"/>
          <w:b/>
          <w:color w:val="auto"/>
          <w:spacing w:val="-3"/>
          <w:position w:val="0"/>
          <w:sz w:val="24"/>
          <w:u w:val="single"/>
          <w:shd w:fill="auto" w:val="clear"/>
        </w:rPr>
        <w:t xml:space="preserve"> </w:t>
      </w:r>
      <w:r>
        <w:rPr>
          <w:rFonts w:ascii="Times New Roman" w:hAnsi="Times New Roman" w:cs="Times New Roman" w:eastAsia="Times New Roman"/>
          <w:b/>
          <w:color w:val="auto"/>
          <w:spacing w:val="-5"/>
          <w:position w:val="0"/>
          <w:sz w:val="24"/>
          <w:u w:val="single"/>
          <w:shd w:fill="auto" w:val="clear"/>
        </w:rPr>
        <w:t xml:space="preserve">10:</w:t>
      </w:r>
    </w:p>
    <w:p>
      <w:pPr>
        <w:spacing w:before="176" w:after="0" w:line="240"/>
        <w:ind w:right="0" w:left="0" w:firstLine="0"/>
        <w:jc w:val="left"/>
        <w:rPr>
          <w:rFonts w:ascii="Times New Roman" w:hAnsi="Times New Roman" w:cs="Times New Roman" w:eastAsia="Times New Roman"/>
          <w:b/>
          <w:color w:val="auto"/>
          <w:spacing w:val="0"/>
          <w:position w:val="0"/>
          <w:sz w:val="20"/>
          <w:shd w:fill="auto" w:val="clear"/>
        </w:rPr>
      </w:pPr>
      <w:r>
        <w:object w:dxaOrig="9779" w:dyaOrig="6256">
          <v:rect xmlns:o="urn:schemas-microsoft-com:office:office" xmlns:v="urn:schemas-microsoft-com:vml" id="rectole0000000000" style="width:488.950000pt;height:312.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246"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360"/>
        <w:ind w:right="231" w:left="14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 observan trayectorias de crecimiento heterogéneas entre los países analizados. No obstante,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algunos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países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muestran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procesos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convergencia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parcial</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PIB</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cápita,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 línea con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hipótesis de convergencia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modelo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 Solow,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aunque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persisten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diferencias estructurales importantes en los niveles de renta.</w:t>
      </w:r>
    </w:p>
    <w:p>
      <w:pPr>
        <w:spacing w:before="244" w:after="0" w:line="360"/>
        <w:ind w:right="344" w:left="14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representación en escala logarítmica permite comparar mejor las tasas de crecimiento a lo largo del tiempo, ya que una misma pendiente implica un crecimiento porcentual similar. También se aprecia cómo economías desarrolladas como Noruega y Estados Unidos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mantienen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niveles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elevados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renta,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mientras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Bolivia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Marruecos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presentan procesos de crecimiento más tardíos y volátiles.</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196"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25"/>
        </w:numPr>
        <w:tabs>
          <w:tab w:val="left" w:pos="721" w:leader="none"/>
        </w:tabs>
        <w:spacing w:before="1" w:after="0" w:line="240"/>
        <w:ind w:right="0" w:left="721"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Contrastación</w:t>
      </w:r>
      <w:r>
        <w:rPr>
          <w:rFonts w:ascii="Times New Roman" w:hAnsi="Times New Roman" w:cs="Times New Roman" w:eastAsia="Times New Roman"/>
          <w:b/>
          <w:color w:val="auto"/>
          <w:spacing w:val="-4"/>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de</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los</w:t>
      </w:r>
      <w:r>
        <w:rPr>
          <w:rFonts w:ascii="Times New Roman" w:hAnsi="Times New Roman" w:cs="Times New Roman" w:eastAsia="Times New Roman"/>
          <w:b/>
          <w:color w:val="auto"/>
          <w:spacing w:val="-2"/>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hechos</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de</w:t>
      </w:r>
      <w:r>
        <w:rPr>
          <w:rFonts w:ascii="Times New Roman" w:hAnsi="Times New Roman" w:cs="Times New Roman" w:eastAsia="Times New Roman"/>
          <w:b/>
          <w:color w:val="auto"/>
          <w:spacing w:val="-2"/>
          <w:position w:val="0"/>
          <w:sz w:val="28"/>
          <w:shd w:fill="auto" w:val="clear"/>
        </w:rPr>
        <w:t xml:space="preserve"> Kaldor:</w:t>
      </w:r>
    </w:p>
    <w:p>
      <w:pPr>
        <w:spacing w:before="239" w:after="0" w:line="240"/>
        <w:ind w:right="0" w:left="141" w:firstLine="0"/>
        <w:jc w:val="both"/>
        <w:rPr>
          <w:rFonts w:ascii="Trebuchet MS" w:hAnsi="Trebuchet MS" w:cs="Trebuchet MS" w:eastAsia="Trebuchet MS"/>
          <w:b/>
          <w:color w:val="auto"/>
          <w:spacing w:val="0"/>
          <w:position w:val="0"/>
          <w:sz w:val="24"/>
          <w:u w:val="single"/>
          <w:shd w:fill="auto" w:val="clear"/>
        </w:rPr>
      </w:pPr>
      <w:r>
        <w:rPr>
          <w:rFonts w:ascii="Trebuchet MS" w:hAnsi="Trebuchet MS" w:cs="Trebuchet MS" w:eastAsia="Trebuchet MS"/>
          <w:b/>
          <w:color w:val="auto"/>
          <w:spacing w:val="0"/>
          <w:position w:val="0"/>
          <w:sz w:val="24"/>
          <w:u w:val="single"/>
          <w:shd w:fill="auto" w:val="clear"/>
        </w:rPr>
        <w:t xml:space="preserve">Participación</w:t>
      </w:r>
      <w:r>
        <w:rPr>
          <w:rFonts w:ascii="Trebuchet MS" w:hAnsi="Trebuchet MS" w:cs="Trebuchet MS" w:eastAsia="Trebuchet MS"/>
          <w:b/>
          <w:color w:val="auto"/>
          <w:spacing w:val="-3"/>
          <w:position w:val="0"/>
          <w:sz w:val="24"/>
          <w:u w:val="single"/>
          <w:shd w:fill="auto" w:val="clear"/>
        </w:rPr>
        <w:t xml:space="preserve"> </w:t>
      </w:r>
      <w:r>
        <w:rPr>
          <w:rFonts w:ascii="Trebuchet MS" w:hAnsi="Trebuchet MS" w:cs="Trebuchet MS" w:eastAsia="Trebuchet MS"/>
          <w:b/>
          <w:color w:val="auto"/>
          <w:spacing w:val="0"/>
          <w:position w:val="0"/>
          <w:sz w:val="24"/>
          <w:u w:val="single"/>
          <w:shd w:fill="auto" w:val="clear"/>
        </w:rPr>
        <w:t xml:space="preserve">de</w:t>
      </w:r>
      <w:r>
        <w:rPr>
          <w:rFonts w:ascii="Trebuchet MS" w:hAnsi="Trebuchet MS" w:cs="Trebuchet MS" w:eastAsia="Trebuchet MS"/>
          <w:b/>
          <w:color w:val="auto"/>
          <w:spacing w:val="2"/>
          <w:position w:val="0"/>
          <w:sz w:val="24"/>
          <w:u w:val="single"/>
          <w:shd w:fill="auto" w:val="clear"/>
        </w:rPr>
        <w:t xml:space="preserve"> </w:t>
      </w:r>
      <w:r>
        <w:rPr>
          <w:rFonts w:ascii="Trebuchet MS" w:hAnsi="Trebuchet MS" w:cs="Trebuchet MS" w:eastAsia="Trebuchet MS"/>
          <w:b/>
          <w:color w:val="auto"/>
          <w:spacing w:val="0"/>
          <w:position w:val="0"/>
          <w:sz w:val="24"/>
          <w:u w:val="single"/>
          <w:shd w:fill="auto" w:val="clear"/>
        </w:rPr>
        <w:t xml:space="preserve">factores</w:t>
      </w:r>
      <w:r>
        <w:rPr>
          <w:rFonts w:ascii="Trebuchet MS" w:hAnsi="Trebuchet MS" w:cs="Trebuchet MS" w:eastAsia="Trebuchet MS"/>
          <w:b/>
          <w:color w:val="auto"/>
          <w:spacing w:val="-3"/>
          <w:position w:val="0"/>
          <w:sz w:val="24"/>
          <w:u w:val="single"/>
          <w:shd w:fill="auto" w:val="clear"/>
        </w:rPr>
        <w:t xml:space="preserve"> </w:t>
      </w:r>
      <w:r>
        <w:rPr>
          <w:rFonts w:ascii="Trebuchet MS" w:hAnsi="Trebuchet MS" w:cs="Trebuchet MS" w:eastAsia="Trebuchet MS"/>
          <w:b/>
          <w:color w:val="auto"/>
          <w:spacing w:val="0"/>
          <w:position w:val="0"/>
          <w:sz w:val="24"/>
          <w:u w:val="single"/>
          <w:shd w:fill="auto" w:val="clear"/>
        </w:rPr>
        <w:t xml:space="preserve">en</w:t>
      </w:r>
      <w:r>
        <w:rPr>
          <w:rFonts w:ascii="Trebuchet MS" w:hAnsi="Trebuchet MS" w:cs="Trebuchet MS" w:eastAsia="Trebuchet MS"/>
          <w:b/>
          <w:color w:val="auto"/>
          <w:spacing w:val="-6"/>
          <w:position w:val="0"/>
          <w:sz w:val="24"/>
          <w:u w:val="single"/>
          <w:shd w:fill="auto" w:val="clear"/>
        </w:rPr>
        <w:t xml:space="preserve"> </w:t>
      </w:r>
      <w:r>
        <w:rPr>
          <w:rFonts w:ascii="Trebuchet MS" w:hAnsi="Trebuchet MS" w:cs="Trebuchet MS" w:eastAsia="Trebuchet MS"/>
          <w:b/>
          <w:color w:val="auto"/>
          <w:spacing w:val="0"/>
          <w:position w:val="0"/>
          <w:sz w:val="24"/>
          <w:u w:val="single"/>
          <w:shd w:fill="auto" w:val="clear"/>
        </w:rPr>
        <w:t xml:space="preserve">el</w:t>
      </w:r>
      <w:r>
        <w:rPr>
          <w:rFonts w:ascii="Trebuchet MS" w:hAnsi="Trebuchet MS" w:cs="Trebuchet MS" w:eastAsia="Trebuchet MS"/>
          <w:b/>
          <w:color w:val="auto"/>
          <w:spacing w:val="-1"/>
          <w:position w:val="0"/>
          <w:sz w:val="24"/>
          <w:u w:val="single"/>
          <w:shd w:fill="auto" w:val="clear"/>
        </w:rPr>
        <w:t xml:space="preserve"> </w:t>
      </w:r>
      <w:r>
        <w:rPr>
          <w:rFonts w:ascii="Trebuchet MS" w:hAnsi="Trebuchet MS" w:cs="Trebuchet MS" w:eastAsia="Trebuchet MS"/>
          <w:b/>
          <w:color w:val="auto"/>
          <w:spacing w:val="0"/>
          <w:position w:val="0"/>
          <w:sz w:val="24"/>
          <w:u w:val="single"/>
          <w:shd w:fill="auto" w:val="clear"/>
        </w:rPr>
        <w:t xml:space="preserve">PIB</w:t>
      </w:r>
      <w:r>
        <w:rPr>
          <w:rFonts w:ascii="Trebuchet MS" w:hAnsi="Trebuchet MS" w:cs="Trebuchet MS" w:eastAsia="Trebuchet MS"/>
          <w:b/>
          <w:color w:val="auto"/>
          <w:spacing w:val="-3"/>
          <w:position w:val="0"/>
          <w:sz w:val="24"/>
          <w:u w:val="single"/>
          <w:shd w:fill="auto" w:val="clear"/>
        </w:rPr>
        <w:t xml:space="preserve"> </w:t>
      </w:r>
      <w:r>
        <w:rPr>
          <w:rFonts w:ascii="Trebuchet MS" w:hAnsi="Trebuchet MS" w:cs="Trebuchet MS" w:eastAsia="Trebuchet MS"/>
          <w:b/>
          <w:color w:val="auto"/>
          <w:spacing w:val="0"/>
          <w:position w:val="0"/>
          <w:sz w:val="24"/>
          <w:u w:val="single"/>
          <w:shd w:fill="auto" w:val="clear"/>
        </w:rPr>
        <w:t xml:space="preserve">por</w:t>
      </w:r>
      <w:r>
        <w:rPr>
          <w:rFonts w:ascii="Trebuchet MS" w:hAnsi="Trebuchet MS" w:cs="Trebuchet MS" w:eastAsia="Trebuchet MS"/>
          <w:b/>
          <w:color w:val="auto"/>
          <w:spacing w:val="-2"/>
          <w:position w:val="0"/>
          <w:sz w:val="24"/>
          <w:u w:val="single"/>
          <w:shd w:fill="auto" w:val="clear"/>
        </w:rPr>
        <w:t xml:space="preserve"> </w:t>
      </w:r>
      <w:r>
        <w:rPr>
          <w:rFonts w:ascii="Trebuchet MS" w:hAnsi="Trebuchet MS" w:cs="Trebuchet MS" w:eastAsia="Trebuchet MS"/>
          <w:b/>
          <w:color w:val="auto"/>
          <w:spacing w:val="-4"/>
          <w:position w:val="0"/>
          <w:sz w:val="24"/>
          <w:u w:val="single"/>
          <w:shd w:fill="auto" w:val="clear"/>
        </w:rPr>
        <w:t xml:space="preserve">país:</w:t>
      </w:r>
    </w:p>
    <w:p>
      <w:pPr>
        <w:spacing w:before="114" w:after="0" w:line="240"/>
        <w:ind w:right="0" w:left="0" w:firstLine="0"/>
        <w:jc w:val="left"/>
        <w:rPr>
          <w:rFonts w:ascii="Trebuchet MS" w:hAnsi="Trebuchet MS" w:cs="Trebuchet MS" w:eastAsia="Trebuchet MS"/>
          <w:b/>
          <w:color w:val="auto"/>
          <w:spacing w:val="0"/>
          <w:position w:val="0"/>
          <w:sz w:val="20"/>
          <w:shd w:fill="auto" w:val="clear"/>
        </w:rPr>
      </w:pPr>
      <w:r>
        <w:object w:dxaOrig="10609" w:dyaOrig="5527">
          <v:rect xmlns:o="urn:schemas-microsoft-com:office:office" xmlns:v="urn:schemas-microsoft-com:vml" id="rectole0000000001" style="width:530.450000pt;height:276.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Trebuchet MS" w:hAnsi="Trebuchet MS" w:cs="Trebuchet MS" w:eastAsia="Trebuchet MS"/>
          <w:b/>
          <w:color w:val="auto"/>
          <w:spacing w:val="0"/>
          <w:position w:val="0"/>
          <w:sz w:val="24"/>
          <w:shd w:fill="auto" w:val="clear"/>
        </w:rPr>
      </w:pPr>
    </w:p>
    <w:p>
      <w:pPr>
        <w:spacing w:before="275" w:after="0" w:line="240"/>
        <w:ind w:right="0" w:left="0" w:firstLine="0"/>
        <w:jc w:val="left"/>
        <w:rPr>
          <w:rFonts w:ascii="Trebuchet MS" w:hAnsi="Trebuchet MS" w:cs="Trebuchet MS" w:eastAsia="Trebuchet MS"/>
          <w:b/>
          <w:color w:val="auto"/>
          <w:spacing w:val="0"/>
          <w:position w:val="0"/>
          <w:sz w:val="24"/>
          <w:shd w:fill="auto" w:val="clear"/>
        </w:rPr>
      </w:pPr>
    </w:p>
    <w:p>
      <w:pPr>
        <w:spacing w:before="0" w:after="0" w:line="360"/>
        <w:ind w:right="282" w:left="14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Los gráficos muestran que la participación del trabajo y del capital en el PIB se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mantienen relativamente estables en el largo plazo, sin evidencias de una tendencia secular hacia la desaparición de alguno de los factores. En España y Estados Unidos, la 5 participación del trabajo se sitúa mayoritariamente en torno al 60</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65%, mientras que en Bolivia, Noruega y Marruecos oscila alrededor del 50%. Aunque existen fluctuaciones c</w:t>
      </w:r>
      <w:r>
        <w:rPr>
          <w:rFonts w:ascii="Times New Roman" w:hAnsi="Times New Roman" w:cs="Times New Roman" w:eastAsia="Times New Roman"/>
          <w:color w:val="auto"/>
          <w:spacing w:val="0"/>
          <w:position w:val="0"/>
          <w:sz w:val="24"/>
          <w:shd w:fill="auto" w:val="clear"/>
        </w:rPr>
        <w:t xml:space="preserve">íclicas, las series tienden a revertir hacia valores históricos, lo que resulta consistente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 el tercer hecho estilizado de Kaldor. No obstante, se observan diferencias relevantes entre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países.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 Noruega, la participación del capital supera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claramente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la del trabajo en los últimos años, lo que podría estar relacionado con el peso del sector petrolero en la generación de renta. En España se aprecia una ligera tendencia descendente de la participación del trabajo desde los años ochenta, lo que sugiere que la estabilidad no es perfecta y puede verse afectada por cambios estructurales o institucionales. En conjunto, los resultados indican que el hecho de Kaldor funciona como una aproximación de largo plazo, pero su grado de cumplimiento depende de la estructura productiva y de las características específicas de cada economía.</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28"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34"/>
        </w:numPr>
        <w:tabs>
          <w:tab w:val="left" w:pos="721" w:leader="none"/>
        </w:tabs>
        <w:spacing w:before="0" w:after="0" w:line="240"/>
        <w:ind w:right="0" w:left="721"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Análisis</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de</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Contabilidad</w:t>
      </w:r>
      <w:r>
        <w:rPr>
          <w:rFonts w:ascii="Times New Roman" w:hAnsi="Times New Roman" w:cs="Times New Roman" w:eastAsia="Times New Roman"/>
          <w:b/>
          <w:color w:val="auto"/>
          <w:spacing w:val="-3"/>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del</w:t>
      </w:r>
      <w:r>
        <w:rPr>
          <w:rFonts w:ascii="Times New Roman" w:hAnsi="Times New Roman" w:cs="Times New Roman" w:eastAsia="Times New Roman"/>
          <w:b/>
          <w:color w:val="auto"/>
          <w:spacing w:val="2"/>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Crecimiento.</w:t>
      </w:r>
    </w:p>
    <w:p>
      <w:pPr>
        <w:spacing w:before="229"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40"/>
        <w:ind w:right="0" w:left="1" w:firstLine="0"/>
        <w:jc w:val="left"/>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Contribucion</w:t>
      </w:r>
      <w:r>
        <w:rPr>
          <w:rFonts w:ascii="Trebuchet MS" w:hAnsi="Trebuchet MS" w:cs="Trebuchet MS" w:eastAsia="Trebuchet MS"/>
          <w:color w:val="auto"/>
          <w:spacing w:val="-8"/>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de</w:t>
      </w:r>
      <w:r>
        <w:rPr>
          <w:rFonts w:ascii="Trebuchet MS" w:hAnsi="Trebuchet MS" w:cs="Trebuchet MS" w:eastAsia="Trebuchet MS"/>
          <w:color w:val="auto"/>
          <w:spacing w:val="-2"/>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cada</w:t>
      </w:r>
      <w:r>
        <w:rPr>
          <w:rFonts w:ascii="Trebuchet MS" w:hAnsi="Trebuchet MS" w:cs="Trebuchet MS" w:eastAsia="Trebuchet MS"/>
          <w:color w:val="auto"/>
          <w:spacing w:val="-3"/>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factor</w:t>
      </w:r>
      <w:r>
        <w:rPr>
          <w:rFonts w:ascii="Trebuchet MS" w:hAnsi="Trebuchet MS" w:cs="Trebuchet MS" w:eastAsia="Trebuchet MS"/>
          <w:color w:val="auto"/>
          <w:spacing w:val="-2"/>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al</w:t>
      </w:r>
      <w:r>
        <w:rPr>
          <w:rFonts w:ascii="Trebuchet MS" w:hAnsi="Trebuchet MS" w:cs="Trebuchet MS" w:eastAsia="Trebuchet MS"/>
          <w:color w:val="auto"/>
          <w:spacing w:val="-3"/>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crecimiento</w:t>
      </w:r>
      <w:r>
        <w:rPr>
          <w:rFonts w:ascii="Trebuchet MS" w:hAnsi="Trebuchet MS" w:cs="Trebuchet MS" w:eastAsia="Trebuchet MS"/>
          <w:color w:val="auto"/>
          <w:spacing w:val="-5"/>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de</w:t>
      </w:r>
      <w:r>
        <w:rPr>
          <w:rFonts w:ascii="Trebuchet MS" w:hAnsi="Trebuchet MS" w:cs="Trebuchet MS" w:eastAsia="Trebuchet MS"/>
          <w:color w:val="auto"/>
          <w:spacing w:val="4"/>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𝑔𝑦</w:t>
      </w:r>
      <w:r>
        <w:rPr>
          <w:rFonts w:ascii="Cambria Math" w:hAnsi="Cambria Math" w:cs="Cambria Math" w:eastAsia="Cambria Math"/>
          <w:color w:val="auto"/>
          <w:spacing w:val="18"/>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o</w:t>
      </w:r>
      <w:r>
        <w:rPr>
          <w:rFonts w:ascii="Trebuchet MS" w:hAnsi="Trebuchet MS" w:cs="Trebuchet MS" w:eastAsia="Trebuchet MS"/>
          <w:color w:val="auto"/>
          <w:spacing w:val="-6"/>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descomposicion</w:t>
      </w:r>
      <w:r>
        <w:rPr>
          <w:rFonts w:ascii="Trebuchet MS" w:hAnsi="Trebuchet MS" w:cs="Trebuchet MS" w:eastAsia="Trebuchet MS"/>
          <w:color w:val="auto"/>
          <w:spacing w:val="-2"/>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de</w:t>
      </w:r>
      <w:r>
        <w:rPr>
          <w:rFonts w:ascii="Trebuchet MS" w:hAnsi="Trebuchet MS" w:cs="Trebuchet MS" w:eastAsia="Trebuchet MS"/>
          <w:color w:val="auto"/>
          <w:spacing w:val="1"/>
          <w:position w:val="0"/>
          <w:sz w:val="22"/>
          <w:shd w:fill="auto" w:val="clear"/>
        </w:rPr>
        <w:t xml:space="preserve"> </w:t>
      </w:r>
      <w:r>
        <w:rPr>
          <w:rFonts w:ascii="Cambria Math" w:hAnsi="Cambria Math" w:cs="Cambria Math" w:eastAsia="Cambria Math"/>
          <w:color w:val="auto"/>
          <w:spacing w:val="-5"/>
          <w:position w:val="0"/>
          <w:sz w:val="22"/>
          <w:shd w:fill="auto" w:val="clear"/>
        </w:rPr>
        <w:t xml:space="preserve">𝑔𝑦</w:t>
      </w:r>
      <w:r>
        <w:rPr>
          <w:rFonts w:ascii="Trebuchet MS" w:hAnsi="Trebuchet MS" w:cs="Trebuchet MS" w:eastAsia="Trebuchet MS"/>
          <w:color w:val="auto"/>
          <w:spacing w:val="-5"/>
          <w:position w:val="0"/>
          <w:sz w:val="22"/>
          <w:shd w:fill="auto" w:val="clear"/>
        </w:rPr>
        <w:t xml:space="preserve">:</w:t>
      </w:r>
    </w:p>
    <w:p>
      <w:pPr>
        <w:spacing w:before="28" w:after="0" w:line="240"/>
        <w:ind w:right="0" w:left="0" w:firstLine="0"/>
        <w:jc w:val="left"/>
        <w:rPr>
          <w:rFonts w:ascii="Trebuchet MS" w:hAnsi="Trebuchet MS" w:cs="Trebuchet MS" w:eastAsia="Trebuchet MS"/>
          <w:color w:val="auto"/>
          <w:spacing w:val="0"/>
          <w:position w:val="0"/>
          <w:sz w:val="20"/>
          <w:shd w:fill="auto" w:val="clear"/>
        </w:rPr>
      </w:pPr>
      <w:r>
        <w:object w:dxaOrig="10731" w:dyaOrig="2794">
          <v:rect xmlns:o="urn:schemas-microsoft-com:office:office" xmlns:v="urn:schemas-microsoft-com:vml" id="rectole0000000002" style="width:536.550000pt;height:139.7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Trebuchet MS" w:hAnsi="Trebuchet MS" w:cs="Trebuchet MS" w:eastAsia="Trebuchet MS"/>
          <w:color w:val="auto"/>
          <w:spacing w:val="0"/>
          <w:position w:val="0"/>
          <w:sz w:val="22"/>
          <w:shd w:fill="auto" w:val="clear"/>
        </w:rPr>
      </w:pPr>
    </w:p>
    <w:p>
      <w:pPr>
        <w:spacing w:before="60" w:after="0" w:line="240"/>
        <w:ind w:right="0" w:left="0" w:firstLine="0"/>
        <w:jc w:val="left"/>
        <w:rPr>
          <w:rFonts w:ascii="Trebuchet MS" w:hAnsi="Trebuchet MS" w:cs="Trebuchet MS" w:eastAsia="Trebuchet MS"/>
          <w:color w:val="auto"/>
          <w:spacing w:val="0"/>
          <w:position w:val="0"/>
          <w:sz w:val="22"/>
          <w:shd w:fill="auto" w:val="clear"/>
        </w:rPr>
      </w:pPr>
    </w:p>
    <w:p>
      <w:pPr>
        <w:spacing w:before="0" w:after="0" w:line="240"/>
        <w:ind w:right="281" w:left="0" w:firstLine="0"/>
        <w:jc w:val="center"/>
        <w:rPr>
          <w:rFonts w:ascii="Trebuchet MS" w:hAnsi="Trebuchet MS" w:cs="Trebuchet MS" w:eastAsia="Trebuchet MS"/>
          <w:color w:val="auto"/>
          <w:spacing w:val="0"/>
          <w:position w:val="0"/>
          <w:sz w:val="22"/>
          <w:shd w:fill="auto" w:val="clear"/>
        </w:rPr>
      </w:pPr>
      <w:r>
        <w:rPr>
          <w:rFonts w:ascii="Trebuchet MS" w:hAnsi="Trebuchet MS" w:cs="Trebuchet MS" w:eastAsia="Trebuchet MS"/>
          <w:color w:val="auto"/>
          <w:spacing w:val="0"/>
          <w:position w:val="0"/>
          <w:sz w:val="22"/>
          <w:shd w:fill="auto" w:val="clear"/>
        </w:rPr>
        <w:t xml:space="preserve">Contribución</w:t>
      </w:r>
      <w:r>
        <w:rPr>
          <w:rFonts w:ascii="Trebuchet MS" w:hAnsi="Trebuchet MS" w:cs="Trebuchet MS" w:eastAsia="Trebuchet MS"/>
          <w:color w:val="auto"/>
          <w:spacing w:val="-8"/>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media</w:t>
      </w:r>
      <w:r>
        <w:rPr>
          <w:rFonts w:ascii="Trebuchet MS" w:hAnsi="Trebuchet MS" w:cs="Trebuchet MS" w:eastAsia="Trebuchet MS"/>
          <w:color w:val="auto"/>
          <w:spacing w:val="-3"/>
          <w:position w:val="0"/>
          <w:sz w:val="22"/>
          <w:shd w:fill="auto" w:val="clear"/>
        </w:rPr>
        <w:t xml:space="preserve"> </w:t>
      </w:r>
      <w:r>
        <w:rPr>
          <w:rFonts w:ascii="Trebuchet MS" w:hAnsi="Trebuchet MS" w:cs="Trebuchet MS" w:eastAsia="Trebuchet MS"/>
          <w:color w:val="auto"/>
          <w:spacing w:val="0"/>
          <w:position w:val="0"/>
          <w:sz w:val="22"/>
          <w:shd w:fill="auto" w:val="clear"/>
        </w:rPr>
        <w:t xml:space="preserve">al</w:t>
      </w:r>
      <w:r>
        <w:rPr>
          <w:rFonts w:ascii="Trebuchet MS" w:hAnsi="Trebuchet MS" w:cs="Trebuchet MS" w:eastAsia="Trebuchet MS"/>
          <w:color w:val="auto"/>
          <w:spacing w:val="-3"/>
          <w:position w:val="0"/>
          <w:sz w:val="22"/>
          <w:shd w:fill="auto" w:val="clear"/>
        </w:rPr>
        <w:t xml:space="preserve"> </w:t>
      </w:r>
      <w:r>
        <w:rPr>
          <w:rFonts w:ascii="Trebuchet MS" w:hAnsi="Trebuchet MS" w:cs="Trebuchet MS" w:eastAsia="Trebuchet MS"/>
          <w:color w:val="auto"/>
          <w:spacing w:val="-2"/>
          <w:position w:val="0"/>
          <w:sz w:val="22"/>
          <w:shd w:fill="auto" w:val="clear"/>
        </w:rPr>
        <w:t xml:space="preserve">crecimiento:</w:t>
      </w:r>
    </w:p>
    <w:p>
      <w:pPr>
        <w:spacing w:before="10" w:after="0" w:line="240"/>
        <w:ind w:right="0" w:left="0" w:firstLine="0"/>
        <w:jc w:val="left"/>
        <w:rPr>
          <w:rFonts w:ascii="Trebuchet MS" w:hAnsi="Trebuchet MS" w:cs="Trebuchet MS" w:eastAsia="Trebuchet MS"/>
          <w:color w:val="auto"/>
          <w:spacing w:val="0"/>
          <w:position w:val="0"/>
          <w:sz w:val="19"/>
          <w:shd w:fill="auto" w:val="clear"/>
        </w:rPr>
      </w:pPr>
      <w:r>
        <w:object w:dxaOrig="10670" w:dyaOrig="7977">
          <v:rect xmlns:o="urn:schemas-microsoft-com:office:office" xmlns:v="urn:schemas-microsoft-com:vml" id="rectole0000000003" style="width:533.500000pt;height:398.8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Trebuchet MS" w:hAnsi="Trebuchet MS" w:cs="Trebuchet MS" w:eastAsia="Trebuchet MS"/>
          <w:color w:val="auto"/>
          <w:spacing w:val="0"/>
          <w:position w:val="0"/>
          <w:sz w:val="19"/>
          <w:shd w:fill="auto" w:val="clear"/>
        </w:rPr>
      </w:pPr>
    </w:p>
    <w:p>
      <w:pPr>
        <w:spacing w:before="80" w:after="0" w:line="360"/>
        <w:ind w:right="288" w:left="14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 gráfica responde a la pregunta: ¿qué factores explican el crecimiento medio del PIB per cápita en cada país?</w:t>
      </w:r>
    </w:p>
    <w:p>
      <w:pPr>
        <w:spacing w:before="257" w:after="0" w:line="360"/>
        <w:ind w:right="280" w:left="14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términos generales, se observa que el crecimiento se explica por combinaciones distintas de acumulación de factores y productividad. El capital físico tiene un peso relevante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 todos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los países,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mientras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que el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capital humano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contribuye 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más En algunos casos, la contribución de la productividad es negativa, como ocurre en Bolivia. Esto implica que, en promedio, la eficiencia ha restado crecimiento. Por ejemplo, si el</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PIB per cápita crece un 2%, pero el capital y el capital humano aportan conjuntamente un 3%, la productividad necesariamente debe ser negativa (-1%). En este sentido, el crecimiento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sostiene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por acumulación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factores(</w:t>
      </w:r>
      <w:r>
        <w:rPr>
          <w:rFonts w:ascii="Cambria Math" w:hAnsi="Cambria Math" w:cs="Cambria Math" w:eastAsia="Cambria Math"/>
          <w:color w:val="auto"/>
          <w:spacing w:val="0"/>
          <w:position w:val="0"/>
          <w:sz w:val="24"/>
          <w:shd w:fill="auto" w:val="clear"/>
        </w:rPr>
        <w:t xml:space="preserve">𝑔𝑘</w:t>
      </w:r>
      <w:r>
        <w:rPr>
          <w:rFonts w:ascii="Times New Roman" w:hAnsi="Times New Roman" w:cs="Times New Roman" w:eastAsia="Times New Roman"/>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𝑔ℎ</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compensando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pérdida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 eficiencia(</w:t>
      </w:r>
      <w:r>
        <w:rPr>
          <w:rFonts w:ascii="Cambria Math" w:hAnsi="Cambria Math" w:cs="Cambria Math" w:eastAsia="Cambria Math"/>
          <w:color w:val="auto"/>
          <w:spacing w:val="0"/>
          <w:position w:val="0"/>
          <w:sz w:val="24"/>
          <w:shd w:fill="auto" w:val="clear"/>
        </w:rPr>
        <w:t xml:space="preserve">𝑔𝐴</w:t>
      </w:r>
      <w:r>
        <w:rPr>
          <w:rFonts w:ascii="Times New Roman" w:hAnsi="Times New Roman" w:cs="Times New Roman" w:eastAsia="Times New Roman"/>
          <w:color w:val="auto"/>
          <w:spacing w:val="0"/>
          <w:position w:val="0"/>
          <w:sz w:val="24"/>
          <w:shd w:fill="auto" w:val="clear"/>
        </w:rPr>
        <w:t xml:space="preserve">). Comparando países, se observan diferencias claras en los patrones de crecimiento. Noruega y España presentan una elevada contribución de la productividad,</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 que sugiere un crecimiento más vinculado a mejoras en la eficiencia o tecnología. En cambio, Marruecos y especialmente Bolivia muestran un mayor peso de la acumulación de capital(</w:t>
      </w:r>
      <w:r>
        <w:rPr>
          <w:rFonts w:ascii="Cambria Math" w:hAnsi="Cambria Math" w:cs="Cambria Math" w:eastAsia="Cambria Math"/>
          <w:color w:val="auto"/>
          <w:spacing w:val="0"/>
          <w:position w:val="0"/>
          <w:sz w:val="24"/>
          <w:shd w:fill="auto" w:val="clear"/>
        </w:rPr>
        <w:t xml:space="preserve">𝑔𝑘</w:t>
      </w:r>
      <w:r>
        <w:rPr>
          <w:rFonts w:ascii="Times New Roman" w:hAnsi="Times New Roman" w:cs="Times New Roman" w:eastAsia="Times New Roman"/>
          <w:color w:val="auto"/>
          <w:spacing w:val="0"/>
          <w:position w:val="0"/>
          <w:sz w:val="24"/>
          <w:shd w:fill="auto" w:val="clear"/>
        </w:rPr>
        <w:t xml:space="preserve">), con una contribución más limitada o incluso negativa de la productividad(</w:t>
      </w:r>
      <w:r>
        <w:rPr>
          <w:rFonts w:ascii="Cambria Math" w:hAnsi="Cambria Math" w:cs="Cambria Math" w:eastAsia="Cambria Math"/>
          <w:color w:val="auto"/>
          <w:spacing w:val="0"/>
          <w:position w:val="0"/>
          <w:sz w:val="24"/>
          <w:shd w:fill="auto" w:val="clear"/>
        </w:rPr>
        <w:t xml:space="preserve">𝑔𝐴</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Estados Unidos presenta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modelo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más equilibrado,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 una contribución relevante tanto del capital como de la productividad, lo que refleja un crecimiento más estable y diversificado.</w:t>
      </w:r>
    </w:p>
    <w:p>
      <w:pPr>
        <w:spacing w:before="256" w:after="0" w:line="357"/>
        <w:ind w:right="287" w:left="14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conclusión, no solo importa cuánto crece una economía, sino también cómo crece, como vimos, aquellas con mayor peso de la productividad tienden a basar su crecimiento en mejoras de eficiencia, mientras que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otras dependen más de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 acumulación de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factores.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85"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48"/>
        </w:numPr>
        <w:tabs>
          <w:tab w:val="left" w:pos="721" w:leader="none"/>
        </w:tabs>
        <w:spacing w:before="0" w:after="0" w:line="240"/>
        <w:ind w:right="0" w:left="721"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Análisis</w:t>
      </w:r>
      <w:r>
        <w:rPr>
          <w:rFonts w:ascii="Times New Roman" w:hAnsi="Times New Roman" w:cs="Times New Roman" w:eastAsia="Times New Roman"/>
          <w:color w:val="auto"/>
          <w:spacing w:val="-4"/>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del</w:t>
      </w:r>
      <w:r>
        <w:rPr>
          <w:rFonts w:ascii="Times New Roman" w:hAnsi="Times New Roman" w:cs="Times New Roman" w:eastAsia="Times New Roman"/>
          <w:color w:val="auto"/>
          <w:spacing w:val="1"/>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sistema</w:t>
      </w:r>
      <w:r>
        <w:rPr>
          <w:rFonts w:ascii="Times New Roman" w:hAnsi="Times New Roman" w:cs="Times New Roman" w:eastAsia="Times New Roman"/>
          <w:color w:val="auto"/>
          <w:spacing w:val="-1"/>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de seguridad</w:t>
      </w:r>
      <w:r>
        <w:rPr>
          <w:rFonts w:ascii="Times New Roman" w:hAnsi="Times New Roman" w:cs="Times New Roman" w:eastAsia="Times New Roman"/>
          <w:color w:val="auto"/>
          <w:spacing w:val="-6"/>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social</w:t>
      </w:r>
      <w:r>
        <w:rPr>
          <w:rFonts w:ascii="Times New Roman" w:hAnsi="Times New Roman" w:cs="Times New Roman" w:eastAsia="Times New Roman"/>
          <w:color w:val="auto"/>
          <w:spacing w:val="1"/>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y</w:t>
      </w:r>
      <w:r>
        <w:rPr>
          <w:rFonts w:ascii="Times New Roman" w:hAnsi="Times New Roman" w:cs="Times New Roman" w:eastAsia="Times New Roman"/>
          <w:color w:val="auto"/>
          <w:spacing w:val="-1"/>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su</w:t>
      </w:r>
      <w:r>
        <w:rPr>
          <w:rFonts w:ascii="Times New Roman" w:hAnsi="Times New Roman" w:cs="Times New Roman" w:eastAsia="Times New Roman"/>
          <w:color w:val="auto"/>
          <w:spacing w:val="-7"/>
          <w:position w:val="0"/>
          <w:sz w:val="28"/>
          <w:shd w:fill="auto" w:val="clear"/>
        </w:rPr>
        <w:t xml:space="preserve"> </w:t>
      </w:r>
      <w:r>
        <w:rPr>
          <w:rFonts w:ascii="Times New Roman" w:hAnsi="Times New Roman" w:cs="Times New Roman" w:eastAsia="Times New Roman"/>
          <w:color w:val="auto"/>
          <w:spacing w:val="-2"/>
          <w:position w:val="0"/>
          <w:sz w:val="28"/>
          <w:shd w:fill="auto" w:val="clear"/>
        </w:rPr>
        <w:t xml:space="preserve">sostenibilidad.</w:t>
      </w:r>
    </w:p>
    <w:p>
      <w:pPr>
        <w:spacing w:before="0" w:after="0" w:line="240"/>
        <w:ind w:right="0" w:left="721" w:hanging="360"/>
        <w:jc w:val="left"/>
        <w:rPr>
          <w:rFonts w:ascii="Times New Roman" w:hAnsi="Times New Roman" w:cs="Times New Roman" w:eastAsia="Times New Roman"/>
          <w:color w:val="auto"/>
          <w:spacing w:val="0"/>
          <w:position w:val="0"/>
          <w:sz w:val="28"/>
          <w:shd w:fill="auto" w:val="clear"/>
        </w:rPr>
      </w:pPr>
    </w:p>
    <w:p>
      <w:pPr>
        <w:spacing w:before="83"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 w:after="0" w:line="360"/>
        <w:ind w:right="285"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sección analiza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brevemente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los sistemas 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pensiones 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los cinco países, centrándose 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diseño,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cobertura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sostenibilidad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financiera.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España, Estados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Unidos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Noruega se utilizan datos de OECD Pensions at a Glance 2025, mientras que para Bolivia y Marruecos se recurre a información de la OIT y el FMI.</w:t>
      </w:r>
    </w:p>
    <w:p>
      <w:pPr>
        <w:spacing w:before="138"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293"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España cuenta con un sistema público de reparto gestionado por la Seguridad Social. La edad de jubilación se sitúa en 66 años y 8 meses en 2025 y alcanzará los 67 años en 2027 para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quienes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acrediten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suficientes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años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cotizados.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tasa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sustitución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neta,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entre el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70</w:t>
      </w:r>
    </w:p>
    <w:p>
      <w:pPr>
        <w:spacing w:before="0" w:after="0" w:line="360"/>
        <w:ind w:right="286"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y el 80 %, es de las más elevadas de la OCDE. Sin embargo, la sostenibilidad del sistema enfrenta una fuerte presión demográfica derivada de la jubilación de la generación del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baby boom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entre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2025 y 2040. 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gasto en pensiones representaba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12,7 % del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PIB en 2022 y podría alcanzar el 16,1 % en 2050. La reforma de 2023 introdujo el Mecanismo de Equidad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Intergeneracional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cotización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solidaridad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sobre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salarios altos para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reforzar el Fondo de Reserva, aunque tanto la AIReF como el Banco de España consideran que las medidas podrían resultar insuficientes a largo plazo.</w:t>
      </w:r>
    </w:p>
    <w:p>
      <w:pPr>
        <w:spacing w:before="136"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284"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Estados Unidos mantiene un sistema público de reparto financiado mediante cotizaciones salariales, complementado por planes privados como los 401(k). La edad de jubilación plena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 67</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años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 tasa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sustitución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ronda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el 40</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claramente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inferior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la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media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 la OCDE. El principal problema es la sostenibilidad financiera. Según el informe de los Trustees de 2025, el fondo OASI podría agotarse en 2033 y el sistema combinado OASDI en 2034, momento en el que los ingresos corrientes solo cubrirían alrededor del 80 % de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las prestaciones previstas. El deterioro responde principalmente al envejecimiento demográfico y a la caída de la ratio entre cotizantes y jubilados, lo que hace necesaria una futura reforma.</w:t>
      </w:r>
    </w:p>
    <w:p>
      <w:pPr>
        <w:spacing w:before="99"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284"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Noruega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dispone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basado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 tres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pilares: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régimen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público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universal,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planes ocupacionales obligatorios y ahorro privado. Su principal elemento diferencial es el Government Pension Fund Global, creado para invertir los ingresos del petróleo y gas. En 2025 el fondo superaba los 2,2 billones de dólares, siendo el mayor fondo soberano del mundo. Aunque no financia directamente las pensiones, sí contribuye al presupuesto público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mediante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regla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fiscal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que limita el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anual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recursos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 3</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valor. Gracias a ello, Noruega presenta una situación de sostenibilidad más favorable que la mayoría</w:t>
      </w:r>
      <w:r>
        <w:rPr>
          <w:rFonts w:ascii="Times New Roman" w:hAnsi="Times New Roman" w:cs="Times New Roman" w:eastAsia="Times New Roman"/>
          <w:color w:val="auto"/>
          <w:spacing w:val="3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3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economías</w:t>
      </w:r>
      <w:r>
        <w:rPr>
          <w:rFonts w:ascii="Times New Roman" w:hAnsi="Times New Roman" w:cs="Times New Roman" w:eastAsia="Times New Roman"/>
          <w:color w:val="auto"/>
          <w:spacing w:val="3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avanzadas,</w:t>
      </w:r>
      <w:r>
        <w:rPr>
          <w:rFonts w:ascii="Times New Roman" w:hAnsi="Times New Roman" w:cs="Times New Roman" w:eastAsia="Times New Roman"/>
          <w:color w:val="auto"/>
          <w:spacing w:val="4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aunque</w:t>
      </w:r>
      <w:r>
        <w:rPr>
          <w:rFonts w:ascii="Times New Roman" w:hAnsi="Times New Roman" w:cs="Times New Roman" w:eastAsia="Times New Roman"/>
          <w:color w:val="auto"/>
          <w:spacing w:val="3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el</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envejecimiento</w:t>
      </w:r>
      <w:r>
        <w:rPr>
          <w:rFonts w:ascii="Times New Roman" w:hAnsi="Times New Roman" w:cs="Times New Roman" w:eastAsia="Times New Roman"/>
          <w:color w:val="auto"/>
          <w:spacing w:val="4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poblacional</w:t>
      </w:r>
      <w:r>
        <w:rPr>
          <w:rFonts w:ascii="Times New Roman" w:hAnsi="Times New Roman" w:cs="Times New Roman" w:eastAsia="Times New Roman"/>
          <w:color w:val="auto"/>
          <w:spacing w:val="4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transición</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80" w:after="0" w:line="240"/>
        <w:ind w:right="0"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energética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suponen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riesgos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futuros.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 w:after="0" w:line="360"/>
        <w:ind w:right="283"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Bolivia posee un sistema mixto que combina cuentas de capitalización individual gestionadas por la Gestora Pública y una pensión no contributiva denominada Renta Dignidad. La edad de jubilación es de 58 años, pero la cobertura contributiva es reducida debido a la elevada informalidad laboral. Según la OIT, menos del 30 % del empleo total contribuye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activamente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al</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sistema.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Además,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financiación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social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depende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 los ingresos del gas natural, por lo que la caída de la producción y de los precios energéticos genera dudas sobre la sostenibilidad fiscal futura.</w:t>
      </w:r>
    </w:p>
    <w:p>
      <w:pPr>
        <w:spacing w:before="137"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286" w:left="1"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Marruecos, por su parte, desarrolla desde 2021 una reforma orientada a extender la cobertura universal y a incorporar a trabajadores autónomos e informales. El sistema se divide entre la CNSS para asalariados privados y la CMR para funcionarios. Aun así, la elevada informalidad limita la cobertura efectiva y obliga a gran parte de la población mayor a depender de redes familiares o ayudas reducidas. El FMI estima que el despliegue completo de la reforma requerirá alrededor de 5.000 millones de dólares anuales, por lo</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éxito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dependerá</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capacidad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fiscal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administrativa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 Estado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avance en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 formalización del mercado laboral.</w:t>
      </w:r>
    </w:p>
    <w:p>
      <w:pPr>
        <w:spacing w:before="221"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67"/>
        </w:numPr>
        <w:tabs>
          <w:tab w:val="left" w:pos="721" w:leader="none"/>
        </w:tabs>
        <w:spacing w:before="0" w:after="0" w:line="240"/>
        <w:ind w:right="0" w:left="721"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2"/>
          <w:position w:val="0"/>
          <w:sz w:val="28"/>
          <w:shd w:fill="auto" w:val="clear"/>
        </w:rPr>
        <w:t xml:space="preserve">Conclusiones.</w:t>
      </w:r>
    </w:p>
    <w:p>
      <w:pPr>
        <w:spacing w:before="123"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1" w:after="0" w:line="360"/>
        <w:ind w:right="231" w:left="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conjunto, el análisis muestra que el crecimiento económico no sigue una única trayectoria ni depende de un solo factor. Aunque algunos países han experimentado procesos de convergencia parcial en términos de renta, persisten diferencias estructurales profundas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asociadas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productividad,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acumulación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capital,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calidad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institucional</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 la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capacidad de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sostener sistemas de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bienestar en el largo plazo. Mientras economías como Noruega o Estados Unidos combinan altos niveles de productividad y estabilidad, otras como Bolivia y Marruecos dependen en mayor medida de la acumulación de factores y presentan mayores vulnerabilidades estructurales. Además, el estudio de los sistemas de pensiones evidencia que incluso las economías más desarrolladas enfrentan desafíos derivados del envejecimiento demográfico y de la sostenibilidad fiscal. En definitiva, el crecimiento no debe evaluarse únicamente por cuánto aumenta el PIB, sino por la solidez, eficiencia y sostenibilidad del modelo económico que lo sostiene.</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50"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72"/>
        </w:numPr>
        <w:tabs>
          <w:tab w:val="left" w:pos="721" w:leader="none"/>
        </w:tabs>
        <w:spacing w:before="0" w:after="0" w:line="240"/>
        <w:ind w:right="0" w:left="721"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Anexo:</w:t>
      </w:r>
      <w:r>
        <w:rPr>
          <w:rFonts w:ascii="Times New Roman" w:hAnsi="Times New Roman" w:cs="Times New Roman" w:eastAsia="Times New Roman"/>
          <w:color w:val="auto"/>
          <w:spacing w:val="1"/>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Uso de</w:t>
      </w:r>
      <w:r>
        <w:rPr>
          <w:rFonts w:ascii="Times New Roman" w:hAnsi="Times New Roman" w:cs="Times New Roman" w:eastAsia="Times New Roman"/>
          <w:color w:val="auto"/>
          <w:spacing w:val="-1"/>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la IA</w:t>
      </w:r>
      <w:r>
        <w:rPr>
          <w:rFonts w:ascii="Times New Roman" w:hAnsi="Times New Roman" w:cs="Times New Roman" w:eastAsia="Times New Roman"/>
          <w:color w:val="auto"/>
          <w:spacing w:val="-3"/>
          <w:position w:val="0"/>
          <w:sz w:val="28"/>
          <w:shd w:fill="auto" w:val="clear"/>
        </w:rPr>
        <w:t xml:space="preserve"> </w:t>
      </w:r>
      <w:r>
        <w:rPr>
          <w:rFonts w:ascii="Times New Roman" w:hAnsi="Times New Roman" w:cs="Times New Roman" w:eastAsia="Times New Roman"/>
          <w:color w:val="auto"/>
          <w:spacing w:val="-2"/>
          <w:position w:val="0"/>
          <w:sz w:val="28"/>
          <w:shd w:fill="auto" w:val="clear"/>
        </w:rPr>
        <w:t xml:space="preserve">Generativa.</w:t>
      </w:r>
    </w:p>
    <w:p>
      <w:pPr>
        <w:spacing w:before="94"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360"/>
        <w:ind w:right="344" w:left="14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la elaboración de este trabajo se ha utilizado IA generativa como herramienta de apoyo, principalmente en tres ámbitos; organización de contenidos, desarrollo de código y generación de visualizaciones. En primer lugar, se ha empleado para estructurar y ordenar</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ideas,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facilitando</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transformación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intuiciones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iniciales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análisis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más coherente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 sistemático. En segundo lugar, ha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sido especialmente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útil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 la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parte técnica, ayudando a desarrollar código en Google Colab para la limpieza de datos, el cálculo de variables y la construcción de tablas y gráficos.</w:t>
      </w:r>
    </w:p>
    <w:p>
      <w:pPr>
        <w:numPr>
          <w:ilvl w:val="0"/>
          <w:numId w:val="75"/>
        </w:numPr>
        <w:tabs>
          <w:tab w:val="left" w:pos="861" w:leader="none"/>
        </w:tabs>
        <w:spacing w:before="251" w:after="0" w:line="240"/>
        <w:ind w:right="0" w:left="861"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¿Cuál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utilizado?</w:t>
      </w:r>
    </w:p>
    <w:p>
      <w:pPr>
        <w:spacing w:before="117"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utilizado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Claude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Chatgpt </w:t>
      </w:r>
      <w:r>
        <w:rPr>
          <w:rFonts w:ascii="Times New Roman" w:hAnsi="Times New Roman" w:cs="Times New Roman" w:eastAsia="Times New Roman"/>
          <w:color w:val="auto"/>
          <w:spacing w:val="-2"/>
          <w:position w:val="0"/>
          <w:sz w:val="24"/>
          <w:shd w:fill="auto" w:val="clear"/>
        </w:rPr>
        <w:t xml:space="preserve">principalmente.</w:t>
      </w:r>
    </w:p>
    <w:p>
      <w:pPr>
        <w:numPr>
          <w:ilvl w:val="0"/>
          <w:numId w:val="78"/>
        </w:numPr>
        <w:tabs>
          <w:tab w:val="left" w:pos="861" w:leader="none"/>
        </w:tabs>
        <w:spacing w:before="157" w:after="0" w:line="240"/>
        <w:ind w:right="0" w:left="861"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qué</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trabajo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utilizado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(número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del</w:t>
      </w:r>
      <w:r>
        <w:rPr>
          <w:rFonts w:ascii="Times New Roman" w:hAnsi="Times New Roman" w:cs="Times New Roman" w:eastAsia="Times New Roman"/>
          <w:color w:val="auto"/>
          <w:spacing w:val="-2"/>
          <w:position w:val="0"/>
          <w:sz w:val="24"/>
          <w:shd w:fill="auto" w:val="clear"/>
        </w:rPr>
        <w:t xml:space="preserve"> ejercicio).</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31"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 w:after="0" w:line="374"/>
        <w:ind w:right="1652" w:left="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utilizado</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principalmente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ejercicios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requerían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labores técnicas, como la elaboración de gráficos. En los ejercicios 2,3 y 4.</w:t>
      </w:r>
    </w:p>
    <w:p>
      <w:pPr>
        <w:spacing w:before="15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83"/>
        </w:numPr>
        <w:tabs>
          <w:tab w:val="left" w:pos="861" w:leader="none"/>
        </w:tabs>
        <w:spacing w:before="0" w:after="0" w:line="240"/>
        <w:ind w:right="0" w:left="861"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Cómo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validado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información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proporcionada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por la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Generativa.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27"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360"/>
        <w:ind w:right="231" w:left="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hora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realizar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tablas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gráficos,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ido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validando 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el mismo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instante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 creación, revisando si los datos mismos son coherentes con los valores de la gráfica.</w:t>
      </w:r>
    </w:p>
    <w:p>
      <w:pPr>
        <w:spacing w:before="169"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88"/>
        </w:numPr>
        <w:tabs>
          <w:tab w:val="left" w:pos="861" w:leader="none"/>
        </w:tabs>
        <w:spacing w:before="1" w:after="0" w:line="352"/>
        <w:ind w:right="429" w:left="861"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reflexión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sobre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 el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IA Generativa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 sido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útil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realizar el </w:t>
      </w:r>
      <w:r>
        <w:rPr>
          <w:rFonts w:ascii="Times New Roman" w:hAnsi="Times New Roman" w:cs="Times New Roman" w:eastAsia="Times New Roman"/>
          <w:color w:val="auto"/>
          <w:spacing w:val="-2"/>
          <w:position w:val="0"/>
          <w:sz w:val="24"/>
          <w:shd w:fill="auto" w:val="clear"/>
        </w:rPr>
        <w:t xml:space="preserve">trabajo.</w:t>
      </w:r>
    </w:p>
    <w:p>
      <w:pPr>
        <w:spacing w:before="259" w:after="0" w:line="360"/>
        <w:ind w:right="231" w:left="1"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sido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herramienta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útil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mejorar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eficiencia en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proceso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trabajo, especialmente en tareas técnicas y de estructuración.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8">
    <w:abstractNumId w:val="60"/>
  </w:num>
  <w:num w:numId="13">
    <w:abstractNumId w:val="54"/>
  </w:num>
  <w:num w:numId="25">
    <w:abstractNumId w:val="48"/>
  </w:num>
  <w:num w:numId="34">
    <w:abstractNumId w:val="42"/>
  </w:num>
  <w:num w:numId="48">
    <w:abstractNumId w:val="36"/>
  </w:num>
  <w:num w:numId="67">
    <w:abstractNumId w:val="30"/>
  </w:num>
  <w:num w:numId="72">
    <w:abstractNumId w:val="24"/>
  </w:num>
  <w:num w:numId="75">
    <w:abstractNumId w:val="18"/>
  </w:num>
  <w:num w:numId="78">
    <w:abstractNumId w:val="12"/>
  </w:num>
  <w:num w:numId="83">
    <w:abstractNumId w:val="6"/>
  </w:num>
  <w:num w:numId="8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