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2F61B5" w14:textId="1C16611B" w:rsidR="00F6371C" w:rsidRDefault="00000000">
      <w:pPr>
        <w:tabs>
          <w:tab w:val="center" w:pos="1701"/>
          <w:tab w:val="center" w:pos="6379"/>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s>
        <w:spacing w:before="120"/>
        <w:rPr>
          <w:rFonts w:ascii="Arial" w:eastAsia="Arial" w:hAnsi="Arial" w:cs="Arial"/>
          <w:b/>
          <w:sz w:val="18"/>
          <w:szCs w:val="18"/>
        </w:rPr>
      </w:pPr>
      <w:r>
        <w:rPr>
          <w:rFonts w:ascii="Arial" w:eastAsia="Arial" w:hAnsi="Arial" w:cs="Arial"/>
          <w:b/>
          <w:sz w:val="18"/>
          <w:szCs w:val="18"/>
        </w:rPr>
        <w:t>{ten_kh_upper}</w:t>
      </w:r>
    </w:p>
    <w:p w14:paraId="16C44C06" w14:textId="61F228F2" w:rsidR="00F6371C" w:rsidRDefault="00000000">
      <w:pPr>
        <w:tabs>
          <w:tab w:val="center" w:pos="6379"/>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spacing w:before="120"/>
        <w:rPr>
          <w:rFonts w:ascii="Arial" w:eastAsia="Arial" w:hAnsi="Arial" w:cs="Arial"/>
          <w:b/>
          <w:sz w:val="18"/>
          <w:szCs w:val="18"/>
        </w:rPr>
      </w:pPr>
      <w:r>
        <w:rPr>
          <w:rFonts w:ascii="Arial" w:eastAsia="Arial" w:hAnsi="Arial" w:cs="Arial"/>
          <w:b/>
          <w:sz w:val="18"/>
          <w:szCs w:val="18"/>
        </w:rPr>
        <w:t>Địa chỉ: {dia_chi_kh}.</w:t>
      </w:r>
    </w:p>
    <w:p w14:paraId="03A551E8" w14:textId="4D436B6C" w:rsidR="00F6371C" w:rsidRDefault="00000000">
      <w:pPr>
        <w:tabs>
          <w:tab w:val="center" w:pos="1701"/>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before="120"/>
        <w:rPr>
          <w:rFonts w:ascii="Arial" w:eastAsia="Arial" w:hAnsi="Arial" w:cs="Arial"/>
          <w:sz w:val="18"/>
          <w:szCs w:val="18"/>
        </w:rPr>
      </w:pPr>
      <w:r>
        <w:rPr>
          <w:rFonts w:ascii="Arial" w:eastAsia="Arial" w:hAnsi="Arial" w:cs="Arial"/>
          <w:sz w:val="18"/>
          <w:szCs w:val="18"/>
        </w:rPr>
        <w:t>Số: {So_thu_giaitrinh}</w:t>
      </w:r>
    </w:p>
    <w:p w14:paraId="7843EEF2" w14:textId="77777777" w:rsidR="00F6371C" w:rsidRDefault="00000000">
      <w:pPr>
        <w:jc w:val="center"/>
        <w:rPr>
          <w:rFonts w:ascii="Arial" w:eastAsia="Arial" w:hAnsi="Arial" w:cs="Arial"/>
          <w:b/>
          <w:sz w:val="22"/>
          <w:szCs w:val="22"/>
        </w:rPr>
      </w:pPr>
      <w:r>
        <w:rPr>
          <w:rFonts w:ascii="Arial" w:eastAsia="Arial" w:hAnsi="Arial" w:cs="Arial"/>
          <w:b/>
          <w:sz w:val="22"/>
          <w:szCs w:val="22"/>
        </w:rPr>
        <w:t>THƯ GIẢI TRÌNH CỦA BAN GIÁM ĐỐC</w:t>
      </w:r>
    </w:p>
    <w:p w14:paraId="6132A68F" w14:textId="77777777" w:rsidR="00F6371C" w:rsidRDefault="00F6371C">
      <w:pPr>
        <w:rPr>
          <w:rFonts w:ascii="Arial" w:eastAsia="Arial" w:hAnsi="Arial" w:cs="Arial"/>
          <w:sz w:val="20"/>
          <w:szCs w:val="20"/>
        </w:rPr>
      </w:pPr>
    </w:p>
    <w:p w14:paraId="6F2CA479" w14:textId="77777777" w:rsidR="00F6371C" w:rsidRDefault="00000000">
      <w:pPr>
        <w:rPr>
          <w:rFonts w:ascii="Arial" w:eastAsia="Arial" w:hAnsi="Arial" w:cs="Arial"/>
          <w:b/>
          <w:sz w:val="18"/>
          <w:szCs w:val="18"/>
        </w:rPr>
      </w:pPr>
      <w:r>
        <w:rPr>
          <w:rFonts w:ascii="Arial" w:eastAsia="Arial" w:hAnsi="Arial" w:cs="Arial"/>
          <w:b/>
          <w:i/>
          <w:sz w:val="18"/>
          <w:szCs w:val="18"/>
        </w:rPr>
        <w:t>Kính gửi:</w:t>
      </w:r>
      <w:r>
        <w:rPr>
          <w:rFonts w:ascii="Arial" w:eastAsia="Arial" w:hAnsi="Arial" w:cs="Arial"/>
          <w:b/>
          <w:sz w:val="18"/>
          <w:szCs w:val="18"/>
        </w:rPr>
        <w:t xml:space="preserve"> </w:t>
      </w:r>
      <w:r>
        <w:rPr>
          <w:rFonts w:ascii="Arial" w:eastAsia="Arial" w:hAnsi="Arial" w:cs="Arial"/>
          <w:b/>
          <w:sz w:val="18"/>
          <w:szCs w:val="18"/>
        </w:rPr>
        <w:tab/>
        <w:t>Ông/Bà Kiểm toán viên</w:t>
      </w:r>
    </w:p>
    <w:p w14:paraId="1EAE9EB6" w14:textId="77777777" w:rsidR="00F6371C" w:rsidRDefault="00000000">
      <w:pPr>
        <w:ind w:left="720" w:firstLine="720"/>
        <w:rPr>
          <w:rFonts w:ascii="Arial" w:eastAsia="Arial" w:hAnsi="Arial" w:cs="Arial"/>
          <w:b/>
          <w:sz w:val="18"/>
          <w:szCs w:val="18"/>
        </w:rPr>
      </w:pPr>
      <w:r>
        <w:rPr>
          <w:rFonts w:ascii="Arial" w:eastAsia="Arial" w:hAnsi="Arial" w:cs="Arial"/>
          <w:b/>
          <w:sz w:val="18"/>
          <w:szCs w:val="18"/>
        </w:rPr>
        <w:t>Công ty TNHH Kiểm toán IVC</w:t>
      </w:r>
    </w:p>
    <w:p w14:paraId="2C0B5D32" w14:textId="77777777" w:rsidR="00F6371C" w:rsidRDefault="00F6371C">
      <w:pPr>
        <w:rPr>
          <w:rFonts w:ascii="Arial" w:eastAsia="Arial" w:hAnsi="Arial" w:cs="Arial"/>
          <w:sz w:val="20"/>
          <w:szCs w:val="20"/>
        </w:rPr>
      </w:pPr>
    </w:p>
    <w:p w14:paraId="4B032007" w14:textId="77777777" w:rsidR="00F6371C" w:rsidRDefault="00F6371C">
      <w:pPr>
        <w:rPr>
          <w:rFonts w:ascii="Arial" w:eastAsia="Arial" w:hAnsi="Arial" w:cs="Arial"/>
          <w:sz w:val="2"/>
          <w:szCs w:val="2"/>
        </w:rPr>
      </w:pPr>
    </w:p>
    <w:p w14:paraId="51F096B7" w14:textId="77777777" w:rsidR="00F6371C" w:rsidRDefault="00F6371C">
      <w:pPr>
        <w:rPr>
          <w:rFonts w:ascii="Arial" w:eastAsia="Arial" w:hAnsi="Arial" w:cs="Arial"/>
          <w:sz w:val="2"/>
          <w:szCs w:val="2"/>
        </w:rPr>
      </w:pPr>
    </w:p>
    <w:p w14:paraId="15D2D315" w14:textId="4964F03F" w:rsidR="00F6371C" w:rsidRDefault="00000000">
      <w:pPr>
        <w:jc w:val="both"/>
        <w:rPr>
          <w:rFonts w:ascii="Arial" w:eastAsia="Arial" w:hAnsi="Arial" w:cs="Arial"/>
          <w:sz w:val="18"/>
          <w:szCs w:val="18"/>
        </w:rPr>
      </w:pPr>
      <w:r>
        <w:rPr>
          <w:rFonts w:ascii="Arial" w:eastAsia="Arial" w:hAnsi="Arial" w:cs="Arial"/>
          <w:sz w:val="18"/>
          <w:szCs w:val="18"/>
        </w:rPr>
        <w:t>Thư giải trình này được cung cấp liên quan đến cuộc kiểm toán của Công ty Ông/Bà về báo cáo tài chính của {ten_kh} cho năm tài chính kết thúc ngày {Nam_KiT} nhằm mục đích đưa ra ý kiến về việc liệu báo cáo tài chính có phản ánh trung thực và hợp lý, trên các khía cạnh trọng yếu, phù hợp với các chuẩn mực kế toán, chế độ kế toán (doanh nghiệp) Việt Nam và các quy định pháp lý có liên quan đến việc lập và trình bày báo cáo tài chính hay không.</w:t>
      </w:r>
    </w:p>
    <w:p w14:paraId="53F895FC" w14:textId="77777777" w:rsidR="00F6371C" w:rsidRDefault="00F6371C">
      <w:pPr>
        <w:jc w:val="both"/>
        <w:rPr>
          <w:rFonts w:ascii="Arial" w:eastAsia="Arial" w:hAnsi="Arial" w:cs="Arial"/>
          <w:sz w:val="18"/>
          <w:szCs w:val="18"/>
        </w:rPr>
      </w:pPr>
    </w:p>
    <w:p w14:paraId="029EB7B9" w14:textId="77777777" w:rsidR="00F6371C" w:rsidRDefault="00000000">
      <w:pPr>
        <w:spacing w:before="120"/>
        <w:jc w:val="both"/>
        <w:rPr>
          <w:rFonts w:ascii="Arial" w:eastAsia="Arial" w:hAnsi="Arial" w:cs="Arial"/>
          <w:sz w:val="18"/>
          <w:szCs w:val="18"/>
        </w:rPr>
      </w:pPr>
      <w:r>
        <w:rPr>
          <w:rFonts w:ascii="Arial" w:eastAsia="Arial" w:hAnsi="Arial" w:cs="Arial"/>
          <w:sz w:val="18"/>
          <w:szCs w:val="18"/>
        </w:rPr>
        <w:t xml:space="preserve">Chúng tôi xác nhận rằng </w:t>
      </w:r>
      <w:r>
        <w:rPr>
          <w:rFonts w:ascii="Arial" w:eastAsia="Arial" w:hAnsi="Arial" w:cs="Arial"/>
          <w:i/>
          <w:sz w:val="18"/>
          <w:szCs w:val="18"/>
        </w:rPr>
        <w:t>(với sự hiểu biết và tin tưởng cao nhất, chúng tôi đã tìm hiểu những thông tin mà chúng tôi cho là cần thiết để thu được những hiểu biết thích hợp)</w:t>
      </w:r>
      <w:r>
        <w:rPr>
          <w:rFonts w:ascii="Arial" w:eastAsia="Arial" w:hAnsi="Arial" w:cs="Arial"/>
          <w:sz w:val="18"/>
          <w:szCs w:val="18"/>
        </w:rPr>
        <w:t>:</w:t>
      </w:r>
    </w:p>
    <w:p w14:paraId="1DFAD926" w14:textId="1C6CA05A"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đã hoàn thành các trách nhiệm của mình, như đã thỏa thuận trong các điều khoản của Hợp đồng kiểm toán số {So_hopdong_text} ngày {Ngay_hopdong_text} đối với việc lập và trình bày báo cáo tài chính theo các chuẩn mực kế toán, chế độ kế toán (doanh nghiệp) Việt Nam và các quy định pháp lý có liên quan đến việc lập và trình bày báo cáo tài chính; cụ thể là báo cáo tài chính đã phản ánh trung thực và hợp lý, trên các khía cạnh trọng yếu, phù hợp với chuẩn mực kế toán, chế độ kế toán (doanh nghiệp) Việt Nam và các quy định pháp lý có liên quan đến việc lập và trình bày báo cáo tài chính.</w:t>
      </w:r>
    </w:p>
    <w:p w14:paraId="3B694F57"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đã sử dụng các giả định hợp lý để đưa ra các ước tính kế toán, kể cả ước tính về giá trị hợp lý .</w:t>
      </w:r>
    </w:p>
    <w:p w14:paraId="5215807D"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Công ty có quyền sở hữu hợp pháp đối với tất cả các tài sản, không có tranh chấp liên quan tới các tài sản và không có các tài sản bị cầm cố cũng như thế chấp, ngoài các tài sản thế chấp đã thuyết minh trên báo cáo tài chính.</w:t>
      </w:r>
    </w:p>
    <w:p w14:paraId="1DEF2AFB"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đã ghi nhận hoặc trình bày đúng đắn tất cả các khoản nợ phải trả, bao gồm các khoản nợ thực tế và nợ tiềm tàng và đã trình bày tất cả các khoản bảo lãnh cho bên thứ ba và các bên liên quan của Công ty trên các báo cáo tài chính.</w:t>
      </w:r>
    </w:p>
    <w:p w14:paraId="7B50A46A"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xác nhận rằng Công ty đã không sử dụng bất kỳ luật sư nào trong năm cho bất kỳ tranh chấp hay khiếu nại nào (hoặc mô tả dịch vụ luật sư có sử dụng).</w:t>
      </w:r>
    </w:p>
    <w:p w14:paraId="5FC0706A"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Tất cả các sự kiện phát sinh sau ngày kết thúc kỳ kế toán và cần phải được điều chỉnh và thuyết minh theo quy định của chuẩn mực kế toán, chế độ kế toán (doanh nghiệp) Việt Nam đều đã được điều chỉnh và thuyết minh.</w:t>
      </w:r>
    </w:p>
    <w:p w14:paraId="74A580B9" w14:textId="77777777" w:rsidR="00F6371C" w:rsidRDefault="00000000">
      <w:pPr>
        <w:spacing w:before="120"/>
        <w:ind w:left="576"/>
        <w:jc w:val="both"/>
        <w:rPr>
          <w:rFonts w:ascii="Arial" w:eastAsia="Arial" w:hAnsi="Arial" w:cs="Arial"/>
          <w:sz w:val="18"/>
          <w:szCs w:val="18"/>
        </w:rPr>
      </w:pPr>
      <w:r>
        <w:rPr>
          <w:rFonts w:ascii="Arial" w:eastAsia="Arial" w:hAnsi="Arial" w:cs="Arial"/>
          <w:sz w:val="18"/>
          <w:szCs w:val="18"/>
        </w:rPr>
        <w:t xml:space="preserve">[hoặc: Chúng tôi không nhận thấy có sự kiện nào phát sinh sau ngày kết thúc kỳ kế toán và cần phải được điều chỉnh và thuyết minh theo quy định của chuẩn mực kế toán, chế độ kế toán (doanh nghiệp) Việt Nam]. </w:t>
      </w:r>
    </w:p>
    <w:p w14:paraId="0C4840D5" w14:textId="77777777" w:rsidR="00F6371C" w:rsidRDefault="00000000">
      <w:pPr>
        <w:numPr>
          <w:ilvl w:val="0"/>
          <w:numId w:val="1"/>
        </w:numPr>
        <w:spacing w:before="120" w:after="120"/>
        <w:jc w:val="both"/>
        <w:rPr>
          <w:rFonts w:ascii="Arial" w:eastAsia="Arial" w:hAnsi="Arial" w:cs="Arial"/>
          <w:sz w:val="18"/>
          <w:szCs w:val="18"/>
        </w:rPr>
      </w:pPr>
      <w:r>
        <w:rPr>
          <w:rFonts w:ascii="Arial" w:eastAsia="Arial" w:hAnsi="Arial" w:cs="Arial"/>
          <w:sz w:val="18"/>
          <w:szCs w:val="18"/>
        </w:rPr>
        <w:t>Chúng tôi không có kế hoạch dừng sản xuất bất kỳ dòng sản phẩm nào có thể dẫn đến bất kỳ hàng tồn kho dư thừa hoặc quá hạn ngoài các hàng tồn kho quá hạn do không có đơn đặt hàng bán hàng trong tương lai mà chúng tôi đã trích lập dự phòng đầy đủ. Không có bất kỳ hàng tồn kho nào được ghi nhận theo giá trị vượt quá giá trị thuần có thể thực hiện được.</w:t>
      </w:r>
    </w:p>
    <w:p w14:paraId="4AEBD62A" w14:textId="77777777" w:rsidR="00F6371C" w:rsidRDefault="00000000">
      <w:pPr>
        <w:numPr>
          <w:ilvl w:val="0"/>
          <w:numId w:val="1"/>
        </w:numPr>
        <w:spacing w:after="120"/>
        <w:rPr>
          <w:rFonts w:ascii="Arial" w:eastAsia="Arial" w:hAnsi="Arial" w:cs="Arial"/>
          <w:sz w:val="18"/>
          <w:szCs w:val="18"/>
        </w:rPr>
      </w:pPr>
      <w:r>
        <w:rPr>
          <w:rFonts w:ascii="Arial" w:eastAsia="Arial" w:hAnsi="Arial" w:cs="Arial"/>
          <w:sz w:val="18"/>
          <w:szCs w:val="18"/>
        </w:rPr>
        <w:t>Chúng tôi không có bất kỳ kế hoạch nào có thể dẫn đến thay đổi trọng yếu giá trị cũng như phân loại của tài sản và nợ phải trả được trình bày trên báo cáo tài chính.</w:t>
      </w:r>
    </w:p>
    <w:p w14:paraId="5483D83B" w14:textId="77777777" w:rsidR="00F6371C" w:rsidRDefault="00000000">
      <w:pPr>
        <w:numPr>
          <w:ilvl w:val="0"/>
          <w:numId w:val="1"/>
        </w:numPr>
        <w:rPr>
          <w:rFonts w:ascii="Arial" w:eastAsia="Arial" w:hAnsi="Arial" w:cs="Arial"/>
          <w:sz w:val="18"/>
          <w:szCs w:val="18"/>
        </w:rPr>
      </w:pPr>
      <w:r>
        <w:rPr>
          <w:rFonts w:ascii="Arial" w:eastAsia="Arial" w:hAnsi="Arial" w:cs="Arial"/>
          <w:sz w:val="18"/>
          <w:szCs w:val="18"/>
        </w:rPr>
        <w:t>Những vấn đề sau đây đã được ghi nhận một cách đúng đắn, hoặc đã được nêu rõ trong báo cáo tài chính (hoặc  không phát sinh các vấn đề sau):</w:t>
      </w:r>
    </w:p>
    <w:p w14:paraId="610B3A81" w14:textId="77777777" w:rsidR="00F6371C" w:rsidRDefault="00000000">
      <w:pPr>
        <w:numPr>
          <w:ilvl w:val="1"/>
          <w:numId w:val="2"/>
        </w:numPr>
        <w:spacing w:before="120"/>
        <w:ind w:left="812" w:hanging="252"/>
        <w:jc w:val="both"/>
        <w:rPr>
          <w:rFonts w:ascii="Arial" w:eastAsia="Arial" w:hAnsi="Arial" w:cs="Arial"/>
          <w:sz w:val="18"/>
          <w:szCs w:val="18"/>
        </w:rPr>
      </w:pPr>
      <w:r>
        <w:rPr>
          <w:rFonts w:ascii="Arial" w:eastAsia="Arial" w:hAnsi="Arial" w:cs="Arial"/>
          <w:sz w:val="18"/>
          <w:szCs w:val="18"/>
        </w:rPr>
        <w:t>Các thỏa thuận với các tổ chức tài chính liên quan tới bù trừ các số dư, hoặc các thỏa thuận liên quan tới hạn chế số dư tiền mặt và cung cấp tín dụng, hoặc các thỏa thuận tương tự khác;</w:t>
      </w:r>
    </w:p>
    <w:p w14:paraId="06D0565C" w14:textId="77777777" w:rsidR="00F6371C" w:rsidRDefault="00000000">
      <w:pPr>
        <w:numPr>
          <w:ilvl w:val="1"/>
          <w:numId w:val="2"/>
        </w:numPr>
        <w:spacing w:before="120"/>
        <w:ind w:left="812" w:hanging="252"/>
        <w:jc w:val="both"/>
        <w:rPr>
          <w:rFonts w:ascii="Arial" w:eastAsia="Arial" w:hAnsi="Arial" w:cs="Arial"/>
          <w:sz w:val="18"/>
          <w:szCs w:val="18"/>
        </w:rPr>
      </w:pPr>
      <w:r>
        <w:rPr>
          <w:rFonts w:ascii="Arial" w:eastAsia="Arial" w:hAnsi="Arial" w:cs="Arial"/>
          <w:sz w:val="18"/>
          <w:szCs w:val="18"/>
        </w:rPr>
        <w:t>Các thỏa thuận cam kết mua lại tài sản đã bán trước đó;</w:t>
      </w:r>
    </w:p>
    <w:p w14:paraId="018DC5B1" w14:textId="77777777" w:rsidR="00F6371C" w:rsidRDefault="00000000">
      <w:pPr>
        <w:numPr>
          <w:ilvl w:val="1"/>
          <w:numId w:val="2"/>
        </w:numPr>
        <w:spacing w:before="120"/>
        <w:ind w:left="812" w:hanging="252"/>
        <w:jc w:val="both"/>
        <w:rPr>
          <w:rFonts w:ascii="Arial" w:eastAsia="Arial" w:hAnsi="Arial" w:cs="Arial"/>
          <w:sz w:val="18"/>
          <w:szCs w:val="18"/>
        </w:rPr>
      </w:pPr>
      <w:r>
        <w:rPr>
          <w:rFonts w:ascii="Arial" w:eastAsia="Arial" w:hAnsi="Arial" w:cs="Arial"/>
          <w:sz w:val="18"/>
          <w:szCs w:val="18"/>
        </w:rPr>
        <w:t>Hợp đồng quyền lựa chọn hoặc thỏa thuận mua lại cổ phiếu, hoặc cổ phiếu được dành riêng cho việc thực hiện quyền lựa chọn, đảm bảo, chuyển đổi, hoặc việc thực hiện các cam kết khác;</w:t>
      </w:r>
      <w:r>
        <w:rPr>
          <w:rFonts w:ascii="Arial" w:eastAsia="Arial" w:hAnsi="Arial" w:cs="Arial"/>
          <w:b/>
        </w:rPr>
        <w:t xml:space="preserve"> </w:t>
      </w:r>
    </w:p>
    <w:p w14:paraId="36E5C89B" w14:textId="77777777" w:rsidR="00F6371C" w:rsidRDefault="00000000">
      <w:pPr>
        <w:numPr>
          <w:ilvl w:val="1"/>
          <w:numId w:val="2"/>
        </w:numPr>
        <w:spacing w:before="120" w:after="120"/>
        <w:ind w:left="812" w:hanging="252"/>
        <w:jc w:val="both"/>
        <w:rPr>
          <w:rFonts w:ascii="Arial" w:eastAsia="Arial" w:hAnsi="Arial" w:cs="Arial"/>
          <w:sz w:val="18"/>
          <w:szCs w:val="18"/>
        </w:rPr>
      </w:pPr>
      <w:r>
        <w:rPr>
          <w:rFonts w:ascii="Arial" w:eastAsia="Arial" w:hAnsi="Arial" w:cs="Arial"/>
          <w:sz w:val="18"/>
          <w:szCs w:val="18"/>
        </w:rPr>
        <w:t>Những thay đổi trong nguyên tắc kế toán có tác động tới tính nhất quán của số liệu.</w:t>
      </w:r>
    </w:p>
    <w:p w14:paraId="284DA9B8"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Mọi giao dịch bán đều đã được chốt và không có bất cứ một thỏa thuận biệt lập nào với khách hàng, hoặc một điều khoản bán hàng nào, cho phép trả lại hàng đã bán, ngoại trừ trường hợp hàng bị hư hỏng hoặc điều kiện khác thường được áp dụng trong trường hợp bảo hành.</w:t>
      </w:r>
    </w:p>
    <w:p w14:paraId="4674BAC1"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đã cung cấp cho Ông/Bà:</w:t>
      </w:r>
    </w:p>
    <w:p w14:paraId="072D5FD3" w14:textId="77777777" w:rsidR="00F6371C" w:rsidRDefault="00000000">
      <w:pPr>
        <w:numPr>
          <w:ilvl w:val="1"/>
          <w:numId w:val="2"/>
        </w:numPr>
        <w:spacing w:before="120"/>
        <w:ind w:left="854" w:hanging="280"/>
        <w:jc w:val="both"/>
        <w:rPr>
          <w:rFonts w:ascii="Arial" w:eastAsia="Arial" w:hAnsi="Arial" w:cs="Arial"/>
          <w:sz w:val="18"/>
          <w:szCs w:val="18"/>
        </w:rPr>
      </w:pPr>
      <w:r>
        <w:rPr>
          <w:rFonts w:ascii="Arial" w:eastAsia="Arial" w:hAnsi="Arial" w:cs="Arial"/>
          <w:sz w:val="18"/>
          <w:szCs w:val="18"/>
        </w:rPr>
        <w:t xml:space="preserve">Quyền tiếp cận với tất cả tài liệu, thông tin mà chúng tôi nhận thấy có liên quan đến việc lập và trình bày báo cáo tài chính như sổ, tài liệu, chứng từ kế toán và các vấn đề khác; </w:t>
      </w:r>
    </w:p>
    <w:p w14:paraId="72C1CFBB" w14:textId="77777777" w:rsidR="00F6371C" w:rsidRDefault="00000000">
      <w:pPr>
        <w:numPr>
          <w:ilvl w:val="1"/>
          <w:numId w:val="2"/>
        </w:numPr>
        <w:spacing w:before="120"/>
        <w:ind w:left="854" w:hanging="280"/>
        <w:jc w:val="both"/>
        <w:rPr>
          <w:rFonts w:ascii="Arial" w:eastAsia="Arial" w:hAnsi="Arial" w:cs="Arial"/>
          <w:sz w:val="18"/>
          <w:szCs w:val="18"/>
        </w:rPr>
      </w:pPr>
      <w:r>
        <w:rPr>
          <w:rFonts w:ascii="Arial" w:eastAsia="Arial" w:hAnsi="Arial" w:cs="Arial"/>
          <w:sz w:val="18"/>
          <w:szCs w:val="18"/>
        </w:rPr>
        <w:lastRenderedPageBreak/>
        <w:t>Các tài liệu, thông tin bổ sung mà kiểm toán viên yêu cầu chúng tôi cung cấp để phục vụ cho mục đích kiểm toán;</w:t>
      </w:r>
    </w:p>
    <w:p w14:paraId="104B2DFA" w14:textId="77777777" w:rsidR="00F6371C" w:rsidRDefault="00000000">
      <w:pPr>
        <w:numPr>
          <w:ilvl w:val="1"/>
          <w:numId w:val="2"/>
        </w:numPr>
        <w:spacing w:before="120"/>
        <w:ind w:left="854" w:hanging="280"/>
        <w:jc w:val="both"/>
        <w:rPr>
          <w:rFonts w:ascii="Arial" w:eastAsia="Arial" w:hAnsi="Arial" w:cs="Arial"/>
          <w:sz w:val="18"/>
          <w:szCs w:val="18"/>
        </w:rPr>
      </w:pPr>
      <w:r>
        <w:rPr>
          <w:rFonts w:ascii="Arial" w:eastAsia="Arial" w:hAnsi="Arial" w:cs="Arial"/>
          <w:sz w:val="18"/>
          <w:szCs w:val="18"/>
        </w:rPr>
        <w:t>Quyền tiếp cận không hạn chế với những cá nhân trong đơn vị mà kiểm toán viên xác định là cần thiết nhằm thu thập bằng chứng kiểm toán;</w:t>
      </w:r>
    </w:p>
    <w:p w14:paraId="2F2F78CF" w14:textId="77777777" w:rsidR="00F6371C" w:rsidRDefault="00000000">
      <w:pPr>
        <w:numPr>
          <w:ilvl w:val="1"/>
          <w:numId w:val="2"/>
        </w:numPr>
        <w:spacing w:before="120"/>
        <w:ind w:left="854" w:hanging="280"/>
        <w:jc w:val="both"/>
        <w:rPr>
          <w:rFonts w:ascii="Arial" w:eastAsia="Arial" w:hAnsi="Arial" w:cs="Arial"/>
          <w:sz w:val="18"/>
          <w:szCs w:val="18"/>
        </w:rPr>
      </w:pPr>
      <w:r>
        <w:rPr>
          <w:rFonts w:ascii="Arial" w:eastAsia="Arial" w:hAnsi="Arial" w:cs="Arial"/>
          <w:sz w:val="18"/>
          <w:szCs w:val="18"/>
        </w:rPr>
        <w:t>Các Biên bản họp, các Nghị quyết của đại hội cổ đông, Hội đồng quản trị/ Hội đồng thành viên và Ban Tổng Giám đốc.</w:t>
      </w:r>
    </w:p>
    <w:p w14:paraId="4B3A5E63"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Tất cả các giao dịch đã được ghi chép trong tài liệu, sổ kế toán và đã được phản ánh trong báo cáo tài chính.</w:t>
      </w:r>
    </w:p>
    <w:p w14:paraId="1943D6DB"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không nhận thấy có rủi ro báo cáo tài chính có thể chứa đựng sai sót trọng yếu do gian lận.</w:t>
      </w:r>
    </w:p>
    <w:p w14:paraId="5A964FB2"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không nhận thấy có bất kỳ thông tin nào liên quan đến gian lận hoặc nghi ngờ gian lận có thể có ảnh hưởng đến đơn vị và liên quan đến: Ban Giám đốc; những nhân viên có vai trò quan trọng trong kiểm soát nội bộ; hoặc các vấn đề khác mà gian lận có thể ảnh hưởng trọng yếu đến báo cáo tài chính.</w:t>
      </w:r>
    </w:p>
    <w:p w14:paraId="537C4C16"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không nhận thấy có bất kỳ thông tin nào liên quan đến các cáo buộc gian lận hoặc nghi ngờ gian lận có ảnh hưởng đến báo cáo tài chính của đơn vị mà chúng tôi được thông báo từ các nhân viên, nhân viên cũ của Công ty, các chuyên gia phân tích, các cơ quan quản lý hoặc những người khác.</w:t>
      </w:r>
    </w:p>
    <w:p w14:paraId="627FBB76"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không nhận thấy có bất kỳ trường hợp nào không tuân thủ hoặc nghi ngờ không tuân thủ pháp luật và các quy định mà ảnh hưởng của việc không tuân thủ đó cần được xem xét khi lập và trình bày báo cáo tài chính.</w:t>
      </w:r>
    </w:p>
    <w:p w14:paraId="5947850B"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 xml:space="preserve">Chúng tôi đã công bố cho Ông/Bà danh tính của các bên liên quan của đơn vị và tất cả các mối quan hệ và giao dịch với các bên liên quan mà chúng tôi biết. </w:t>
      </w:r>
    </w:p>
    <w:p w14:paraId="27C7D568"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Hiện tại, ngoài sự kiện như đã thuyết minh trong Bản thuyết minh báo cáo tài chính, không còn các sự kiện phát sinh sau ngày kết thúc kỳ kế toán đòi hỏi phải xem xét lại số liệu đã trình bày trong Báo cáo tài chính hoặc phải thuyết minh bổ sung. Chúng tôi sẽ thông báo cho Quý vị nếu có bất kỳ sự kiện trọng yếu nào xảy ra đòi hỏi phải trình bày lại số liệu hoặc thuyết minh bổ sung trong Báo cáo tài chính.</w:t>
      </w:r>
    </w:p>
    <w:p w14:paraId="3852CB87" w14:textId="77777777" w:rsidR="00F6371C" w:rsidRDefault="00000000">
      <w:pPr>
        <w:numPr>
          <w:ilvl w:val="0"/>
          <w:numId w:val="1"/>
        </w:numPr>
        <w:spacing w:before="240"/>
        <w:ind w:left="578" w:hanging="578"/>
        <w:jc w:val="both"/>
        <w:rPr>
          <w:rFonts w:ascii="Arial" w:eastAsia="Arial" w:hAnsi="Arial" w:cs="Arial"/>
          <w:sz w:val="18"/>
          <w:szCs w:val="18"/>
        </w:rPr>
      </w:pPr>
      <w:r>
        <w:rPr>
          <w:rFonts w:ascii="Arial" w:eastAsia="Arial" w:hAnsi="Arial" w:cs="Arial"/>
          <w:sz w:val="18"/>
          <w:szCs w:val="18"/>
        </w:rPr>
        <w:t>Các báo cáo tài chính đã thuyết minh tất cả các vấn đề mà chúng tôi biết có liên quan đến khả năng hoạt động theo nguyên tắc hoạt động liên tục. (Nếu không, thêm các kế hoạch hành động trong thời gian tới như sau để đảm bảo nguyên tắc hoạt động liên tục).</w:t>
      </w:r>
    </w:p>
    <w:p w14:paraId="5B56BE3A"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Chúng tôi đã cân nhắc đến tất cả các bút toán điều chỉnh mà Quý vị đề nghị và xác nhận chúng tôi chấp nhận các bút toán điều chỉnh này, ngoại trừ các bút toán về …(nêu cụ thể các bút toán không chấp nhận điều chỉnh)</w:t>
      </w:r>
    </w:p>
    <w:p w14:paraId="29CC9C26" w14:textId="77777777" w:rsidR="00F6371C" w:rsidRDefault="00000000">
      <w:pPr>
        <w:numPr>
          <w:ilvl w:val="0"/>
          <w:numId w:val="1"/>
        </w:numPr>
        <w:spacing w:before="120"/>
        <w:jc w:val="both"/>
        <w:rPr>
          <w:rFonts w:ascii="Arial" w:eastAsia="Arial" w:hAnsi="Arial" w:cs="Arial"/>
          <w:sz w:val="18"/>
          <w:szCs w:val="18"/>
        </w:rPr>
      </w:pPr>
      <w:r>
        <w:rPr>
          <w:rFonts w:ascii="Arial" w:eastAsia="Arial" w:hAnsi="Arial" w:cs="Arial"/>
          <w:sz w:val="18"/>
          <w:szCs w:val="18"/>
        </w:rPr>
        <w:t xml:space="preserve">Chúng tôi nhận thấy Bảng cân đối kế toán phản ánh nợ ngắn hạn vượt tài sản ngắn hạn …đồng và lỗ luỹ kế vượt vốn đầu tư của chủ sở hữu…đồng. Tuy nhiên, chúng tôi tin rằng cơ sở hoạt động liên tục là thích hợp trong việc lập báo cáo tài chính cho năm tài chính kết thúc ngày …và xác nhận rằng chúng tôi đã nhận được sự cam kết chính thức từ các thành viên góp vốn về việc cung cấp cho Công ty các hỗ trợ tài chính cần thiết để có thể thanh toán đầy đủ các nghĩa vụ nợ đến hạn trong thời gian ít nhất 12 tháng kể từ ngày kết thúc kỳ kế toán.  </w:t>
      </w:r>
    </w:p>
    <w:p w14:paraId="298F38EB" w14:textId="77777777" w:rsidR="00F6371C" w:rsidRDefault="00000000">
      <w:pPr>
        <w:numPr>
          <w:ilvl w:val="0"/>
          <w:numId w:val="1"/>
        </w:numPr>
        <w:spacing w:before="120"/>
        <w:jc w:val="both"/>
        <w:rPr>
          <w:rFonts w:ascii="Arial" w:eastAsia="Arial" w:hAnsi="Arial" w:cs="Arial"/>
          <w:i/>
          <w:sz w:val="18"/>
          <w:szCs w:val="18"/>
        </w:rPr>
      </w:pPr>
      <w:bookmarkStart w:id="0" w:name="gjdgxs" w:colFirst="0" w:colLast="0"/>
      <w:bookmarkEnd w:id="0"/>
      <w:r>
        <w:rPr>
          <w:rFonts w:ascii="Arial" w:eastAsia="Arial" w:hAnsi="Arial" w:cs="Arial"/>
          <w:i/>
          <w:sz w:val="18"/>
          <w:szCs w:val="18"/>
        </w:rPr>
        <w:t>Giải trình về bất kỳ vấn đề nào khác mà kiểm toán viên thấy thích hợp (2).</w:t>
      </w:r>
    </w:p>
    <w:p w14:paraId="76876469" w14:textId="77777777" w:rsidR="00F6371C" w:rsidRDefault="00F6371C">
      <w:pPr>
        <w:ind w:left="720"/>
        <w:jc w:val="both"/>
        <w:rPr>
          <w:rFonts w:ascii="Arial" w:eastAsia="Arial" w:hAnsi="Arial" w:cs="Arial"/>
          <w:sz w:val="18"/>
          <w:szCs w:val="18"/>
        </w:rPr>
      </w:pPr>
    </w:p>
    <w:p w14:paraId="43241691" w14:textId="77777777" w:rsidR="00F6371C" w:rsidRDefault="00000000">
      <w:pPr>
        <w:jc w:val="both"/>
        <w:rPr>
          <w:rFonts w:ascii="Arial" w:eastAsia="Arial" w:hAnsi="Arial" w:cs="Arial"/>
          <w:sz w:val="18"/>
          <w:szCs w:val="18"/>
        </w:rPr>
      </w:pPr>
      <w:r>
        <w:rPr>
          <w:rFonts w:ascii="Arial" w:eastAsia="Arial" w:hAnsi="Arial" w:cs="Arial"/>
          <w:sz w:val="18"/>
          <w:szCs w:val="18"/>
        </w:rPr>
        <w:t>Trân trọng,</w:t>
      </w:r>
    </w:p>
    <w:p w14:paraId="5A828D6B" w14:textId="7193F23F" w:rsidR="00F6371C" w:rsidRDefault="00000000">
      <w:pPr>
        <w:tabs>
          <w:tab w:val="right" w:pos="8640"/>
        </w:tabs>
        <w:spacing w:before="120"/>
        <w:rPr>
          <w:rFonts w:ascii="Arial" w:eastAsia="Arial" w:hAnsi="Arial" w:cs="Arial"/>
          <w:i/>
          <w:sz w:val="18"/>
          <w:szCs w:val="18"/>
        </w:rPr>
      </w:pPr>
      <w:r>
        <w:rPr>
          <w:rFonts w:ascii="Arial" w:eastAsia="Arial" w:hAnsi="Arial" w:cs="Arial"/>
          <w:i/>
          <w:sz w:val="18"/>
          <w:szCs w:val="18"/>
        </w:rPr>
        <w:t>{Tinh_thanh}, {Ngay_thang_TGT}</w:t>
      </w:r>
    </w:p>
    <w:p w14:paraId="5D782C6B" w14:textId="77777777" w:rsidR="00F6371C" w:rsidRDefault="00F6371C">
      <w:pPr>
        <w:tabs>
          <w:tab w:val="right" w:pos="8640"/>
        </w:tabs>
        <w:jc w:val="both"/>
        <w:rPr>
          <w:rFonts w:ascii="Arial" w:eastAsia="Arial" w:hAnsi="Arial" w:cs="Arial"/>
          <w:sz w:val="18"/>
          <w:szCs w:val="18"/>
        </w:rPr>
      </w:pPr>
    </w:p>
    <w:tbl>
      <w:tblPr>
        <w:tblStyle w:val="a"/>
        <w:tblW w:w="9552" w:type="dxa"/>
        <w:tblInd w:w="108" w:type="dxa"/>
        <w:tblLayout w:type="fixed"/>
        <w:tblLook w:val="0000" w:firstRow="0" w:lastRow="0" w:firstColumn="0" w:lastColumn="0" w:noHBand="0" w:noVBand="0"/>
      </w:tblPr>
      <w:tblGrid>
        <w:gridCol w:w="4687"/>
        <w:gridCol w:w="4865"/>
      </w:tblGrid>
      <w:tr w:rsidR="00F6371C" w14:paraId="7327EECC" w14:textId="77777777" w:rsidTr="001D0C99">
        <w:trPr>
          <w:trHeight w:val="1200"/>
        </w:trPr>
        <w:tc>
          <w:tcPr>
            <w:tcW w:w="4687" w:type="dxa"/>
          </w:tcPr>
          <w:p w14:paraId="664CE9F3" w14:textId="381BBDC8" w:rsidR="00F6371C" w:rsidRDefault="00000000">
            <w:pPr>
              <w:jc w:val="center"/>
              <w:rPr>
                <w:rFonts w:ascii="Arial" w:eastAsia="Arial" w:hAnsi="Arial" w:cs="Arial"/>
                <w:b/>
                <w:sz w:val="18"/>
                <w:szCs w:val="18"/>
              </w:rPr>
            </w:pPr>
            <w:r>
              <w:rPr>
                <w:rFonts w:ascii="Arial" w:eastAsia="Arial" w:hAnsi="Arial" w:cs="Arial"/>
                <w:b/>
                <w:sz w:val="18"/>
                <w:szCs w:val="18"/>
              </w:rPr>
              <w:t>{chuc_vu_kh}</w:t>
            </w:r>
          </w:p>
          <w:p w14:paraId="2FB7EA64" w14:textId="77777777" w:rsidR="00F6371C" w:rsidRDefault="00F6371C">
            <w:pPr>
              <w:rPr>
                <w:rFonts w:ascii="Arial" w:eastAsia="Arial" w:hAnsi="Arial" w:cs="Arial"/>
                <w:b/>
                <w:sz w:val="18"/>
                <w:szCs w:val="18"/>
              </w:rPr>
            </w:pPr>
          </w:p>
          <w:p w14:paraId="3DA7D35F" w14:textId="77777777" w:rsidR="00F6371C" w:rsidRDefault="00F6371C">
            <w:pPr>
              <w:rPr>
                <w:rFonts w:ascii="Arial" w:eastAsia="Arial" w:hAnsi="Arial" w:cs="Arial"/>
                <w:b/>
                <w:sz w:val="18"/>
                <w:szCs w:val="18"/>
              </w:rPr>
            </w:pPr>
          </w:p>
          <w:p w14:paraId="6A64C391" w14:textId="77777777" w:rsidR="00F6371C" w:rsidRDefault="00F6371C">
            <w:pPr>
              <w:rPr>
                <w:rFonts w:ascii="Arial" w:eastAsia="Arial" w:hAnsi="Arial" w:cs="Arial"/>
                <w:b/>
                <w:sz w:val="18"/>
                <w:szCs w:val="18"/>
              </w:rPr>
            </w:pPr>
          </w:p>
          <w:p w14:paraId="36AF8CA2" w14:textId="77777777" w:rsidR="00F6371C" w:rsidRDefault="00F6371C">
            <w:pPr>
              <w:rPr>
                <w:rFonts w:ascii="Arial" w:eastAsia="Arial" w:hAnsi="Arial" w:cs="Arial"/>
                <w:b/>
                <w:sz w:val="18"/>
                <w:szCs w:val="18"/>
              </w:rPr>
            </w:pPr>
          </w:p>
          <w:p w14:paraId="07B2FF77" w14:textId="77777777" w:rsidR="00F6371C" w:rsidRDefault="00F6371C">
            <w:pPr>
              <w:rPr>
                <w:rFonts w:ascii="Arial" w:eastAsia="Arial" w:hAnsi="Arial" w:cs="Arial"/>
                <w:b/>
                <w:sz w:val="18"/>
                <w:szCs w:val="18"/>
              </w:rPr>
            </w:pPr>
          </w:p>
        </w:tc>
        <w:tc>
          <w:tcPr>
            <w:tcW w:w="4865" w:type="dxa"/>
          </w:tcPr>
          <w:p w14:paraId="78FF3F2F" w14:textId="77777777" w:rsidR="00F6371C" w:rsidRDefault="00000000">
            <w:pPr>
              <w:jc w:val="center"/>
              <w:rPr>
                <w:rFonts w:ascii="Arial" w:eastAsia="Arial" w:hAnsi="Arial" w:cs="Arial"/>
                <w:b/>
                <w:sz w:val="18"/>
                <w:szCs w:val="18"/>
              </w:rPr>
            </w:pPr>
            <w:r>
              <w:rPr>
                <w:rFonts w:ascii="Arial" w:eastAsia="Arial" w:hAnsi="Arial" w:cs="Arial"/>
                <w:b/>
                <w:sz w:val="18"/>
                <w:szCs w:val="18"/>
              </w:rPr>
              <w:t>Kế toán trưởng</w:t>
            </w:r>
          </w:p>
        </w:tc>
      </w:tr>
      <w:tr w:rsidR="00F6371C" w14:paraId="7447400E" w14:textId="77777777" w:rsidTr="001D0C99">
        <w:trPr>
          <w:trHeight w:val="205"/>
        </w:trPr>
        <w:tc>
          <w:tcPr>
            <w:tcW w:w="4687" w:type="dxa"/>
          </w:tcPr>
          <w:p w14:paraId="5E010AB5" w14:textId="5DFA0207" w:rsidR="00F6371C" w:rsidRDefault="00000000">
            <w:pPr>
              <w:jc w:val="center"/>
              <w:rPr>
                <w:rFonts w:ascii="Arial" w:eastAsia="Arial" w:hAnsi="Arial" w:cs="Arial"/>
                <w:b/>
                <w:sz w:val="18"/>
                <w:szCs w:val="18"/>
              </w:rPr>
            </w:pPr>
            <w:r>
              <w:rPr>
                <w:rFonts w:ascii="Arial" w:eastAsia="Arial" w:hAnsi="Arial" w:cs="Arial"/>
                <w:b/>
                <w:sz w:val="18"/>
                <w:szCs w:val="18"/>
              </w:rPr>
              <w:t>{nguoi_dai_dien_kh}</w:t>
            </w:r>
          </w:p>
        </w:tc>
        <w:tc>
          <w:tcPr>
            <w:tcW w:w="4865" w:type="dxa"/>
          </w:tcPr>
          <w:p w14:paraId="6904B2AB" w14:textId="77777777" w:rsidR="00F6371C" w:rsidRDefault="00F6371C">
            <w:pPr>
              <w:rPr>
                <w:rFonts w:ascii="Arial" w:eastAsia="Arial" w:hAnsi="Arial" w:cs="Arial"/>
                <w:b/>
                <w:sz w:val="18"/>
                <w:szCs w:val="18"/>
              </w:rPr>
            </w:pPr>
          </w:p>
        </w:tc>
      </w:tr>
    </w:tbl>
    <w:p w14:paraId="6C71558A" w14:textId="77777777" w:rsidR="00F6371C" w:rsidRDefault="00F6371C"/>
    <w:sectPr w:rsidR="00F6371C" w:rsidSect="00FB7E10">
      <w:headerReference w:type="default" r:id="rId7"/>
      <w:footerReference w:type="even" r:id="rId8"/>
      <w:footerReference w:type="default" r:id="rId9"/>
      <w:pgSz w:w="11909" w:h="16834"/>
      <w:pgMar w:top="1440" w:right="1080" w:bottom="1440" w:left="1080" w:header="288"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8B9A4B" w14:textId="77777777" w:rsidR="00F9416A" w:rsidRDefault="00F9416A">
      <w:r>
        <w:separator/>
      </w:r>
    </w:p>
  </w:endnote>
  <w:endnote w:type="continuationSeparator" w:id="0">
    <w:p w14:paraId="4A2C0FDB" w14:textId="77777777" w:rsidR="00F9416A" w:rsidRDefault="00F94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ilbo">
    <w:charset w:val="00"/>
    <w:family w:val="auto"/>
    <w:pitch w:val="default"/>
    <w:embedRegular r:id="rId1" w:fontKey="{95B1451C-231A-424B-B3F1-44BFDFFD4C5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ED25898-7B9E-4D93-A6CE-DA98E50CC317}"/>
    <w:embedItalic r:id="rId3" w:fontKey="{A2A95F5C-28F6-411D-95D8-048A2B33CEC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CC96F291-CB15-4BDE-A5B9-22F3F3B8768B}"/>
  </w:font>
  <w:font w:name="Cambria">
    <w:panose1 w:val="02040503050406030204"/>
    <w:charset w:val="00"/>
    <w:family w:val="roman"/>
    <w:pitch w:val="variable"/>
    <w:sig w:usb0="E00006FF" w:usb1="420024FF" w:usb2="02000000" w:usb3="00000000" w:csb0="0000019F" w:csb1="00000000"/>
    <w:embedRegular r:id="rId5" w:fontKey="{CC7F43AA-180C-41ED-9534-61BD3E68B08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50F6C" w14:textId="77777777" w:rsidR="00F6371C"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7FFD8356" w14:textId="77777777" w:rsidR="00F6371C" w:rsidRDefault="00F6371C">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01E43" w14:textId="77777777" w:rsidR="00F6371C"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483173">
      <w:rPr>
        <w:noProof/>
        <w:color w:val="000000"/>
      </w:rPr>
      <w:t>1</w:t>
    </w:r>
    <w:r>
      <w:rPr>
        <w:color w:val="000000"/>
      </w:rPr>
      <w:fldChar w:fldCharType="end"/>
    </w:r>
  </w:p>
  <w:p w14:paraId="46A5C383" w14:textId="77777777" w:rsidR="00F6371C" w:rsidRDefault="00F6371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FB36C" w14:textId="77777777" w:rsidR="00F9416A" w:rsidRDefault="00F9416A">
      <w:r>
        <w:separator/>
      </w:r>
    </w:p>
  </w:footnote>
  <w:footnote w:type="continuationSeparator" w:id="0">
    <w:p w14:paraId="0D6BC223" w14:textId="77777777" w:rsidR="00F9416A" w:rsidRDefault="00F94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37827" w14:textId="77777777" w:rsidR="00F6371C" w:rsidRDefault="00F6371C">
    <w:pPr>
      <w:widowControl w:val="0"/>
      <w:pBdr>
        <w:top w:val="nil"/>
        <w:left w:val="nil"/>
        <w:bottom w:val="nil"/>
        <w:right w:val="nil"/>
        <w:between w:val="nil"/>
      </w:pBdr>
      <w:spacing w:line="276" w:lineRule="auto"/>
    </w:pPr>
  </w:p>
  <w:tbl>
    <w:tblPr>
      <w:tblStyle w:val="a0"/>
      <w:tblW w:w="455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11"/>
      <w:gridCol w:w="639"/>
    </w:tblGrid>
    <w:tr w:rsidR="00F6371C" w14:paraId="3FBA2138" w14:textId="77777777">
      <w:trPr>
        <w:trHeight w:val="231"/>
        <w:jc w:val="right"/>
      </w:trPr>
      <w:tc>
        <w:tcPr>
          <w:tcW w:w="3911" w:type="dxa"/>
          <w:tcBorders>
            <w:top w:val="nil"/>
            <w:left w:val="nil"/>
            <w:bottom w:val="nil"/>
            <w:right w:val="nil"/>
          </w:tcBorders>
          <w:shd w:val="clear" w:color="auto" w:fill="auto"/>
        </w:tcPr>
        <w:p w14:paraId="39255CAA" w14:textId="77777777" w:rsidR="00F6371C" w:rsidRDefault="00000000">
          <w:pPr>
            <w:pBdr>
              <w:top w:val="nil"/>
              <w:left w:val="nil"/>
              <w:bottom w:val="nil"/>
              <w:right w:val="nil"/>
              <w:between w:val="nil"/>
            </w:pBdr>
            <w:tabs>
              <w:tab w:val="center" w:pos="4320"/>
              <w:tab w:val="right" w:pos="8640"/>
              <w:tab w:val="right" w:pos="9940"/>
            </w:tabs>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b/>
              <w:color w:val="000000"/>
            </w:rPr>
            <w:t xml:space="preserve">B440 </w:t>
          </w:r>
        </w:p>
      </w:tc>
      <w:tc>
        <w:tcPr>
          <w:tcW w:w="639" w:type="dxa"/>
          <w:tcBorders>
            <w:top w:val="nil"/>
            <w:left w:val="nil"/>
            <w:bottom w:val="nil"/>
            <w:right w:val="nil"/>
          </w:tcBorders>
          <w:shd w:val="clear" w:color="auto" w:fill="auto"/>
        </w:tcPr>
        <w:p w14:paraId="6960C032" w14:textId="77777777" w:rsidR="00F6371C" w:rsidRDefault="00000000">
          <w:pPr>
            <w:pBdr>
              <w:top w:val="nil"/>
              <w:left w:val="nil"/>
              <w:bottom w:val="nil"/>
              <w:right w:val="nil"/>
              <w:between w:val="nil"/>
            </w:pBdr>
            <w:tabs>
              <w:tab w:val="center" w:pos="4320"/>
              <w:tab w:val="right" w:pos="8640"/>
              <w:tab w:val="left" w:pos="1251"/>
              <w:tab w:val="right" w:pos="9940"/>
            </w:tabs>
            <w:rPr>
              <w:rFonts w:ascii="Arial" w:eastAsia="Arial" w:hAnsi="Arial" w:cs="Arial"/>
              <w:color w:val="000000"/>
              <w:sz w:val="20"/>
              <w:szCs w:val="20"/>
            </w:rPr>
          </w:pP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483173">
            <w:rPr>
              <w:rFonts w:ascii="Arial" w:eastAsia="Arial" w:hAnsi="Arial" w:cs="Arial"/>
              <w:noProof/>
              <w:color w:val="000000"/>
              <w:sz w:val="20"/>
              <w:szCs w:val="20"/>
            </w:rPr>
            <w:t>1</w:t>
          </w:r>
          <w:r>
            <w:rPr>
              <w:rFonts w:ascii="Arial" w:eastAsia="Arial" w:hAnsi="Arial" w:cs="Arial"/>
              <w:color w:val="000000"/>
              <w:sz w:val="20"/>
              <w:szCs w:val="20"/>
            </w:rPr>
            <w:fldChar w:fldCharType="end"/>
          </w:r>
          <w:r>
            <w:rPr>
              <w:rFonts w:ascii="Arial" w:eastAsia="Arial" w:hAnsi="Arial" w:cs="Arial"/>
              <w:color w:val="000000"/>
              <w:sz w:val="20"/>
              <w:szCs w:val="20"/>
            </w:rPr>
            <w:t>/</w:t>
          </w:r>
          <w:r>
            <w:rPr>
              <w:rFonts w:ascii="Arial" w:eastAsia="Arial" w:hAnsi="Arial" w:cs="Arial"/>
              <w:color w:val="000000"/>
              <w:sz w:val="20"/>
              <w:szCs w:val="20"/>
            </w:rPr>
            <w:fldChar w:fldCharType="begin"/>
          </w:r>
          <w:r>
            <w:rPr>
              <w:rFonts w:ascii="Arial" w:eastAsia="Arial" w:hAnsi="Arial" w:cs="Arial"/>
              <w:color w:val="000000"/>
              <w:sz w:val="20"/>
              <w:szCs w:val="20"/>
            </w:rPr>
            <w:instrText>NUMPAGES</w:instrText>
          </w:r>
          <w:r>
            <w:rPr>
              <w:rFonts w:ascii="Arial" w:eastAsia="Arial" w:hAnsi="Arial" w:cs="Arial"/>
              <w:color w:val="000000"/>
              <w:sz w:val="20"/>
              <w:szCs w:val="20"/>
            </w:rPr>
            <w:fldChar w:fldCharType="separate"/>
          </w:r>
          <w:r w:rsidR="00483173">
            <w:rPr>
              <w:rFonts w:ascii="Arial" w:eastAsia="Arial" w:hAnsi="Arial" w:cs="Arial"/>
              <w:noProof/>
              <w:color w:val="000000"/>
              <w:sz w:val="20"/>
              <w:szCs w:val="20"/>
            </w:rPr>
            <w:t>2</w:t>
          </w:r>
          <w:r>
            <w:rPr>
              <w:rFonts w:ascii="Arial" w:eastAsia="Arial" w:hAnsi="Arial" w:cs="Arial"/>
              <w:color w:val="000000"/>
              <w:sz w:val="20"/>
              <w:szCs w:val="20"/>
            </w:rPr>
            <w:fldChar w:fldCharType="end"/>
          </w:r>
        </w:p>
      </w:tc>
    </w:tr>
  </w:tbl>
  <w:p w14:paraId="62994020" w14:textId="77777777" w:rsidR="00F6371C" w:rsidRDefault="00000000">
    <w:pPr>
      <w:pBdr>
        <w:top w:val="nil"/>
        <w:left w:val="nil"/>
        <w:bottom w:val="single" w:sz="4" w:space="1" w:color="000000"/>
        <w:right w:val="nil"/>
        <w:between w:val="nil"/>
      </w:pBdr>
      <w:tabs>
        <w:tab w:val="center" w:pos="4320"/>
        <w:tab w:val="right" w:pos="8640"/>
        <w:tab w:val="center" w:pos="8550"/>
        <w:tab w:val="right" w:pos="9000"/>
      </w:tabs>
      <w:spacing w:before="60"/>
      <w:jc w:val="right"/>
      <w:rPr>
        <w:rFonts w:ascii="Arial" w:eastAsia="Arial" w:hAnsi="Arial" w:cs="Arial"/>
        <w:b/>
        <w:color w:val="000000"/>
        <w:sz w:val="40"/>
        <w:szCs w:val="40"/>
      </w:rPr>
    </w:pPr>
    <w:r>
      <w:rPr>
        <w:rFonts w:ascii="Arial" w:eastAsia="Arial" w:hAnsi="Arial" w:cs="Arial"/>
        <w:b/>
        <w:color w:val="000000"/>
        <w:sz w:val="20"/>
        <w:szCs w:val="20"/>
      </w:rPr>
      <w:t>Thư giải trình của Ban Giám đốc</w:t>
    </w:r>
  </w:p>
  <w:p w14:paraId="2C3E0336" w14:textId="77777777" w:rsidR="00F6371C" w:rsidRDefault="00F6371C">
    <w:pPr>
      <w:pBdr>
        <w:top w:val="nil"/>
        <w:left w:val="nil"/>
        <w:bottom w:val="single" w:sz="4" w:space="1" w:color="000000"/>
        <w:right w:val="nil"/>
        <w:between w:val="nil"/>
      </w:pBdr>
      <w:tabs>
        <w:tab w:val="center" w:pos="4320"/>
        <w:tab w:val="right" w:pos="8640"/>
        <w:tab w:val="center" w:pos="8550"/>
        <w:tab w:val="right" w:pos="9000"/>
      </w:tabs>
      <w:jc w:val="center"/>
      <w:rPr>
        <w:rFonts w:ascii="Arial" w:eastAsia="Arial" w:hAnsi="Arial" w:cs="Arial"/>
        <w:b/>
        <w:color w:val="000000"/>
        <w:sz w:val="4"/>
        <w:szCs w:val="4"/>
      </w:rPr>
    </w:pPr>
  </w:p>
  <w:p w14:paraId="620E048F" w14:textId="77777777" w:rsidR="00F6371C" w:rsidRDefault="00F6371C">
    <w:pPr>
      <w:pBdr>
        <w:top w:val="nil"/>
        <w:left w:val="nil"/>
        <w:bottom w:val="nil"/>
        <w:right w:val="nil"/>
        <w:between w:val="nil"/>
      </w:pBdr>
      <w:tabs>
        <w:tab w:val="center" w:pos="4320"/>
        <w:tab w:val="right" w:pos="8640"/>
      </w:tabs>
      <w:rPr>
        <w:color w:val="000000"/>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A2173"/>
    <w:multiLevelType w:val="multilevel"/>
    <w:tmpl w:val="D0B8B9CC"/>
    <w:lvl w:ilvl="0">
      <w:start w:val="1"/>
      <w:numFmt w:val="decimal"/>
      <w:lvlText w:val="(%1)"/>
      <w:lvlJc w:val="left"/>
      <w:pPr>
        <w:ind w:left="576" w:hanging="576"/>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F1860EB"/>
    <w:multiLevelType w:val="multilevel"/>
    <w:tmpl w:val="B882DEF6"/>
    <w:lvl w:ilvl="0">
      <w:start w:val="1"/>
      <w:numFmt w:val="decimal"/>
      <w:lvlText w:val="(%1)"/>
      <w:lvlJc w:val="left"/>
      <w:pPr>
        <w:ind w:left="1080" w:hanging="360"/>
      </w:pPr>
    </w:lvl>
    <w:lvl w:ilvl="1">
      <w:start w:val="1"/>
      <w:numFmt w:val="bullet"/>
      <w:lvlText w:val="-"/>
      <w:lvlJc w:val="left"/>
      <w:pPr>
        <w:ind w:left="1800" w:hanging="360"/>
      </w:pPr>
      <w:rPr>
        <w:rFonts w:ascii="Bilbo" w:eastAsia="Bilbo" w:hAnsi="Bilbo" w:cs="Bilbo"/>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769933515">
    <w:abstractNumId w:val="0"/>
  </w:num>
  <w:num w:numId="2" w16cid:durableId="10641345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71C"/>
    <w:rsid w:val="001D0C99"/>
    <w:rsid w:val="00483173"/>
    <w:rsid w:val="00977085"/>
    <w:rsid w:val="009B13AE"/>
    <w:rsid w:val="00F6371C"/>
    <w:rsid w:val="00F9416A"/>
    <w:rsid w:val="00FB7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C0069"/>
  <w15:docId w15:val="{0219978C-E991-44E3-97F0-E5BFA391A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1094</Words>
  <Characters>6238</Characters>
  <Application>Microsoft Office Word</Application>
  <DocSecurity>0</DocSecurity>
  <Lines>51</Lines>
  <Paragraphs>14</Paragraphs>
  <ScaleCrop>false</ScaleCrop>
  <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 Văn Hoàng</cp:lastModifiedBy>
  <cp:revision>5</cp:revision>
  <dcterms:created xsi:type="dcterms:W3CDTF">2025-04-09T08:39:00Z</dcterms:created>
  <dcterms:modified xsi:type="dcterms:W3CDTF">2025-04-09T08:41:00Z</dcterms:modified>
</cp:coreProperties>
</file>