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DAA3" w14:textId="77777777" w:rsidR="009C3279" w:rsidRDefault="002825F9" w:rsidP="001A0501">
      <w:pPr>
        <w:spacing w:before="720" w:after="120"/>
        <w:jc w:val="left"/>
      </w:pPr>
      <w:r>
        <w:rPr>
          <w:b/>
          <w:sz w:val="36"/>
        </w:rPr>
        <w:t xml:space="preserve">Working Capital Diagnostic: </w:t>
      </w:r>
      <w:proofErr w:type="spellStart"/>
      <w:r>
        <w:rPr>
          <w:b/>
          <w:sz w:val="36"/>
        </w:rPr>
        <w:t>Nhựa</w:t>
      </w:r>
      <w:proofErr w:type="spellEnd"/>
      <w:r>
        <w:rPr>
          <w:b/>
          <w:sz w:val="36"/>
        </w:rPr>
        <w:t xml:space="preserve"> Hà </w:t>
      </w:r>
      <w:proofErr w:type="spellStart"/>
      <w:r>
        <w:rPr>
          <w:b/>
          <w:sz w:val="36"/>
        </w:rPr>
        <w:t>Nội</w:t>
      </w:r>
      <w:proofErr w:type="spellEnd"/>
      <w:r>
        <w:rPr>
          <w:b/>
          <w:sz w:val="36"/>
        </w:rPr>
        <w:t xml:space="preserve"> JSC (HNX: NHH)</w:t>
      </w:r>
    </w:p>
    <w:p w14:paraId="3DFF5730" w14:textId="77777777" w:rsidR="009C3279" w:rsidRDefault="002825F9" w:rsidP="001A0501">
      <w:pPr>
        <w:spacing w:after="360"/>
        <w:jc w:val="left"/>
      </w:pPr>
      <w:r>
        <w:rPr>
          <w:i/>
          <w:sz w:val="24"/>
        </w:rPr>
        <w:t>A cash conversion cycle analysis benchmarked against listed plastics contract manufacturers, FY2023–FY2025</w:t>
      </w:r>
    </w:p>
    <w:p w14:paraId="07C09A38" w14:textId="77777777" w:rsidR="009C3279" w:rsidRDefault="002825F9" w:rsidP="001A0501">
      <w:pPr>
        <w:spacing w:after="40"/>
        <w:jc w:val="left"/>
      </w:pPr>
      <w:r>
        <w:rPr>
          <w:sz w:val="20"/>
        </w:rPr>
        <w:t>Independent analysis prepared from published financial statements</w:t>
      </w:r>
    </w:p>
    <w:p w14:paraId="5A1AFD98" w14:textId="71F89A68" w:rsidR="001A0501" w:rsidRPr="001A0501" w:rsidRDefault="002825F9" w:rsidP="001A0501">
      <w:pPr>
        <w:spacing w:after="400"/>
        <w:jc w:val="left"/>
        <w:rPr>
          <w:sz w:val="20"/>
        </w:rPr>
      </w:pPr>
      <w:r>
        <w:rPr>
          <w:sz w:val="20"/>
        </w:rPr>
        <w:t>[</w:t>
      </w:r>
      <w:r w:rsidR="001A0501">
        <w:rPr>
          <w:sz w:val="20"/>
        </w:rPr>
        <w:t>Kien Chi Nguyen</w:t>
      </w:r>
      <w:r>
        <w:rPr>
          <w:sz w:val="20"/>
        </w:rPr>
        <w:t xml:space="preserve">] · Supporting model: </w:t>
      </w:r>
      <w:proofErr w:type="spellStart"/>
      <w:r w:rsidR="00D61A4C" w:rsidRPr="00D61A4C">
        <w:rPr>
          <w:sz w:val="20"/>
        </w:rPr>
        <w:t>Working_Capital_NHH_Model_EN</w:t>
      </w:r>
      <w:proofErr w:type="spellEnd"/>
    </w:p>
    <w:p w14:paraId="4C5E8258" w14:textId="77777777" w:rsidR="008D32ED" w:rsidRPr="00176147" w:rsidRDefault="00E03DCD"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1. Executive Summary</w:t>
      </w:r>
    </w:p>
    <w:p w14:paraId="60BB4441" w14:textId="77777777" w:rsidR="000E706A" w:rsidRPr="00176147" w:rsidRDefault="000E706A" w:rsidP="001A0501">
      <w:pPr>
        <w:rPr>
          <w:rFonts w:cs="Calibri"/>
          <w:szCs w:val="22"/>
        </w:rPr>
      </w:pPr>
      <w:r w:rsidRPr="00176147">
        <w:rPr>
          <w:rFonts w:cs="Calibri"/>
          <w:szCs w:val="22"/>
        </w:rPr>
        <w:t xml:space="preserve">This report examines how </w:t>
      </w:r>
      <w:proofErr w:type="spellStart"/>
      <w:r w:rsidRPr="00176147">
        <w:rPr>
          <w:rFonts w:cs="Calibri"/>
          <w:szCs w:val="22"/>
        </w:rPr>
        <w:t>Nhựa</w:t>
      </w:r>
      <w:proofErr w:type="spellEnd"/>
      <w:r w:rsidRPr="00176147">
        <w:rPr>
          <w:rFonts w:cs="Calibri"/>
          <w:szCs w:val="22"/>
        </w:rPr>
        <w:t xml:space="preserve"> Hà </w:t>
      </w:r>
      <w:proofErr w:type="spellStart"/>
      <w:r w:rsidRPr="00176147">
        <w:rPr>
          <w:rFonts w:cs="Calibri"/>
          <w:szCs w:val="22"/>
        </w:rPr>
        <w:t>Nội</w:t>
      </w:r>
      <w:proofErr w:type="spellEnd"/>
      <w:r w:rsidRPr="00176147">
        <w:rPr>
          <w:rFonts w:cs="Calibri"/>
          <w:szCs w:val="22"/>
        </w:rPr>
        <w:t xml:space="preserve"> (NHH) manages its working capital and evaluates its remaining opportunity. It covers the three financial years FY2023 to FY2025 and draws exclusively on published consolidated audited financial statements. NHH is benchmarked against four listed comparators: two contract manufacturers with a closely comparable business model (SKP Resources and Sanko Gosei), one global polymer contract manufacturer used as a best-practice reference (</w:t>
      </w:r>
      <w:proofErr w:type="spellStart"/>
      <w:r w:rsidRPr="00176147">
        <w:rPr>
          <w:rFonts w:cs="Calibri"/>
          <w:szCs w:val="22"/>
        </w:rPr>
        <w:t>Nolato</w:t>
      </w:r>
      <w:proofErr w:type="spellEnd"/>
      <w:r w:rsidRPr="00176147">
        <w:rPr>
          <w:rFonts w:cs="Calibri"/>
          <w:szCs w:val="22"/>
        </w:rPr>
        <w:t xml:space="preserve"> AB), and one domestic plastics producer that serves a different route to market (</w:t>
      </w:r>
      <w:proofErr w:type="spellStart"/>
      <w:r w:rsidRPr="00176147">
        <w:rPr>
          <w:rFonts w:cs="Calibri"/>
          <w:szCs w:val="22"/>
        </w:rPr>
        <w:t>Nhựa</w:t>
      </w:r>
      <w:proofErr w:type="spellEnd"/>
      <w:r w:rsidRPr="00176147">
        <w:rPr>
          <w:rFonts w:cs="Calibri"/>
          <w:szCs w:val="22"/>
        </w:rPr>
        <w:t xml:space="preserve"> </w:t>
      </w:r>
      <w:proofErr w:type="spellStart"/>
      <w:r w:rsidRPr="00176147">
        <w:rPr>
          <w:rFonts w:cs="Calibri"/>
          <w:szCs w:val="22"/>
        </w:rPr>
        <w:t>Tiền</w:t>
      </w:r>
      <w:proofErr w:type="spellEnd"/>
      <w:r w:rsidRPr="00176147">
        <w:rPr>
          <w:rFonts w:cs="Calibri"/>
          <w:szCs w:val="22"/>
        </w:rPr>
        <w:t xml:space="preserve"> Phong).</w:t>
      </w:r>
    </w:p>
    <w:p w14:paraId="0B366D19" w14:textId="77777777" w:rsidR="000E706A" w:rsidRPr="00176147" w:rsidRDefault="000E706A" w:rsidP="001A0501">
      <w:pPr>
        <w:rPr>
          <w:rFonts w:cs="Calibri"/>
          <w:szCs w:val="22"/>
        </w:rPr>
      </w:pPr>
      <w:r w:rsidRPr="00176147">
        <w:rPr>
          <w:rFonts w:cs="Calibri"/>
          <w:szCs w:val="22"/>
        </w:rPr>
        <w:t xml:space="preserve">NHH reduced its cash conversion cycle from 71.9 days to 57.5 days over the period, an improvement of 14.4 days. </w:t>
      </w:r>
      <w:r w:rsidR="008968E0" w:rsidRPr="00176147">
        <w:rPr>
          <w:rFonts w:cs="Calibri"/>
          <w:szCs w:val="22"/>
        </w:rPr>
        <w:t>A</w:t>
      </w:r>
      <w:r w:rsidRPr="00176147">
        <w:rPr>
          <w:rFonts w:cs="Calibri"/>
          <w:szCs w:val="22"/>
        </w:rPr>
        <w:t>gainst FY2025 revenue, one day of cycle time is worth approximately VND 6.3 billion, so the improvement corresponds to roughly VND 91 billion of working capital released over two years.</w:t>
      </w:r>
    </w:p>
    <w:p w14:paraId="420418BF" w14:textId="77777777" w:rsidR="000E706A" w:rsidRPr="00176147" w:rsidRDefault="008968E0" w:rsidP="001A0501">
      <w:pPr>
        <w:rPr>
          <w:rFonts w:cs="Calibri"/>
          <w:szCs w:val="22"/>
        </w:rPr>
      </w:pPr>
      <w:r w:rsidRPr="00176147">
        <w:rPr>
          <w:rFonts w:cs="Calibri"/>
          <w:szCs w:val="22"/>
        </w:rPr>
        <w:t>Three findings stand out.</w:t>
      </w:r>
    </w:p>
    <w:p w14:paraId="323627DC" w14:textId="77777777" w:rsidR="000E706A" w:rsidRPr="00176147" w:rsidRDefault="000E706A" w:rsidP="001A0501">
      <w:pPr>
        <w:pStyle w:val="ListParagraph"/>
        <w:numPr>
          <w:ilvl w:val="0"/>
          <w:numId w:val="5"/>
        </w:numPr>
        <w:spacing w:after="100"/>
        <w:rPr>
          <w:rFonts w:cs="Calibri"/>
          <w:szCs w:val="22"/>
        </w:rPr>
      </w:pPr>
      <w:r w:rsidRPr="00176147">
        <w:rPr>
          <w:rFonts w:cs="Calibri"/>
          <w:szCs w:val="22"/>
        </w:rPr>
        <w:t>The improvement is</w:t>
      </w:r>
      <w:r w:rsidR="008968E0" w:rsidRPr="00176147">
        <w:rPr>
          <w:rFonts w:cs="Calibri"/>
          <w:szCs w:val="22"/>
        </w:rPr>
        <w:t xml:space="preserve"> almost entirely due to inventory</w:t>
      </w:r>
      <w:r w:rsidRPr="00176147">
        <w:rPr>
          <w:rFonts w:cs="Calibri"/>
          <w:szCs w:val="22"/>
        </w:rPr>
        <w:t>. Inventory days fell 19.0 days, from 62.8 to 43.7. Receivable days fell 5.8 days. Payable days moved the other way, falling 10.5 days, which worked against the cycle. Had payable days held at their FY2023 level, the cycle would today stand below 47 days.</w:t>
      </w:r>
    </w:p>
    <w:p w14:paraId="62A3FFE8" w14:textId="77777777" w:rsidR="000E706A" w:rsidRPr="00176147" w:rsidRDefault="000E706A" w:rsidP="001A0501">
      <w:pPr>
        <w:pStyle w:val="ListParagraph"/>
        <w:numPr>
          <w:ilvl w:val="0"/>
          <w:numId w:val="5"/>
        </w:numPr>
        <w:spacing w:after="100"/>
        <w:rPr>
          <w:rFonts w:cs="Calibri"/>
          <w:szCs w:val="22"/>
        </w:rPr>
      </w:pPr>
      <w:r w:rsidRPr="00176147">
        <w:rPr>
          <w:rFonts w:cs="Calibri"/>
          <w:szCs w:val="22"/>
        </w:rPr>
        <w:t>The composition of the cycle is inverted relative to comparable manufacturers. NHH collects roughly 31 days faster than the mean of the two OEM contract manufacturers and pays roughly 28 days sooner. The headline cycle is similar but the underlying funding model is not. In effect, NHH funds its suppliers rather than being funded by them.</w:t>
      </w:r>
    </w:p>
    <w:p w14:paraId="489D5114" w14:textId="77777777" w:rsidR="000E706A" w:rsidRPr="00176147" w:rsidRDefault="000E706A" w:rsidP="001A0501">
      <w:pPr>
        <w:pStyle w:val="ListParagraph"/>
        <w:numPr>
          <w:ilvl w:val="0"/>
          <w:numId w:val="5"/>
        </w:numPr>
        <w:spacing w:after="100"/>
        <w:rPr>
          <w:rFonts w:cs="Calibri"/>
          <w:szCs w:val="22"/>
        </w:rPr>
      </w:pPr>
      <w:r w:rsidRPr="00176147">
        <w:rPr>
          <w:rFonts w:cs="Calibri"/>
          <w:szCs w:val="22"/>
        </w:rPr>
        <w:lastRenderedPageBreak/>
        <w:t xml:space="preserve">The payables gap is worth approximately VND 148 billion. At the company's implied cost of debt of 5.05%, that capital carries an annual financing cost of about VND 7.5 billion. </w:t>
      </w:r>
    </w:p>
    <w:p w14:paraId="6417ABEC" w14:textId="587F924C" w:rsidR="00A77984" w:rsidRPr="00176147" w:rsidRDefault="00F117F6" w:rsidP="001A0501">
      <w:pPr>
        <w:rPr>
          <w:rFonts w:cs="Calibri"/>
          <w:szCs w:val="22"/>
        </w:rPr>
      </w:pPr>
      <w:r w:rsidRPr="00176147">
        <w:rPr>
          <w:rFonts w:cs="Calibri"/>
          <w:szCs w:val="22"/>
        </w:rPr>
        <w:t xml:space="preserve">These findings show that NHH's remaining working capital opportunity sits on the payables side rather than the receivables side. This matters more than usual at present: the company is in a capital expenditure cycle funded largely by equity issuance, and working capital released internally is non-dilutive funding for that </w:t>
      </w:r>
      <w:proofErr w:type="spellStart"/>
      <w:r w:rsidRPr="00176147">
        <w:rPr>
          <w:rFonts w:cs="Calibri"/>
          <w:szCs w:val="22"/>
        </w:rPr>
        <w:t>programme</w:t>
      </w:r>
      <w:proofErr w:type="spellEnd"/>
      <w:r w:rsidRPr="00176147">
        <w:rPr>
          <w:rFonts w:cs="Calibri"/>
          <w:szCs w:val="22"/>
        </w:rPr>
        <w:t>.</w:t>
      </w:r>
    </w:p>
    <w:p w14:paraId="7B2B7464" w14:textId="77777777" w:rsidR="009C3279" w:rsidRDefault="002825F9" w:rsidP="001A0501">
      <w:pPr>
        <w:keepNext/>
        <w:spacing w:before="240" w:after="0"/>
        <w:jc w:val="left"/>
      </w:pPr>
      <w:r>
        <w:rPr>
          <w:b/>
          <w:sz w:val="20"/>
        </w:rPr>
        <w:t>Table 1</w:t>
      </w:r>
    </w:p>
    <w:p w14:paraId="4D1D239A" w14:textId="77777777" w:rsidR="009C3279" w:rsidRDefault="002825F9" w:rsidP="001A0501">
      <w:pPr>
        <w:keepNext/>
        <w:spacing w:after="80"/>
        <w:jc w:val="left"/>
      </w:pPr>
      <w:r>
        <w:rPr>
          <w:i/>
          <w:sz w:val="20"/>
        </w:rPr>
        <w:t>Cash Conversion Cycle Decomposition, FY2023–FY2025 (days)</w:t>
      </w:r>
    </w:p>
    <w:tbl>
      <w:tblPr>
        <w:tblW w:w="9360" w:type="dxa"/>
        <w:tblCellMar>
          <w:left w:w="10" w:type="dxa"/>
          <w:right w:w="10" w:type="dxa"/>
        </w:tblCellMar>
        <w:tblLook w:val="04A0" w:firstRow="1" w:lastRow="0" w:firstColumn="1" w:lastColumn="0" w:noHBand="0" w:noVBand="1"/>
      </w:tblPr>
      <w:tblGrid>
        <w:gridCol w:w="3560"/>
        <w:gridCol w:w="1450"/>
        <w:gridCol w:w="1450"/>
        <w:gridCol w:w="1450"/>
        <w:gridCol w:w="1450"/>
      </w:tblGrid>
      <w:tr w:rsidR="005019C9" w:rsidRPr="00176147" w14:paraId="4FF3864E" w14:textId="77777777" w:rsidTr="008D04B1">
        <w:trPr>
          <w:cantSplit/>
          <w:tblHeader/>
        </w:trPr>
        <w:tc>
          <w:tcPr>
            <w:tcW w:w="3560" w:type="dxa"/>
            <w:tcBorders>
              <w:top w:val="single" w:sz="8" w:space="0" w:color="000000"/>
              <w:bottom w:val="single" w:sz="6" w:space="0" w:color="000000"/>
            </w:tcBorders>
            <w:tcMar>
              <w:top w:w="80" w:type="dxa"/>
              <w:left w:w="110" w:type="dxa"/>
              <w:bottom w:w="80" w:type="dxa"/>
              <w:right w:w="110" w:type="dxa"/>
            </w:tcMar>
          </w:tcPr>
          <w:p w14:paraId="71EBADC6" w14:textId="77777777" w:rsidR="005019C9" w:rsidRPr="00176147" w:rsidRDefault="005019C9" w:rsidP="001A0501">
            <w:pPr>
              <w:spacing w:before="60" w:after="60"/>
              <w:jc w:val="left"/>
              <w:rPr>
                <w:rFonts w:cs="Calibri"/>
                <w:szCs w:val="22"/>
              </w:rPr>
            </w:pPr>
            <w:r w:rsidRPr="00176147">
              <w:rPr>
                <w:rFonts w:cs="Calibri"/>
                <w:b/>
                <w:bCs/>
                <w:sz w:val="20"/>
                <w:szCs w:val="22"/>
              </w:rPr>
              <w:t>Cash conversion cycle (days)</w:t>
            </w:r>
          </w:p>
        </w:tc>
        <w:tc>
          <w:tcPr>
            <w:tcW w:w="1450" w:type="dxa"/>
            <w:tcBorders>
              <w:top w:val="single" w:sz="8" w:space="0" w:color="000000"/>
              <w:bottom w:val="single" w:sz="6" w:space="0" w:color="000000"/>
            </w:tcBorders>
            <w:tcMar>
              <w:top w:w="80" w:type="dxa"/>
              <w:left w:w="110" w:type="dxa"/>
              <w:bottom w:w="80" w:type="dxa"/>
              <w:right w:w="110" w:type="dxa"/>
            </w:tcMar>
          </w:tcPr>
          <w:p w14:paraId="7976752B" w14:textId="77777777" w:rsidR="005019C9" w:rsidRPr="00176147" w:rsidRDefault="005019C9" w:rsidP="001A0501">
            <w:pPr>
              <w:spacing w:before="60" w:after="60"/>
              <w:jc w:val="center"/>
              <w:rPr>
                <w:rFonts w:cs="Calibri"/>
                <w:szCs w:val="22"/>
              </w:rPr>
            </w:pPr>
            <w:r w:rsidRPr="00176147">
              <w:rPr>
                <w:rFonts w:cs="Calibri"/>
                <w:b/>
                <w:bCs/>
                <w:sz w:val="20"/>
                <w:szCs w:val="22"/>
              </w:rPr>
              <w:t>FY2023</w:t>
            </w:r>
          </w:p>
        </w:tc>
        <w:tc>
          <w:tcPr>
            <w:tcW w:w="1450" w:type="dxa"/>
            <w:tcBorders>
              <w:top w:val="single" w:sz="8" w:space="0" w:color="000000"/>
              <w:bottom w:val="single" w:sz="6" w:space="0" w:color="000000"/>
            </w:tcBorders>
            <w:tcMar>
              <w:top w:w="80" w:type="dxa"/>
              <w:left w:w="110" w:type="dxa"/>
              <w:bottom w:w="80" w:type="dxa"/>
              <w:right w:w="110" w:type="dxa"/>
            </w:tcMar>
          </w:tcPr>
          <w:p w14:paraId="5079F6B8" w14:textId="77777777" w:rsidR="005019C9" w:rsidRPr="00176147" w:rsidRDefault="005019C9" w:rsidP="001A0501">
            <w:pPr>
              <w:spacing w:before="60" w:after="60"/>
              <w:jc w:val="center"/>
              <w:rPr>
                <w:rFonts w:cs="Calibri"/>
                <w:szCs w:val="22"/>
              </w:rPr>
            </w:pPr>
            <w:r w:rsidRPr="00176147">
              <w:rPr>
                <w:rFonts w:cs="Calibri"/>
                <w:b/>
                <w:bCs/>
                <w:sz w:val="20"/>
                <w:szCs w:val="22"/>
              </w:rPr>
              <w:t>FY2024</w:t>
            </w:r>
          </w:p>
        </w:tc>
        <w:tc>
          <w:tcPr>
            <w:tcW w:w="1450" w:type="dxa"/>
            <w:tcBorders>
              <w:top w:val="single" w:sz="8" w:space="0" w:color="000000"/>
              <w:bottom w:val="single" w:sz="6" w:space="0" w:color="000000"/>
            </w:tcBorders>
            <w:tcMar>
              <w:top w:w="80" w:type="dxa"/>
              <w:left w:w="110" w:type="dxa"/>
              <w:bottom w:w="80" w:type="dxa"/>
              <w:right w:w="110" w:type="dxa"/>
            </w:tcMar>
          </w:tcPr>
          <w:p w14:paraId="71FAD3AC" w14:textId="77777777" w:rsidR="005019C9" w:rsidRPr="00176147" w:rsidRDefault="005019C9" w:rsidP="001A0501">
            <w:pPr>
              <w:spacing w:before="60" w:after="60"/>
              <w:jc w:val="center"/>
              <w:rPr>
                <w:rFonts w:cs="Calibri"/>
                <w:szCs w:val="22"/>
              </w:rPr>
            </w:pPr>
            <w:r w:rsidRPr="00176147">
              <w:rPr>
                <w:rFonts w:cs="Calibri"/>
                <w:b/>
                <w:bCs/>
                <w:sz w:val="20"/>
                <w:szCs w:val="22"/>
              </w:rPr>
              <w:t>FY2025</w:t>
            </w:r>
          </w:p>
        </w:tc>
        <w:tc>
          <w:tcPr>
            <w:tcW w:w="1450" w:type="dxa"/>
            <w:tcBorders>
              <w:top w:val="single" w:sz="8" w:space="0" w:color="000000"/>
              <w:bottom w:val="single" w:sz="6" w:space="0" w:color="000000"/>
            </w:tcBorders>
            <w:tcMar>
              <w:top w:w="80" w:type="dxa"/>
              <w:left w:w="110" w:type="dxa"/>
              <w:bottom w:w="80" w:type="dxa"/>
              <w:right w:w="110" w:type="dxa"/>
            </w:tcMar>
          </w:tcPr>
          <w:p w14:paraId="3E975DBA" w14:textId="77777777" w:rsidR="005019C9" w:rsidRPr="00176147" w:rsidRDefault="005019C9" w:rsidP="001A0501">
            <w:pPr>
              <w:spacing w:before="60" w:after="60"/>
              <w:jc w:val="center"/>
              <w:rPr>
                <w:rFonts w:cs="Calibri"/>
                <w:szCs w:val="22"/>
              </w:rPr>
            </w:pPr>
            <w:r w:rsidRPr="00176147">
              <w:rPr>
                <w:rFonts w:cs="Calibri"/>
                <w:b/>
                <w:bCs/>
                <w:sz w:val="20"/>
                <w:szCs w:val="22"/>
              </w:rPr>
              <w:t>Change</w:t>
            </w:r>
          </w:p>
        </w:tc>
      </w:tr>
      <w:tr w:rsidR="005019C9" w:rsidRPr="00176147" w14:paraId="41541C88" w14:textId="77777777" w:rsidTr="008D04B1">
        <w:trPr>
          <w:cantSplit/>
        </w:trPr>
        <w:tc>
          <w:tcPr>
            <w:tcW w:w="3560" w:type="dxa"/>
            <w:tcMar>
              <w:top w:w="70" w:type="dxa"/>
              <w:left w:w="110" w:type="dxa"/>
              <w:bottom w:w="70" w:type="dxa"/>
              <w:right w:w="110" w:type="dxa"/>
            </w:tcMar>
          </w:tcPr>
          <w:p w14:paraId="4C744117" w14:textId="77777777" w:rsidR="005019C9" w:rsidRPr="00176147" w:rsidRDefault="005019C9" w:rsidP="001A0501">
            <w:pPr>
              <w:spacing w:before="60" w:after="60"/>
              <w:jc w:val="left"/>
              <w:rPr>
                <w:rFonts w:cs="Calibri"/>
                <w:szCs w:val="22"/>
              </w:rPr>
            </w:pPr>
            <w:r w:rsidRPr="00176147">
              <w:rPr>
                <w:rFonts w:cs="Calibri"/>
                <w:sz w:val="20"/>
                <w:szCs w:val="22"/>
              </w:rPr>
              <w:t>Days sales outstanding</w:t>
            </w:r>
          </w:p>
        </w:tc>
        <w:tc>
          <w:tcPr>
            <w:tcW w:w="1450" w:type="dxa"/>
            <w:tcMar>
              <w:top w:w="70" w:type="dxa"/>
              <w:left w:w="110" w:type="dxa"/>
              <w:bottom w:w="70" w:type="dxa"/>
              <w:right w:w="110" w:type="dxa"/>
            </w:tcMar>
          </w:tcPr>
          <w:p w14:paraId="22F1F8A2" w14:textId="77777777" w:rsidR="005019C9" w:rsidRPr="00176147" w:rsidRDefault="005019C9" w:rsidP="001A0501">
            <w:pPr>
              <w:spacing w:before="60" w:after="60"/>
              <w:jc w:val="center"/>
              <w:rPr>
                <w:rFonts w:cs="Calibri"/>
                <w:szCs w:val="22"/>
              </w:rPr>
            </w:pPr>
            <w:r w:rsidRPr="00176147">
              <w:rPr>
                <w:rFonts w:cs="Calibri"/>
                <w:sz w:val="20"/>
                <w:szCs w:val="22"/>
              </w:rPr>
              <w:t>51.6</w:t>
            </w:r>
          </w:p>
        </w:tc>
        <w:tc>
          <w:tcPr>
            <w:tcW w:w="1450" w:type="dxa"/>
            <w:tcMar>
              <w:top w:w="70" w:type="dxa"/>
              <w:left w:w="110" w:type="dxa"/>
              <w:bottom w:w="70" w:type="dxa"/>
              <w:right w:w="110" w:type="dxa"/>
            </w:tcMar>
          </w:tcPr>
          <w:p w14:paraId="37DC1A32" w14:textId="77777777" w:rsidR="005019C9" w:rsidRPr="00176147" w:rsidRDefault="005019C9" w:rsidP="001A0501">
            <w:pPr>
              <w:spacing w:before="60" w:after="60"/>
              <w:jc w:val="center"/>
              <w:rPr>
                <w:rFonts w:cs="Calibri"/>
                <w:szCs w:val="22"/>
              </w:rPr>
            </w:pPr>
            <w:r w:rsidRPr="00176147">
              <w:rPr>
                <w:rFonts w:cs="Calibri"/>
                <w:sz w:val="20"/>
                <w:szCs w:val="22"/>
              </w:rPr>
              <w:t>45.7</w:t>
            </w:r>
          </w:p>
        </w:tc>
        <w:tc>
          <w:tcPr>
            <w:tcW w:w="1450" w:type="dxa"/>
            <w:tcMar>
              <w:top w:w="70" w:type="dxa"/>
              <w:left w:w="110" w:type="dxa"/>
              <w:bottom w:w="70" w:type="dxa"/>
              <w:right w:w="110" w:type="dxa"/>
            </w:tcMar>
          </w:tcPr>
          <w:p w14:paraId="11E5C49D" w14:textId="77777777" w:rsidR="005019C9" w:rsidRPr="00176147" w:rsidRDefault="005019C9" w:rsidP="001A0501">
            <w:pPr>
              <w:spacing w:before="60" w:after="60"/>
              <w:jc w:val="center"/>
              <w:rPr>
                <w:rFonts w:cs="Calibri"/>
                <w:szCs w:val="22"/>
              </w:rPr>
            </w:pPr>
            <w:r w:rsidRPr="00176147">
              <w:rPr>
                <w:rFonts w:cs="Calibri"/>
                <w:sz w:val="20"/>
                <w:szCs w:val="22"/>
              </w:rPr>
              <w:t>45.8</w:t>
            </w:r>
          </w:p>
        </w:tc>
        <w:tc>
          <w:tcPr>
            <w:tcW w:w="1450" w:type="dxa"/>
            <w:tcMar>
              <w:top w:w="70" w:type="dxa"/>
              <w:left w:w="110" w:type="dxa"/>
              <w:bottom w:w="70" w:type="dxa"/>
              <w:right w:w="110" w:type="dxa"/>
            </w:tcMar>
          </w:tcPr>
          <w:p w14:paraId="36B46359" w14:textId="77777777" w:rsidR="005019C9" w:rsidRPr="00176147" w:rsidRDefault="005019C9" w:rsidP="001A0501">
            <w:pPr>
              <w:spacing w:before="60" w:after="60"/>
              <w:jc w:val="center"/>
              <w:rPr>
                <w:rFonts w:cs="Calibri"/>
                <w:szCs w:val="22"/>
              </w:rPr>
            </w:pPr>
            <w:r w:rsidRPr="00176147">
              <w:rPr>
                <w:rFonts w:cs="Calibri"/>
                <w:sz w:val="20"/>
                <w:szCs w:val="22"/>
              </w:rPr>
              <w:t>(5.8)</w:t>
            </w:r>
          </w:p>
        </w:tc>
      </w:tr>
      <w:tr w:rsidR="005019C9" w:rsidRPr="00176147" w14:paraId="1138059D" w14:textId="77777777" w:rsidTr="008D04B1">
        <w:trPr>
          <w:cantSplit/>
        </w:trPr>
        <w:tc>
          <w:tcPr>
            <w:tcW w:w="3560" w:type="dxa"/>
            <w:tcMar>
              <w:top w:w="70" w:type="dxa"/>
              <w:left w:w="110" w:type="dxa"/>
              <w:bottom w:w="70" w:type="dxa"/>
              <w:right w:w="110" w:type="dxa"/>
            </w:tcMar>
          </w:tcPr>
          <w:p w14:paraId="52D76705" w14:textId="77777777" w:rsidR="005019C9" w:rsidRPr="00176147" w:rsidRDefault="005019C9" w:rsidP="001A0501">
            <w:pPr>
              <w:spacing w:before="60" w:after="60"/>
              <w:jc w:val="left"/>
              <w:rPr>
                <w:rFonts w:cs="Calibri"/>
                <w:szCs w:val="22"/>
              </w:rPr>
            </w:pPr>
            <w:r w:rsidRPr="00176147">
              <w:rPr>
                <w:rFonts w:cs="Calibri"/>
                <w:sz w:val="20"/>
                <w:szCs w:val="22"/>
              </w:rPr>
              <w:t>Days inventory outstanding</w:t>
            </w:r>
          </w:p>
        </w:tc>
        <w:tc>
          <w:tcPr>
            <w:tcW w:w="1450" w:type="dxa"/>
            <w:tcMar>
              <w:top w:w="70" w:type="dxa"/>
              <w:left w:w="110" w:type="dxa"/>
              <w:bottom w:w="70" w:type="dxa"/>
              <w:right w:w="110" w:type="dxa"/>
            </w:tcMar>
          </w:tcPr>
          <w:p w14:paraId="2C980DF3" w14:textId="77777777" w:rsidR="005019C9" w:rsidRPr="00176147" w:rsidRDefault="005019C9" w:rsidP="001A0501">
            <w:pPr>
              <w:spacing w:before="60" w:after="60"/>
              <w:jc w:val="center"/>
              <w:rPr>
                <w:rFonts w:cs="Calibri"/>
                <w:szCs w:val="22"/>
              </w:rPr>
            </w:pPr>
            <w:r w:rsidRPr="00176147">
              <w:rPr>
                <w:rFonts w:cs="Calibri"/>
                <w:sz w:val="20"/>
                <w:szCs w:val="22"/>
              </w:rPr>
              <w:t>62.8</w:t>
            </w:r>
          </w:p>
        </w:tc>
        <w:tc>
          <w:tcPr>
            <w:tcW w:w="1450" w:type="dxa"/>
            <w:tcMar>
              <w:top w:w="70" w:type="dxa"/>
              <w:left w:w="110" w:type="dxa"/>
              <w:bottom w:w="70" w:type="dxa"/>
              <w:right w:w="110" w:type="dxa"/>
            </w:tcMar>
          </w:tcPr>
          <w:p w14:paraId="605BE2AA" w14:textId="77777777" w:rsidR="005019C9" w:rsidRPr="00176147" w:rsidRDefault="005019C9" w:rsidP="001A0501">
            <w:pPr>
              <w:spacing w:before="60" w:after="60"/>
              <w:jc w:val="center"/>
              <w:rPr>
                <w:rFonts w:cs="Calibri"/>
                <w:szCs w:val="22"/>
              </w:rPr>
            </w:pPr>
            <w:r w:rsidRPr="00176147">
              <w:rPr>
                <w:rFonts w:cs="Calibri"/>
                <w:sz w:val="20"/>
                <w:szCs w:val="22"/>
              </w:rPr>
              <w:t>48.1</w:t>
            </w:r>
          </w:p>
        </w:tc>
        <w:tc>
          <w:tcPr>
            <w:tcW w:w="1450" w:type="dxa"/>
            <w:tcMar>
              <w:top w:w="70" w:type="dxa"/>
              <w:left w:w="110" w:type="dxa"/>
              <w:bottom w:w="70" w:type="dxa"/>
              <w:right w:w="110" w:type="dxa"/>
            </w:tcMar>
          </w:tcPr>
          <w:p w14:paraId="40138739" w14:textId="77777777" w:rsidR="005019C9" w:rsidRPr="00176147" w:rsidRDefault="005019C9" w:rsidP="001A0501">
            <w:pPr>
              <w:spacing w:before="60" w:after="60"/>
              <w:jc w:val="center"/>
              <w:rPr>
                <w:rFonts w:cs="Calibri"/>
                <w:szCs w:val="22"/>
              </w:rPr>
            </w:pPr>
            <w:r w:rsidRPr="00176147">
              <w:rPr>
                <w:rFonts w:cs="Calibri"/>
                <w:sz w:val="20"/>
                <w:szCs w:val="22"/>
              </w:rPr>
              <w:t>43.7</w:t>
            </w:r>
          </w:p>
        </w:tc>
        <w:tc>
          <w:tcPr>
            <w:tcW w:w="1450" w:type="dxa"/>
            <w:tcMar>
              <w:top w:w="70" w:type="dxa"/>
              <w:left w:w="110" w:type="dxa"/>
              <w:bottom w:w="70" w:type="dxa"/>
              <w:right w:w="110" w:type="dxa"/>
            </w:tcMar>
          </w:tcPr>
          <w:p w14:paraId="48376C06" w14:textId="77777777" w:rsidR="005019C9" w:rsidRPr="00176147" w:rsidRDefault="005019C9" w:rsidP="001A0501">
            <w:pPr>
              <w:spacing w:before="60" w:after="60"/>
              <w:jc w:val="center"/>
              <w:rPr>
                <w:rFonts w:cs="Calibri"/>
                <w:szCs w:val="22"/>
              </w:rPr>
            </w:pPr>
            <w:r w:rsidRPr="00176147">
              <w:rPr>
                <w:rFonts w:cs="Calibri"/>
                <w:sz w:val="20"/>
                <w:szCs w:val="22"/>
              </w:rPr>
              <w:t>(19.0)</w:t>
            </w:r>
          </w:p>
        </w:tc>
      </w:tr>
      <w:tr w:rsidR="005019C9" w:rsidRPr="00176147" w14:paraId="4C07C881" w14:textId="77777777" w:rsidTr="008D04B1">
        <w:trPr>
          <w:cantSplit/>
        </w:trPr>
        <w:tc>
          <w:tcPr>
            <w:tcW w:w="3560" w:type="dxa"/>
            <w:tcMar>
              <w:top w:w="70" w:type="dxa"/>
              <w:left w:w="110" w:type="dxa"/>
              <w:bottom w:w="70" w:type="dxa"/>
              <w:right w:w="110" w:type="dxa"/>
            </w:tcMar>
          </w:tcPr>
          <w:p w14:paraId="2D3C0CF0" w14:textId="77777777" w:rsidR="005019C9" w:rsidRPr="00176147" w:rsidRDefault="005019C9" w:rsidP="001A0501">
            <w:pPr>
              <w:spacing w:before="60" w:after="60"/>
              <w:jc w:val="left"/>
              <w:rPr>
                <w:rFonts w:cs="Calibri"/>
                <w:szCs w:val="22"/>
              </w:rPr>
            </w:pPr>
            <w:r w:rsidRPr="00176147">
              <w:rPr>
                <w:rFonts w:cs="Calibri"/>
                <w:sz w:val="20"/>
                <w:szCs w:val="22"/>
              </w:rPr>
              <w:t>Days payable outstanding</w:t>
            </w:r>
          </w:p>
        </w:tc>
        <w:tc>
          <w:tcPr>
            <w:tcW w:w="1450" w:type="dxa"/>
            <w:tcMar>
              <w:top w:w="70" w:type="dxa"/>
              <w:left w:w="110" w:type="dxa"/>
              <w:bottom w:w="70" w:type="dxa"/>
              <w:right w:w="110" w:type="dxa"/>
            </w:tcMar>
          </w:tcPr>
          <w:p w14:paraId="73C90FCD" w14:textId="77777777" w:rsidR="005019C9" w:rsidRPr="00176147" w:rsidRDefault="005019C9" w:rsidP="001A0501">
            <w:pPr>
              <w:spacing w:before="60" w:after="60"/>
              <w:jc w:val="center"/>
              <w:rPr>
                <w:rFonts w:cs="Calibri"/>
                <w:szCs w:val="22"/>
              </w:rPr>
            </w:pPr>
            <w:r w:rsidRPr="00176147">
              <w:rPr>
                <w:rFonts w:cs="Calibri"/>
                <w:sz w:val="20"/>
                <w:szCs w:val="22"/>
              </w:rPr>
              <w:t>42.5</w:t>
            </w:r>
          </w:p>
        </w:tc>
        <w:tc>
          <w:tcPr>
            <w:tcW w:w="1450" w:type="dxa"/>
            <w:tcMar>
              <w:top w:w="70" w:type="dxa"/>
              <w:left w:w="110" w:type="dxa"/>
              <w:bottom w:w="70" w:type="dxa"/>
              <w:right w:w="110" w:type="dxa"/>
            </w:tcMar>
          </w:tcPr>
          <w:p w14:paraId="037029A8" w14:textId="77777777" w:rsidR="005019C9" w:rsidRPr="00176147" w:rsidRDefault="005019C9" w:rsidP="001A0501">
            <w:pPr>
              <w:spacing w:before="60" w:after="60"/>
              <w:jc w:val="center"/>
              <w:rPr>
                <w:rFonts w:cs="Calibri"/>
                <w:szCs w:val="22"/>
              </w:rPr>
            </w:pPr>
            <w:r w:rsidRPr="00176147">
              <w:rPr>
                <w:rFonts w:cs="Calibri"/>
                <w:sz w:val="20"/>
                <w:szCs w:val="22"/>
              </w:rPr>
              <w:t>29.7</w:t>
            </w:r>
          </w:p>
        </w:tc>
        <w:tc>
          <w:tcPr>
            <w:tcW w:w="1450" w:type="dxa"/>
            <w:tcMar>
              <w:top w:w="70" w:type="dxa"/>
              <w:left w:w="110" w:type="dxa"/>
              <w:bottom w:w="70" w:type="dxa"/>
              <w:right w:w="110" w:type="dxa"/>
            </w:tcMar>
          </w:tcPr>
          <w:p w14:paraId="00FAC104" w14:textId="77777777" w:rsidR="005019C9" w:rsidRPr="00176147" w:rsidRDefault="005019C9" w:rsidP="001A0501">
            <w:pPr>
              <w:spacing w:before="60" w:after="60"/>
              <w:jc w:val="center"/>
              <w:rPr>
                <w:rFonts w:cs="Calibri"/>
                <w:szCs w:val="22"/>
              </w:rPr>
            </w:pPr>
            <w:r w:rsidRPr="00176147">
              <w:rPr>
                <w:rFonts w:cs="Calibri"/>
                <w:sz w:val="20"/>
                <w:szCs w:val="22"/>
              </w:rPr>
              <w:t>32.0</w:t>
            </w:r>
          </w:p>
        </w:tc>
        <w:tc>
          <w:tcPr>
            <w:tcW w:w="1450" w:type="dxa"/>
            <w:tcMar>
              <w:top w:w="70" w:type="dxa"/>
              <w:left w:w="110" w:type="dxa"/>
              <w:bottom w:w="70" w:type="dxa"/>
              <w:right w:w="110" w:type="dxa"/>
            </w:tcMar>
          </w:tcPr>
          <w:p w14:paraId="2ECB65A9" w14:textId="77777777" w:rsidR="005019C9" w:rsidRPr="00176147" w:rsidRDefault="005019C9" w:rsidP="001A0501">
            <w:pPr>
              <w:spacing w:before="60" w:after="60"/>
              <w:jc w:val="center"/>
              <w:rPr>
                <w:rFonts w:cs="Calibri"/>
                <w:szCs w:val="22"/>
              </w:rPr>
            </w:pPr>
            <w:r w:rsidRPr="00176147">
              <w:rPr>
                <w:rFonts w:cs="Calibri"/>
                <w:sz w:val="20"/>
                <w:szCs w:val="22"/>
              </w:rPr>
              <w:t>(10.5)</w:t>
            </w:r>
          </w:p>
        </w:tc>
      </w:tr>
      <w:tr w:rsidR="005019C9" w:rsidRPr="00176147" w14:paraId="3AD381C4" w14:textId="77777777" w:rsidTr="008D04B1">
        <w:trPr>
          <w:cantSplit/>
        </w:trPr>
        <w:tc>
          <w:tcPr>
            <w:tcW w:w="3560" w:type="dxa"/>
            <w:tcBorders>
              <w:bottom w:val="single" w:sz="8" w:space="0" w:color="000000"/>
            </w:tcBorders>
            <w:tcMar>
              <w:top w:w="70" w:type="dxa"/>
              <w:left w:w="110" w:type="dxa"/>
              <w:bottom w:w="70" w:type="dxa"/>
              <w:right w:w="110" w:type="dxa"/>
            </w:tcMar>
          </w:tcPr>
          <w:p w14:paraId="61A3E679" w14:textId="77777777" w:rsidR="005019C9" w:rsidRPr="00176147" w:rsidRDefault="005019C9" w:rsidP="001A0501">
            <w:pPr>
              <w:spacing w:before="60" w:after="60"/>
              <w:jc w:val="left"/>
              <w:rPr>
                <w:rFonts w:cs="Calibri"/>
                <w:szCs w:val="22"/>
              </w:rPr>
            </w:pPr>
            <w:r w:rsidRPr="00176147">
              <w:rPr>
                <w:rFonts w:cs="Calibri"/>
                <w:bCs/>
                <w:sz w:val="20"/>
                <w:szCs w:val="22"/>
              </w:rPr>
              <w:t>Cash conversion cycle</w:t>
            </w:r>
          </w:p>
        </w:tc>
        <w:tc>
          <w:tcPr>
            <w:tcW w:w="1450" w:type="dxa"/>
            <w:tcBorders>
              <w:bottom w:val="single" w:sz="8" w:space="0" w:color="000000"/>
            </w:tcBorders>
            <w:tcMar>
              <w:top w:w="70" w:type="dxa"/>
              <w:left w:w="110" w:type="dxa"/>
              <w:bottom w:w="70" w:type="dxa"/>
              <w:right w:w="110" w:type="dxa"/>
            </w:tcMar>
          </w:tcPr>
          <w:p w14:paraId="67CD9DCD" w14:textId="77777777" w:rsidR="005019C9" w:rsidRPr="00176147" w:rsidRDefault="005019C9" w:rsidP="001A0501">
            <w:pPr>
              <w:spacing w:before="60" w:after="60"/>
              <w:jc w:val="center"/>
              <w:rPr>
                <w:rFonts w:cs="Calibri"/>
                <w:szCs w:val="22"/>
              </w:rPr>
            </w:pPr>
            <w:r w:rsidRPr="00176147">
              <w:rPr>
                <w:rFonts w:cs="Calibri"/>
                <w:bCs/>
                <w:sz w:val="20"/>
                <w:szCs w:val="22"/>
              </w:rPr>
              <w:t>71.9</w:t>
            </w:r>
          </w:p>
        </w:tc>
        <w:tc>
          <w:tcPr>
            <w:tcW w:w="1450" w:type="dxa"/>
            <w:tcBorders>
              <w:bottom w:val="single" w:sz="8" w:space="0" w:color="000000"/>
            </w:tcBorders>
            <w:tcMar>
              <w:top w:w="70" w:type="dxa"/>
              <w:left w:w="110" w:type="dxa"/>
              <w:bottom w:w="70" w:type="dxa"/>
              <w:right w:w="110" w:type="dxa"/>
            </w:tcMar>
          </w:tcPr>
          <w:p w14:paraId="562BA640" w14:textId="77777777" w:rsidR="005019C9" w:rsidRPr="00176147" w:rsidRDefault="005019C9" w:rsidP="001A0501">
            <w:pPr>
              <w:spacing w:before="60" w:after="60"/>
              <w:jc w:val="center"/>
              <w:rPr>
                <w:rFonts w:cs="Calibri"/>
                <w:szCs w:val="22"/>
              </w:rPr>
            </w:pPr>
            <w:r w:rsidRPr="00176147">
              <w:rPr>
                <w:rFonts w:cs="Calibri"/>
                <w:bCs/>
                <w:sz w:val="20"/>
                <w:szCs w:val="22"/>
              </w:rPr>
              <w:t>64.0</w:t>
            </w:r>
          </w:p>
        </w:tc>
        <w:tc>
          <w:tcPr>
            <w:tcW w:w="1450" w:type="dxa"/>
            <w:tcBorders>
              <w:bottom w:val="single" w:sz="8" w:space="0" w:color="000000"/>
            </w:tcBorders>
            <w:tcMar>
              <w:top w:w="70" w:type="dxa"/>
              <w:left w:w="110" w:type="dxa"/>
              <w:bottom w:w="70" w:type="dxa"/>
              <w:right w:w="110" w:type="dxa"/>
            </w:tcMar>
          </w:tcPr>
          <w:p w14:paraId="6395CADA" w14:textId="77777777" w:rsidR="005019C9" w:rsidRPr="00176147" w:rsidRDefault="005019C9" w:rsidP="001A0501">
            <w:pPr>
              <w:spacing w:before="60" w:after="60"/>
              <w:jc w:val="center"/>
              <w:rPr>
                <w:rFonts w:cs="Calibri"/>
                <w:szCs w:val="22"/>
              </w:rPr>
            </w:pPr>
            <w:r w:rsidRPr="00176147">
              <w:rPr>
                <w:rFonts w:cs="Calibri"/>
                <w:bCs/>
                <w:sz w:val="20"/>
                <w:szCs w:val="22"/>
              </w:rPr>
              <w:t>57.5</w:t>
            </w:r>
          </w:p>
        </w:tc>
        <w:tc>
          <w:tcPr>
            <w:tcW w:w="1450" w:type="dxa"/>
            <w:tcBorders>
              <w:bottom w:val="single" w:sz="8" w:space="0" w:color="000000"/>
            </w:tcBorders>
            <w:tcMar>
              <w:top w:w="70" w:type="dxa"/>
              <w:left w:w="110" w:type="dxa"/>
              <w:bottom w:w="70" w:type="dxa"/>
              <w:right w:w="110" w:type="dxa"/>
            </w:tcMar>
          </w:tcPr>
          <w:p w14:paraId="0493F2BA" w14:textId="77777777" w:rsidR="005019C9" w:rsidRPr="00176147" w:rsidRDefault="005019C9" w:rsidP="001A0501">
            <w:pPr>
              <w:spacing w:before="60" w:after="60"/>
              <w:jc w:val="center"/>
              <w:rPr>
                <w:rFonts w:cs="Calibri"/>
                <w:szCs w:val="22"/>
              </w:rPr>
            </w:pPr>
            <w:r w:rsidRPr="00176147">
              <w:rPr>
                <w:rFonts w:cs="Calibri"/>
                <w:bCs/>
                <w:sz w:val="20"/>
                <w:szCs w:val="22"/>
              </w:rPr>
              <w:t>(14.4)</w:t>
            </w:r>
          </w:p>
        </w:tc>
      </w:tr>
    </w:tbl>
    <w:p w14:paraId="547BA668" w14:textId="636552FC" w:rsidR="00A77984" w:rsidRPr="00176147" w:rsidRDefault="00A77984" w:rsidP="001A0501">
      <w:pPr>
        <w:spacing w:before="80" w:after="240"/>
        <w:jc w:val="left"/>
        <w:rPr>
          <w:rFonts w:cs="Calibri"/>
          <w:szCs w:val="22"/>
        </w:rPr>
      </w:pPr>
      <w:r>
        <w:rPr>
          <w:i/>
          <w:sz w:val="18"/>
        </w:rPr>
        <w:t xml:space="preserve">Note. </w:t>
      </w:r>
      <w:r>
        <w:rPr>
          <w:sz w:val="18"/>
        </w:rPr>
        <w:t>NHH cut its cash conversion cycle by 14.4 days, but the gain came from inventory while payables moved against it. Average-balance basis; source: consolidated audited financial statements.</w:t>
      </w:r>
    </w:p>
    <w:p w14:paraId="26ABC99C" w14:textId="77777777" w:rsidR="00513A28" w:rsidRPr="00176147" w:rsidRDefault="0066563E"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2. Scope, Data and Method</w:t>
      </w:r>
    </w:p>
    <w:p w14:paraId="276239BE" w14:textId="77777777" w:rsidR="004F7EF7" w:rsidRPr="00176147" w:rsidRDefault="004F7EF7" w:rsidP="001A0501">
      <w:pPr>
        <w:rPr>
          <w:rFonts w:cs="Calibri"/>
          <w:szCs w:val="22"/>
        </w:rPr>
      </w:pPr>
      <w:r w:rsidRPr="00176147">
        <w:rPr>
          <w:rFonts w:cs="Calibri"/>
          <w:szCs w:val="22"/>
        </w:rPr>
        <w:t xml:space="preserve">All figures are taken from consolidated audited financial statements and all data used are publicly available. Consolidated rather than parent-company statements are used because NHH operates through subsidiaries, and only the consolidated accounts capture the full scale of the manufacturing operation. </w:t>
      </w:r>
    </w:p>
    <w:p w14:paraId="7E4E0037" w14:textId="77777777" w:rsidR="004F7EF7" w:rsidRPr="00176147" w:rsidRDefault="004F7EF7" w:rsidP="001A0501">
      <w:pPr>
        <w:rPr>
          <w:rFonts w:cs="Calibri"/>
          <w:szCs w:val="22"/>
        </w:rPr>
      </w:pPr>
      <w:r w:rsidRPr="00176147">
        <w:rPr>
          <w:rFonts w:cs="Calibri"/>
          <w:szCs w:val="22"/>
        </w:rPr>
        <w:t>The cash conversion cycle is defined as days sales outstanding plus days inventory outstanding less days payable outstanding. All three components use average balances, calculated as the mean of opening and closing positions, so that a single year-end distortion does not drive the result. Days sales outstanding is measured against revenue</w:t>
      </w:r>
      <w:r w:rsidR="00597841" w:rsidRPr="00176147">
        <w:rPr>
          <w:rFonts w:cs="Calibri"/>
          <w:szCs w:val="22"/>
        </w:rPr>
        <w:t>,</w:t>
      </w:r>
      <w:r w:rsidRPr="00176147">
        <w:rPr>
          <w:rFonts w:cs="Calibri"/>
          <w:szCs w:val="22"/>
        </w:rPr>
        <w:t xml:space="preserve"> days inventory and days payable are measured against cost of goods sold. A 365-day year is applied throughout.</w:t>
      </w:r>
    </w:p>
    <w:p w14:paraId="116B4827" w14:textId="77777777" w:rsidR="004F7EF7" w:rsidRPr="00176147" w:rsidRDefault="004F7EF7" w:rsidP="001A0501">
      <w:pPr>
        <w:rPr>
          <w:rFonts w:cs="Calibri"/>
          <w:szCs w:val="22"/>
        </w:rPr>
      </w:pPr>
      <w:r w:rsidRPr="00176147">
        <w:rPr>
          <w:rFonts w:cs="Calibri"/>
          <w:szCs w:val="22"/>
        </w:rPr>
        <w:t xml:space="preserve">NHH prepares its accounts under Vietnamese Accounting Standards, principally Circular 200/2014/TT-BTC. These were restated into a comparable analytical format, with the reconciliation set out in Appendix B. </w:t>
      </w:r>
      <w:r w:rsidRPr="00176147">
        <w:rPr>
          <w:rFonts w:cs="Calibri"/>
          <w:szCs w:val="22"/>
        </w:rPr>
        <w:lastRenderedPageBreak/>
        <w:t>The restatement matters for comparability but not for the cycle itself</w:t>
      </w:r>
      <w:r w:rsidR="00EA2A74" w:rsidRPr="00176147">
        <w:rPr>
          <w:rFonts w:cs="Calibri"/>
          <w:szCs w:val="22"/>
        </w:rPr>
        <w:t xml:space="preserve"> that</w:t>
      </w:r>
      <w:r w:rsidRPr="00176147">
        <w:rPr>
          <w:rFonts w:cs="Calibri"/>
          <w:szCs w:val="22"/>
        </w:rPr>
        <w:t xml:space="preserve"> at the level of trade receivables, inventory and trade payables, the differences between Vietnamese standards and IFRS are immaterial.</w:t>
      </w:r>
    </w:p>
    <w:p w14:paraId="5BBBB18B" w14:textId="77777777" w:rsidR="004F7EF7" w:rsidRPr="00176147" w:rsidRDefault="004F7EF7" w:rsidP="001A0501">
      <w:pPr>
        <w:rPr>
          <w:rFonts w:cs="Calibri"/>
          <w:szCs w:val="22"/>
        </w:rPr>
      </w:pPr>
      <w:r w:rsidRPr="00176147">
        <w:rPr>
          <w:rFonts w:cs="Calibri"/>
          <w:szCs w:val="22"/>
        </w:rPr>
        <w:t>Figures are held in each company's own reporting currency. No foreign exchange translation and no translation error as the cash conversion cycle is expressed in days and is therefore currency-neutral.</w:t>
      </w:r>
    </w:p>
    <w:p w14:paraId="4A97163C" w14:textId="77777777" w:rsidR="004F7EF7" w:rsidRPr="00176147" w:rsidRDefault="004F7EF7" w:rsidP="001A0501">
      <w:pPr>
        <w:keepNext/>
        <w:spacing w:before="220" w:after="80"/>
        <w:jc w:val="left"/>
        <w:rPr>
          <w:rFonts w:cs="Calibri"/>
          <w:b/>
          <w:bCs/>
          <w:szCs w:val="22"/>
        </w:rPr>
      </w:pPr>
      <w:r w:rsidRPr="00176147">
        <w:rPr>
          <w:rFonts w:cs="Calibri"/>
          <w:b/>
          <w:bCs/>
          <w:szCs w:val="22"/>
        </w:rPr>
        <w:t>2.1 Peer selection</w:t>
      </w:r>
    </w:p>
    <w:p w14:paraId="213CD57D" w14:textId="77777777" w:rsidR="004F7EF7" w:rsidRPr="00176147" w:rsidRDefault="004F7EF7" w:rsidP="001A0501">
      <w:pPr>
        <w:rPr>
          <w:rFonts w:cs="Calibri"/>
          <w:szCs w:val="22"/>
        </w:rPr>
      </w:pPr>
      <w:r w:rsidRPr="00176147">
        <w:rPr>
          <w:rFonts w:cs="Calibri"/>
          <w:szCs w:val="22"/>
        </w:rPr>
        <w:t>The comparator set was built in three layers, each answering a different question.</w:t>
      </w:r>
    </w:p>
    <w:p w14:paraId="35D6E025" w14:textId="77777777" w:rsidR="000F54AE" w:rsidRPr="00176147" w:rsidRDefault="004F7EF7" w:rsidP="001A0501">
      <w:pPr>
        <w:pStyle w:val="ListParagraph"/>
        <w:numPr>
          <w:ilvl w:val="0"/>
          <w:numId w:val="5"/>
        </w:numPr>
        <w:spacing w:after="100"/>
        <w:rPr>
          <w:rFonts w:cs="Calibri"/>
          <w:szCs w:val="22"/>
        </w:rPr>
      </w:pPr>
      <w:r w:rsidRPr="00176147">
        <w:rPr>
          <w:rFonts w:cs="Calibri"/>
          <w:szCs w:val="22"/>
        </w:rPr>
        <w:t xml:space="preserve">Structural peers </w:t>
      </w:r>
      <w:r w:rsidR="000F54AE" w:rsidRPr="00176147">
        <w:rPr>
          <w:rFonts w:cs="Calibri"/>
          <w:szCs w:val="22"/>
        </w:rPr>
        <w:t xml:space="preserve">: </w:t>
      </w:r>
      <w:r w:rsidRPr="00176147">
        <w:rPr>
          <w:rFonts w:cs="Calibri"/>
          <w:szCs w:val="22"/>
        </w:rPr>
        <w:t xml:space="preserve">SKP Resources and Sanko Gosei. Both manufacture plastic components to customer specification for original equipment manufacturers. Sanko additionally operates a </w:t>
      </w:r>
      <w:proofErr w:type="spellStart"/>
      <w:r w:rsidRPr="00176147">
        <w:rPr>
          <w:rFonts w:cs="Calibri"/>
          <w:szCs w:val="22"/>
        </w:rPr>
        <w:t>mould</w:t>
      </w:r>
      <w:proofErr w:type="spellEnd"/>
      <w:r w:rsidRPr="00176147">
        <w:rPr>
          <w:rFonts w:cs="Calibri"/>
          <w:szCs w:val="22"/>
        </w:rPr>
        <w:t xml:space="preserve"> and die business, which matches NHH's product mix directly. </w:t>
      </w:r>
    </w:p>
    <w:p w14:paraId="0F61CD14" w14:textId="77777777" w:rsidR="004F7EF7" w:rsidRPr="00176147" w:rsidRDefault="004F7EF7" w:rsidP="001A0501">
      <w:pPr>
        <w:pStyle w:val="ListParagraph"/>
        <w:numPr>
          <w:ilvl w:val="0"/>
          <w:numId w:val="5"/>
        </w:numPr>
        <w:spacing w:after="100"/>
        <w:rPr>
          <w:rFonts w:cs="Calibri"/>
          <w:szCs w:val="22"/>
        </w:rPr>
      </w:pPr>
      <w:r w:rsidRPr="00176147">
        <w:rPr>
          <w:rFonts w:cs="Calibri"/>
          <w:szCs w:val="22"/>
        </w:rPr>
        <w:t xml:space="preserve">Global reference </w:t>
      </w:r>
      <w:r w:rsidR="000F54AE" w:rsidRPr="00176147">
        <w:rPr>
          <w:rFonts w:cs="Calibri"/>
          <w:szCs w:val="22"/>
        </w:rPr>
        <w:t>:</w:t>
      </w:r>
      <w:r w:rsidRPr="00176147">
        <w:rPr>
          <w:rFonts w:cs="Calibri"/>
          <w:szCs w:val="22"/>
        </w:rPr>
        <w:t xml:space="preserve"> </w:t>
      </w:r>
      <w:proofErr w:type="spellStart"/>
      <w:r w:rsidRPr="00176147">
        <w:rPr>
          <w:rFonts w:cs="Calibri"/>
          <w:szCs w:val="22"/>
        </w:rPr>
        <w:t>Nolato</w:t>
      </w:r>
      <w:proofErr w:type="spellEnd"/>
      <w:r w:rsidRPr="00176147">
        <w:rPr>
          <w:rFonts w:cs="Calibri"/>
          <w:szCs w:val="22"/>
        </w:rPr>
        <w:t xml:space="preserve"> AB. A polymer contract manufacturer reporting under IFRS, used to place the Vietnamese figures against an international standard rather than a regional one.</w:t>
      </w:r>
    </w:p>
    <w:p w14:paraId="36051F61" w14:textId="77777777" w:rsidR="004F7EF7" w:rsidRPr="00176147" w:rsidRDefault="004F7EF7" w:rsidP="001A0501">
      <w:pPr>
        <w:pStyle w:val="ListParagraph"/>
        <w:numPr>
          <w:ilvl w:val="0"/>
          <w:numId w:val="5"/>
        </w:numPr>
        <w:spacing w:after="100"/>
        <w:rPr>
          <w:rFonts w:cs="Calibri"/>
          <w:szCs w:val="22"/>
        </w:rPr>
      </w:pPr>
      <w:r w:rsidRPr="00176147">
        <w:rPr>
          <w:rFonts w:cs="Calibri"/>
          <w:szCs w:val="22"/>
        </w:rPr>
        <w:t xml:space="preserve">Domestic control </w:t>
      </w:r>
      <w:r w:rsidR="000F54AE" w:rsidRPr="00176147">
        <w:rPr>
          <w:rFonts w:cs="Calibri"/>
          <w:szCs w:val="22"/>
        </w:rPr>
        <w:t>:</w:t>
      </w:r>
      <w:r w:rsidRPr="00176147">
        <w:rPr>
          <w:rFonts w:cs="Calibri"/>
          <w:szCs w:val="22"/>
        </w:rPr>
        <w:t xml:space="preserve"> </w:t>
      </w:r>
      <w:proofErr w:type="spellStart"/>
      <w:r w:rsidRPr="00176147">
        <w:rPr>
          <w:rFonts w:cs="Calibri"/>
          <w:szCs w:val="22"/>
        </w:rPr>
        <w:t>Nhựa</w:t>
      </w:r>
      <w:proofErr w:type="spellEnd"/>
      <w:r w:rsidRPr="00176147">
        <w:rPr>
          <w:rFonts w:cs="Calibri"/>
          <w:szCs w:val="22"/>
        </w:rPr>
        <w:t xml:space="preserve"> </w:t>
      </w:r>
      <w:proofErr w:type="spellStart"/>
      <w:r w:rsidRPr="00176147">
        <w:rPr>
          <w:rFonts w:cs="Calibri"/>
          <w:szCs w:val="22"/>
        </w:rPr>
        <w:t>Tiền</w:t>
      </w:r>
      <w:proofErr w:type="spellEnd"/>
      <w:r w:rsidRPr="00176147">
        <w:rPr>
          <w:rFonts w:cs="Calibri"/>
          <w:szCs w:val="22"/>
        </w:rPr>
        <w:t xml:space="preserve"> Phong</w:t>
      </w:r>
      <w:r w:rsidR="000F54AE" w:rsidRPr="00176147">
        <w:rPr>
          <w:rFonts w:cs="Calibri"/>
          <w:szCs w:val="22"/>
        </w:rPr>
        <w:t xml:space="preserve"> (NTP)</w:t>
      </w:r>
      <w:r w:rsidRPr="00176147">
        <w:rPr>
          <w:rFonts w:cs="Calibri"/>
          <w:szCs w:val="22"/>
        </w:rPr>
        <w:t xml:space="preserve">. Same country, same accounting framework, same input cost environment, but a distribution-led route to market rather than build-to-order manufacturing. </w:t>
      </w:r>
    </w:p>
    <w:p w14:paraId="7D919F08" w14:textId="77777777" w:rsidR="00320537" w:rsidRPr="00176147" w:rsidRDefault="004F7EF7" w:rsidP="001A0501">
      <w:pPr>
        <w:rPr>
          <w:rFonts w:cs="Calibri"/>
          <w:szCs w:val="22"/>
        </w:rPr>
      </w:pPr>
      <w:r w:rsidRPr="00176147">
        <w:rPr>
          <w:rFonts w:cs="Calibri"/>
          <w:szCs w:val="22"/>
        </w:rPr>
        <w:t xml:space="preserve">One obvious candidate was deliberately excluded. An </w:t>
      </w:r>
      <w:proofErr w:type="spellStart"/>
      <w:r w:rsidRPr="00176147">
        <w:rPr>
          <w:rFonts w:cs="Calibri"/>
          <w:szCs w:val="22"/>
        </w:rPr>
        <w:t>Phát</w:t>
      </w:r>
      <w:proofErr w:type="spellEnd"/>
      <w:r w:rsidRPr="00176147">
        <w:rPr>
          <w:rFonts w:cs="Calibri"/>
          <w:szCs w:val="22"/>
        </w:rPr>
        <w:t xml:space="preserve"> Bioplastics (AAA) is the closest comparator on sector, exchange and scale, and would ordinarily be the first name in any screen. However, it increased its holding in NHH from 47.44% to 62.75% on 26 September 2024 and has consolidated NHH as a subsidiary since that date. Its FY2025 consolidated accounts therefore contain NHH in full, and comparing the two would mean comparing NHH with a group that includes NHH. AAA is retained in the supporting model for completeness but excluded from every peer average in this report.</w:t>
      </w:r>
    </w:p>
    <w:p w14:paraId="568EEB18" w14:textId="77777777" w:rsidR="0066563E" w:rsidRPr="00176147" w:rsidRDefault="00001224"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3. Company and Industry Context</w:t>
      </w:r>
    </w:p>
    <w:p w14:paraId="43DDD4DB" w14:textId="77777777" w:rsidR="00CF5368" w:rsidRPr="00176147" w:rsidRDefault="00CF5368" w:rsidP="001A0501">
      <w:pPr>
        <w:rPr>
          <w:rFonts w:cs="Calibri"/>
          <w:szCs w:val="22"/>
        </w:rPr>
      </w:pPr>
      <w:r w:rsidRPr="00176147">
        <w:rPr>
          <w:rFonts w:cs="Calibri"/>
          <w:szCs w:val="22"/>
        </w:rPr>
        <w:t xml:space="preserve">NHH manufactures precision plastic components and injection </w:t>
      </w:r>
      <w:proofErr w:type="spellStart"/>
      <w:r w:rsidRPr="00176147">
        <w:rPr>
          <w:rFonts w:cs="Calibri"/>
          <w:szCs w:val="22"/>
        </w:rPr>
        <w:t>moulds</w:t>
      </w:r>
      <w:proofErr w:type="spellEnd"/>
      <w:r w:rsidRPr="00176147">
        <w:rPr>
          <w:rFonts w:cs="Calibri"/>
          <w:szCs w:val="22"/>
        </w:rPr>
        <w:t xml:space="preserve"> to customer specification. Its customers are original equipment manufacturers in the automotive, motorcycle and consumer electronics sectors. This is a build-to-order business, not a branded consumer one, and the distinction shapes everything that follows.</w:t>
      </w:r>
    </w:p>
    <w:p w14:paraId="303BA6EF" w14:textId="77777777" w:rsidR="00CF5368" w:rsidRPr="00176147" w:rsidRDefault="00776934" w:rsidP="001A0501">
      <w:pPr>
        <w:rPr>
          <w:rFonts w:cs="Calibri"/>
          <w:szCs w:val="22"/>
        </w:rPr>
      </w:pPr>
      <w:r w:rsidRPr="00176147">
        <w:rPr>
          <w:rFonts w:cs="Calibri"/>
          <w:szCs w:val="22"/>
        </w:rPr>
        <w:t>Three features of the model determine how working capital behaves.</w:t>
      </w:r>
    </w:p>
    <w:p w14:paraId="7B7FDC56" w14:textId="77777777" w:rsidR="00CF5368" w:rsidRPr="00176147" w:rsidRDefault="00CF5368" w:rsidP="001A0501">
      <w:pPr>
        <w:pStyle w:val="ListParagraph"/>
        <w:numPr>
          <w:ilvl w:val="0"/>
          <w:numId w:val="6"/>
        </w:numPr>
        <w:spacing w:after="100"/>
        <w:rPr>
          <w:rFonts w:cs="Calibri"/>
          <w:szCs w:val="22"/>
        </w:rPr>
      </w:pPr>
      <w:r w:rsidRPr="00176147">
        <w:rPr>
          <w:rFonts w:cs="Calibri"/>
          <w:szCs w:val="22"/>
        </w:rPr>
        <w:t>First, inventory is structurally layered. Raw material, work in progress and finished goods each behave differently</w:t>
      </w:r>
      <w:r w:rsidR="003569B2" w:rsidRPr="00176147">
        <w:rPr>
          <w:rFonts w:cs="Calibri"/>
          <w:szCs w:val="22"/>
        </w:rPr>
        <w:t xml:space="preserve"> where</w:t>
      </w:r>
      <w:r w:rsidRPr="00176147">
        <w:rPr>
          <w:rFonts w:cs="Calibri"/>
          <w:szCs w:val="22"/>
        </w:rPr>
        <w:t xml:space="preserve"> raw material is exposed to resin price cycles, work in progress reflects </w:t>
      </w:r>
      <w:r w:rsidRPr="00176147">
        <w:rPr>
          <w:rFonts w:cs="Calibri"/>
          <w:szCs w:val="22"/>
        </w:rPr>
        <w:lastRenderedPageBreak/>
        <w:t xml:space="preserve">production scheduling against customer call-offs, and finished goods are held against delivery windows the customer sets. The </w:t>
      </w:r>
      <w:proofErr w:type="spellStart"/>
      <w:r w:rsidRPr="00176147">
        <w:rPr>
          <w:rFonts w:cs="Calibri"/>
          <w:szCs w:val="22"/>
        </w:rPr>
        <w:t>mould</w:t>
      </w:r>
      <w:proofErr w:type="spellEnd"/>
      <w:r w:rsidRPr="00176147">
        <w:rPr>
          <w:rFonts w:cs="Calibri"/>
          <w:szCs w:val="22"/>
        </w:rPr>
        <w:t xml:space="preserve"> business sits on a longer cycle again, with tooling </w:t>
      </w:r>
      <w:proofErr w:type="spellStart"/>
      <w:r w:rsidRPr="00176147">
        <w:rPr>
          <w:rFonts w:cs="Calibri"/>
          <w:szCs w:val="22"/>
        </w:rPr>
        <w:t>programmes</w:t>
      </w:r>
      <w:proofErr w:type="spellEnd"/>
      <w:r w:rsidRPr="00176147">
        <w:rPr>
          <w:rFonts w:cs="Calibri"/>
          <w:szCs w:val="22"/>
        </w:rPr>
        <w:t xml:space="preserve"> running months rather than weeks and often carrying customer advances against progress.</w:t>
      </w:r>
    </w:p>
    <w:p w14:paraId="7334D450" w14:textId="77777777" w:rsidR="00CF5368" w:rsidRPr="00176147" w:rsidRDefault="00CF5368" w:rsidP="001A0501">
      <w:pPr>
        <w:pStyle w:val="ListParagraph"/>
        <w:numPr>
          <w:ilvl w:val="0"/>
          <w:numId w:val="6"/>
        </w:numPr>
        <w:spacing w:after="100"/>
        <w:rPr>
          <w:rFonts w:cs="Calibri"/>
          <w:szCs w:val="22"/>
        </w:rPr>
      </w:pPr>
      <w:r w:rsidRPr="00176147">
        <w:rPr>
          <w:rFonts w:cs="Calibri"/>
          <w:szCs w:val="22"/>
        </w:rPr>
        <w:t>Second, receivable days are set by the customer, not by the supplier's collection effort. Large original equipment manufacturers impose standard payment terms across their supply base, and a component maker has very limited scope to negotiate them. Improving days sales outstanding in this business is therefore less a matter of credit control discipline than of customer mix.</w:t>
      </w:r>
    </w:p>
    <w:p w14:paraId="4CC1F1AE" w14:textId="77777777" w:rsidR="00776934" w:rsidRPr="00176147" w:rsidRDefault="00CF5368" w:rsidP="001A0501">
      <w:pPr>
        <w:pStyle w:val="ListParagraph"/>
        <w:numPr>
          <w:ilvl w:val="0"/>
          <w:numId w:val="6"/>
        </w:numPr>
        <w:spacing w:after="100"/>
        <w:rPr>
          <w:rFonts w:cs="Calibri"/>
          <w:szCs w:val="22"/>
        </w:rPr>
      </w:pPr>
      <w:r w:rsidRPr="00176147">
        <w:rPr>
          <w:rFonts w:cs="Calibri"/>
          <w:szCs w:val="22"/>
        </w:rPr>
        <w:t>Third, payable days are compressed by the supplier structure. Engineering-grade resin is supplied by a small number of large petrochemical producers who set short terms and offer limited flexibility. A mid-sized converter has weak bargaining power on this side too.</w:t>
      </w:r>
    </w:p>
    <w:p w14:paraId="47617A59" w14:textId="77777777" w:rsidR="00776934" w:rsidRPr="00176147" w:rsidRDefault="00776934" w:rsidP="001A0501">
      <w:pPr>
        <w:rPr>
          <w:rFonts w:cs="Calibri"/>
          <w:szCs w:val="22"/>
        </w:rPr>
      </w:pPr>
      <w:r w:rsidRPr="00176147">
        <w:rPr>
          <w:rFonts w:cs="Calibri"/>
          <w:szCs w:val="22"/>
        </w:rPr>
        <w:t>The period under review was not a stable one for the sector. Resin input prices eased from their 2022 peaks, which supported gross margins across Vietnamese plastics producers but also allowed inventory values to fall without any change in physical volumes. Construction-linked demand remained weak, and profitability diverged sharply between construction plastics and technical plastics. Any reading of NHH's inventory reduction has to account for the price effect as well as the operational one.</w:t>
      </w:r>
    </w:p>
    <w:p w14:paraId="019F95E2" w14:textId="77777777" w:rsidR="00CF5368" w:rsidRPr="00176147" w:rsidRDefault="00776934" w:rsidP="001A0501">
      <w:pPr>
        <w:rPr>
          <w:rFonts w:cs="Calibri"/>
          <w:szCs w:val="22"/>
        </w:rPr>
      </w:pPr>
      <w:r w:rsidRPr="00176147">
        <w:rPr>
          <w:rFonts w:cs="Calibri"/>
          <w:szCs w:val="22"/>
        </w:rPr>
        <w:t xml:space="preserve">Two company-specific developments are relevant. NHH raised equity through the issue of 36.44 million new shares plus 3.64 million shares under an employee scheme, lifting total equity from VND 1,357 billion to VND 1,826 billion in FY2025. At the same time it announced a substantial expansion of </w:t>
      </w:r>
      <w:proofErr w:type="spellStart"/>
      <w:r w:rsidRPr="00176147">
        <w:rPr>
          <w:rFonts w:cs="Calibri"/>
          <w:szCs w:val="22"/>
        </w:rPr>
        <w:t>mould</w:t>
      </w:r>
      <w:proofErr w:type="spellEnd"/>
      <w:r w:rsidRPr="00176147">
        <w:rPr>
          <w:rFonts w:cs="Calibri"/>
          <w:szCs w:val="22"/>
        </w:rPr>
        <w:t>-making and technical plastics capacity, and construction in progress rose accordingly. The company is, in short, in an investment phase funded by equity.</w:t>
      </w:r>
    </w:p>
    <w:p w14:paraId="6245A1A4" w14:textId="77777777" w:rsidR="00001224" w:rsidRPr="00176147" w:rsidRDefault="009636A7"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4. Working Capital Performance, FY2023–FY2025</w:t>
      </w:r>
    </w:p>
    <w:p w14:paraId="245706AB" w14:textId="77777777" w:rsidR="00E30F20" w:rsidRPr="00176147" w:rsidRDefault="00E30F20" w:rsidP="001A0501">
      <w:pPr>
        <w:rPr>
          <w:rFonts w:cs="Calibri"/>
          <w:szCs w:val="22"/>
        </w:rPr>
      </w:pPr>
      <w:r w:rsidRPr="00176147">
        <w:rPr>
          <w:rFonts w:cs="Calibri"/>
          <w:szCs w:val="22"/>
        </w:rPr>
        <w:t>NHH's cash conversion cycle improved in each year of the period, from 71.9 days in FY2023 to 64.0 days in FY2024 and 57.5 days in FY2025. Th</w:t>
      </w:r>
      <w:r w:rsidR="00DA3B99" w:rsidRPr="00176147">
        <w:rPr>
          <w:rFonts w:cs="Calibri"/>
          <w:szCs w:val="22"/>
        </w:rPr>
        <w:t>is</w:t>
      </w:r>
      <w:r w:rsidRPr="00176147">
        <w:rPr>
          <w:rFonts w:cs="Calibri"/>
          <w:szCs w:val="22"/>
        </w:rPr>
        <w:t xml:space="preserve"> improvement of 14.4 days is substantial for a manufacturer of this type, and it is monotonic rather than the product of a single </w:t>
      </w:r>
      <w:proofErr w:type="spellStart"/>
      <w:r w:rsidRPr="00176147">
        <w:rPr>
          <w:rFonts w:cs="Calibri"/>
          <w:szCs w:val="22"/>
        </w:rPr>
        <w:t>favourable</w:t>
      </w:r>
      <w:proofErr w:type="spellEnd"/>
      <w:r w:rsidRPr="00176147">
        <w:rPr>
          <w:rFonts w:cs="Calibri"/>
          <w:szCs w:val="22"/>
        </w:rPr>
        <w:t xml:space="preserve"> year.</w:t>
      </w:r>
    </w:p>
    <w:p w14:paraId="39A79740" w14:textId="77777777" w:rsidR="00320537" w:rsidRPr="00176147" w:rsidRDefault="00E30F20" w:rsidP="001A0501">
      <w:pPr>
        <w:rPr>
          <w:rFonts w:cs="Calibri"/>
          <w:szCs w:val="22"/>
        </w:rPr>
      </w:pPr>
      <w:r w:rsidRPr="00176147">
        <w:rPr>
          <w:rFonts w:cs="Calibri"/>
          <w:szCs w:val="22"/>
        </w:rPr>
        <w:t>Decomposing the change tells a more specific story than the headline does.</w:t>
      </w:r>
    </w:p>
    <w:p w14:paraId="6D6256E0" w14:textId="77777777" w:rsidR="009C3279" w:rsidRDefault="002825F9" w:rsidP="001A0501">
      <w:pPr>
        <w:keepNext/>
        <w:spacing w:before="240" w:after="0"/>
        <w:jc w:val="left"/>
      </w:pPr>
      <w:r>
        <w:rPr>
          <w:b/>
          <w:sz w:val="20"/>
        </w:rPr>
        <w:lastRenderedPageBreak/>
        <w:t>Table 2</w:t>
      </w:r>
    </w:p>
    <w:p w14:paraId="70ABCD67" w14:textId="77777777" w:rsidR="009C3279" w:rsidRDefault="002825F9" w:rsidP="001A0501">
      <w:pPr>
        <w:keepNext/>
        <w:spacing w:after="80"/>
        <w:jc w:val="left"/>
      </w:pPr>
      <w:r>
        <w:rPr>
          <w:i/>
          <w:sz w:val="20"/>
        </w:rPr>
        <w:t>Contribution of Each Component to the 14.4-Day Improvement (days)</w:t>
      </w:r>
    </w:p>
    <w:tbl>
      <w:tblPr>
        <w:tblW w:w="9360" w:type="dxa"/>
        <w:tblCellMar>
          <w:left w:w="10" w:type="dxa"/>
          <w:right w:w="10" w:type="dxa"/>
        </w:tblCellMar>
        <w:tblLook w:val="04A0" w:firstRow="1" w:lastRow="0" w:firstColumn="1" w:lastColumn="0" w:noHBand="0" w:noVBand="1"/>
      </w:tblPr>
      <w:tblGrid>
        <w:gridCol w:w="4560"/>
        <w:gridCol w:w="1900"/>
        <w:gridCol w:w="2900"/>
      </w:tblGrid>
      <w:tr w:rsidR="00286B65" w:rsidRPr="00176147" w14:paraId="0E43F720" w14:textId="77777777" w:rsidTr="008D04B1">
        <w:trPr>
          <w:cantSplit/>
          <w:tblHeader/>
        </w:trPr>
        <w:tc>
          <w:tcPr>
            <w:tcW w:w="4560" w:type="dxa"/>
            <w:tcBorders>
              <w:top w:val="single" w:sz="8" w:space="0" w:color="000000"/>
              <w:bottom w:val="single" w:sz="6" w:space="0" w:color="000000"/>
            </w:tcBorders>
            <w:tcMar>
              <w:top w:w="80" w:type="dxa"/>
              <w:left w:w="110" w:type="dxa"/>
              <w:bottom w:w="80" w:type="dxa"/>
              <w:right w:w="110" w:type="dxa"/>
            </w:tcMar>
          </w:tcPr>
          <w:p w14:paraId="09F3D657" w14:textId="77777777" w:rsidR="00286B65" w:rsidRPr="00176147" w:rsidRDefault="00286B65" w:rsidP="001A0501">
            <w:pPr>
              <w:spacing w:before="60" w:after="60"/>
              <w:jc w:val="left"/>
              <w:rPr>
                <w:rFonts w:cs="Calibri"/>
                <w:szCs w:val="22"/>
              </w:rPr>
            </w:pPr>
            <w:r w:rsidRPr="00176147">
              <w:rPr>
                <w:rFonts w:cs="Calibri"/>
                <w:b/>
                <w:bCs/>
                <w:sz w:val="20"/>
                <w:szCs w:val="22"/>
              </w:rPr>
              <w:t>Contribution to the 14.4-day improvement</w:t>
            </w:r>
          </w:p>
        </w:tc>
        <w:tc>
          <w:tcPr>
            <w:tcW w:w="1900" w:type="dxa"/>
            <w:tcBorders>
              <w:top w:val="single" w:sz="8" w:space="0" w:color="000000"/>
              <w:bottom w:val="single" w:sz="6" w:space="0" w:color="000000"/>
            </w:tcBorders>
            <w:tcMar>
              <w:top w:w="80" w:type="dxa"/>
              <w:left w:w="110" w:type="dxa"/>
              <w:bottom w:w="80" w:type="dxa"/>
              <w:right w:w="110" w:type="dxa"/>
            </w:tcMar>
          </w:tcPr>
          <w:p w14:paraId="6A728D10" w14:textId="77777777" w:rsidR="00286B65" w:rsidRPr="00176147" w:rsidRDefault="00286B65" w:rsidP="001A0501">
            <w:pPr>
              <w:spacing w:before="60" w:after="60"/>
              <w:jc w:val="center"/>
              <w:rPr>
                <w:rFonts w:cs="Calibri"/>
                <w:szCs w:val="22"/>
              </w:rPr>
            </w:pPr>
            <w:r w:rsidRPr="00176147">
              <w:rPr>
                <w:rFonts w:cs="Calibri"/>
                <w:b/>
                <w:bCs/>
                <w:sz w:val="20"/>
                <w:szCs w:val="22"/>
              </w:rPr>
              <w:t>Days</w:t>
            </w:r>
          </w:p>
        </w:tc>
        <w:tc>
          <w:tcPr>
            <w:tcW w:w="2900" w:type="dxa"/>
            <w:tcBorders>
              <w:top w:val="single" w:sz="8" w:space="0" w:color="000000"/>
              <w:bottom w:val="single" w:sz="6" w:space="0" w:color="000000"/>
            </w:tcBorders>
            <w:tcMar>
              <w:top w:w="80" w:type="dxa"/>
              <w:left w:w="110" w:type="dxa"/>
              <w:bottom w:w="80" w:type="dxa"/>
              <w:right w:w="110" w:type="dxa"/>
            </w:tcMar>
          </w:tcPr>
          <w:p w14:paraId="479A8743" w14:textId="77777777" w:rsidR="00286B65" w:rsidRPr="00176147" w:rsidRDefault="00286B65" w:rsidP="001A0501">
            <w:pPr>
              <w:spacing w:before="60" w:after="60"/>
              <w:jc w:val="center"/>
              <w:rPr>
                <w:rFonts w:cs="Calibri"/>
                <w:szCs w:val="22"/>
              </w:rPr>
            </w:pPr>
            <w:r w:rsidRPr="00176147">
              <w:rPr>
                <w:rFonts w:cs="Calibri"/>
                <w:b/>
                <w:bCs/>
                <w:sz w:val="20"/>
                <w:szCs w:val="22"/>
              </w:rPr>
              <w:t>Direction</w:t>
            </w:r>
          </w:p>
        </w:tc>
      </w:tr>
      <w:tr w:rsidR="00286B65" w:rsidRPr="00176147" w14:paraId="265F425E" w14:textId="77777777" w:rsidTr="008D04B1">
        <w:trPr>
          <w:cantSplit/>
        </w:trPr>
        <w:tc>
          <w:tcPr>
            <w:tcW w:w="4560" w:type="dxa"/>
            <w:tcMar>
              <w:top w:w="70" w:type="dxa"/>
              <w:left w:w="110" w:type="dxa"/>
              <w:bottom w:w="70" w:type="dxa"/>
              <w:right w:w="110" w:type="dxa"/>
            </w:tcMar>
          </w:tcPr>
          <w:p w14:paraId="606C3BAC" w14:textId="77777777" w:rsidR="00286B65" w:rsidRPr="00176147" w:rsidRDefault="00286B65" w:rsidP="001A0501">
            <w:pPr>
              <w:spacing w:before="60" w:after="60"/>
              <w:jc w:val="left"/>
              <w:rPr>
                <w:rFonts w:cs="Calibri"/>
                <w:szCs w:val="22"/>
              </w:rPr>
            </w:pPr>
            <w:r w:rsidRPr="00176147">
              <w:rPr>
                <w:rFonts w:cs="Calibri"/>
                <w:sz w:val="20"/>
                <w:szCs w:val="22"/>
              </w:rPr>
              <w:t>Inventory days</w:t>
            </w:r>
          </w:p>
        </w:tc>
        <w:tc>
          <w:tcPr>
            <w:tcW w:w="1900" w:type="dxa"/>
            <w:tcMar>
              <w:top w:w="70" w:type="dxa"/>
              <w:left w:w="110" w:type="dxa"/>
              <w:bottom w:w="70" w:type="dxa"/>
              <w:right w:w="110" w:type="dxa"/>
            </w:tcMar>
          </w:tcPr>
          <w:p w14:paraId="333A2667" w14:textId="77777777" w:rsidR="00286B65" w:rsidRPr="00176147" w:rsidRDefault="00286B65" w:rsidP="001A0501">
            <w:pPr>
              <w:spacing w:before="60" w:after="60"/>
              <w:jc w:val="center"/>
              <w:rPr>
                <w:rFonts w:cs="Calibri"/>
                <w:szCs w:val="22"/>
              </w:rPr>
            </w:pPr>
            <w:r w:rsidRPr="00176147">
              <w:rPr>
                <w:rFonts w:cs="Calibri"/>
                <w:sz w:val="20"/>
                <w:szCs w:val="22"/>
              </w:rPr>
              <w:t>(19.0)</w:t>
            </w:r>
          </w:p>
        </w:tc>
        <w:tc>
          <w:tcPr>
            <w:tcW w:w="2900" w:type="dxa"/>
            <w:tcMar>
              <w:top w:w="70" w:type="dxa"/>
              <w:left w:w="110" w:type="dxa"/>
              <w:bottom w:w="70" w:type="dxa"/>
              <w:right w:w="110" w:type="dxa"/>
            </w:tcMar>
          </w:tcPr>
          <w:p w14:paraId="58E00CFE" w14:textId="77777777" w:rsidR="00286B65" w:rsidRPr="00176147" w:rsidRDefault="00286B65" w:rsidP="001A0501">
            <w:pPr>
              <w:spacing w:before="60" w:after="60"/>
              <w:jc w:val="center"/>
              <w:rPr>
                <w:rFonts w:cs="Calibri"/>
                <w:szCs w:val="22"/>
              </w:rPr>
            </w:pPr>
            <w:r w:rsidRPr="00176147">
              <w:rPr>
                <w:rFonts w:cs="Calibri"/>
                <w:sz w:val="20"/>
                <w:szCs w:val="22"/>
              </w:rPr>
              <w:t>Improved the cycle</w:t>
            </w:r>
          </w:p>
        </w:tc>
      </w:tr>
      <w:tr w:rsidR="00286B65" w:rsidRPr="00176147" w14:paraId="080826ED" w14:textId="77777777" w:rsidTr="008D04B1">
        <w:trPr>
          <w:cantSplit/>
        </w:trPr>
        <w:tc>
          <w:tcPr>
            <w:tcW w:w="4560" w:type="dxa"/>
            <w:tcMar>
              <w:top w:w="70" w:type="dxa"/>
              <w:left w:w="110" w:type="dxa"/>
              <w:bottom w:w="70" w:type="dxa"/>
              <w:right w:w="110" w:type="dxa"/>
            </w:tcMar>
          </w:tcPr>
          <w:p w14:paraId="2F81DEAD" w14:textId="77777777" w:rsidR="00286B65" w:rsidRPr="00176147" w:rsidRDefault="00286B65" w:rsidP="001A0501">
            <w:pPr>
              <w:spacing w:before="60" w:after="60"/>
              <w:jc w:val="left"/>
              <w:rPr>
                <w:rFonts w:cs="Calibri"/>
                <w:szCs w:val="22"/>
              </w:rPr>
            </w:pPr>
            <w:r w:rsidRPr="00176147">
              <w:rPr>
                <w:rFonts w:cs="Calibri"/>
                <w:sz w:val="20"/>
                <w:szCs w:val="22"/>
              </w:rPr>
              <w:t>Receivable days</w:t>
            </w:r>
          </w:p>
        </w:tc>
        <w:tc>
          <w:tcPr>
            <w:tcW w:w="1900" w:type="dxa"/>
            <w:tcMar>
              <w:top w:w="70" w:type="dxa"/>
              <w:left w:w="110" w:type="dxa"/>
              <w:bottom w:w="70" w:type="dxa"/>
              <w:right w:w="110" w:type="dxa"/>
            </w:tcMar>
          </w:tcPr>
          <w:p w14:paraId="2448541D" w14:textId="77777777" w:rsidR="00286B65" w:rsidRPr="00176147" w:rsidRDefault="00286B65" w:rsidP="001A0501">
            <w:pPr>
              <w:spacing w:before="60" w:after="60"/>
              <w:jc w:val="center"/>
              <w:rPr>
                <w:rFonts w:cs="Calibri"/>
                <w:szCs w:val="22"/>
              </w:rPr>
            </w:pPr>
            <w:r w:rsidRPr="00176147">
              <w:rPr>
                <w:rFonts w:cs="Calibri"/>
                <w:sz w:val="20"/>
                <w:szCs w:val="22"/>
              </w:rPr>
              <w:t>(5.8)</w:t>
            </w:r>
          </w:p>
        </w:tc>
        <w:tc>
          <w:tcPr>
            <w:tcW w:w="2900" w:type="dxa"/>
            <w:tcMar>
              <w:top w:w="70" w:type="dxa"/>
              <w:left w:w="110" w:type="dxa"/>
              <w:bottom w:w="70" w:type="dxa"/>
              <w:right w:w="110" w:type="dxa"/>
            </w:tcMar>
          </w:tcPr>
          <w:p w14:paraId="05CF9808" w14:textId="77777777" w:rsidR="00286B65" w:rsidRPr="00176147" w:rsidRDefault="00286B65" w:rsidP="001A0501">
            <w:pPr>
              <w:spacing w:before="60" w:after="60"/>
              <w:jc w:val="center"/>
              <w:rPr>
                <w:rFonts w:cs="Calibri"/>
                <w:szCs w:val="22"/>
              </w:rPr>
            </w:pPr>
            <w:r w:rsidRPr="00176147">
              <w:rPr>
                <w:rFonts w:cs="Calibri"/>
                <w:sz w:val="20"/>
                <w:szCs w:val="22"/>
              </w:rPr>
              <w:t>Improved the cycle</w:t>
            </w:r>
          </w:p>
        </w:tc>
      </w:tr>
      <w:tr w:rsidR="00286B65" w:rsidRPr="00176147" w14:paraId="140E72C6" w14:textId="77777777" w:rsidTr="008D04B1">
        <w:trPr>
          <w:cantSplit/>
        </w:trPr>
        <w:tc>
          <w:tcPr>
            <w:tcW w:w="4560" w:type="dxa"/>
            <w:tcMar>
              <w:top w:w="70" w:type="dxa"/>
              <w:left w:w="110" w:type="dxa"/>
              <w:bottom w:w="70" w:type="dxa"/>
              <w:right w:w="110" w:type="dxa"/>
            </w:tcMar>
          </w:tcPr>
          <w:p w14:paraId="3BCA1888" w14:textId="77777777" w:rsidR="00286B65" w:rsidRPr="00176147" w:rsidRDefault="00286B65" w:rsidP="001A0501">
            <w:pPr>
              <w:spacing w:before="60" w:after="60"/>
              <w:jc w:val="left"/>
              <w:rPr>
                <w:rFonts w:cs="Calibri"/>
                <w:szCs w:val="22"/>
              </w:rPr>
            </w:pPr>
            <w:r w:rsidRPr="00176147">
              <w:rPr>
                <w:rFonts w:cs="Calibri"/>
                <w:sz w:val="20"/>
                <w:szCs w:val="22"/>
              </w:rPr>
              <w:t>Payable days</w:t>
            </w:r>
          </w:p>
        </w:tc>
        <w:tc>
          <w:tcPr>
            <w:tcW w:w="1900" w:type="dxa"/>
            <w:tcMar>
              <w:top w:w="70" w:type="dxa"/>
              <w:left w:w="110" w:type="dxa"/>
              <w:bottom w:w="70" w:type="dxa"/>
              <w:right w:w="110" w:type="dxa"/>
            </w:tcMar>
          </w:tcPr>
          <w:p w14:paraId="531BE95B" w14:textId="77777777" w:rsidR="00286B65" w:rsidRPr="00176147" w:rsidRDefault="00286B65" w:rsidP="001A0501">
            <w:pPr>
              <w:spacing w:before="60" w:after="60"/>
              <w:jc w:val="center"/>
              <w:rPr>
                <w:rFonts w:cs="Calibri"/>
                <w:szCs w:val="22"/>
              </w:rPr>
            </w:pPr>
            <w:r w:rsidRPr="00176147">
              <w:rPr>
                <w:rFonts w:cs="Calibri"/>
                <w:sz w:val="20"/>
                <w:szCs w:val="22"/>
              </w:rPr>
              <w:t>(10.5)</w:t>
            </w:r>
          </w:p>
        </w:tc>
        <w:tc>
          <w:tcPr>
            <w:tcW w:w="2900" w:type="dxa"/>
            <w:tcMar>
              <w:top w:w="70" w:type="dxa"/>
              <w:left w:w="110" w:type="dxa"/>
              <w:bottom w:w="70" w:type="dxa"/>
              <w:right w:w="110" w:type="dxa"/>
            </w:tcMar>
          </w:tcPr>
          <w:p w14:paraId="70D41AA0" w14:textId="77777777" w:rsidR="00286B65" w:rsidRPr="00176147" w:rsidRDefault="00286B65" w:rsidP="001A0501">
            <w:pPr>
              <w:spacing w:before="60" w:after="60"/>
              <w:jc w:val="center"/>
              <w:rPr>
                <w:rFonts w:cs="Calibri"/>
                <w:szCs w:val="22"/>
              </w:rPr>
            </w:pPr>
            <w:r w:rsidRPr="00176147">
              <w:rPr>
                <w:rFonts w:cs="Calibri"/>
                <w:sz w:val="20"/>
                <w:szCs w:val="22"/>
              </w:rPr>
              <w:t>Worked against the cycle</w:t>
            </w:r>
          </w:p>
        </w:tc>
      </w:tr>
      <w:tr w:rsidR="00286B65" w:rsidRPr="00176147" w14:paraId="1F853537" w14:textId="77777777" w:rsidTr="008D04B1">
        <w:trPr>
          <w:cantSplit/>
        </w:trPr>
        <w:tc>
          <w:tcPr>
            <w:tcW w:w="4560" w:type="dxa"/>
            <w:tcBorders>
              <w:bottom w:val="single" w:sz="8" w:space="0" w:color="000000"/>
            </w:tcBorders>
            <w:tcMar>
              <w:top w:w="70" w:type="dxa"/>
              <w:left w:w="110" w:type="dxa"/>
              <w:bottom w:w="70" w:type="dxa"/>
              <w:right w:w="110" w:type="dxa"/>
            </w:tcMar>
          </w:tcPr>
          <w:p w14:paraId="0955D925" w14:textId="77777777" w:rsidR="00286B65" w:rsidRPr="00176147" w:rsidRDefault="00286B65" w:rsidP="001A0501">
            <w:pPr>
              <w:spacing w:before="60" w:after="60"/>
              <w:jc w:val="left"/>
              <w:rPr>
                <w:rFonts w:cs="Calibri"/>
                <w:szCs w:val="22"/>
              </w:rPr>
            </w:pPr>
            <w:r w:rsidRPr="00176147">
              <w:rPr>
                <w:rFonts w:cs="Calibri"/>
                <w:sz w:val="20"/>
                <w:szCs w:val="22"/>
              </w:rPr>
              <w:t>Net change</w:t>
            </w:r>
          </w:p>
        </w:tc>
        <w:tc>
          <w:tcPr>
            <w:tcW w:w="1900" w:type="dxa"/>
            <w:tcBorders>
              <w:bottom w:val="single" w:sz="8" w:space="0" w:color="000000"/>
            </w:tcBorders>
            <w:tcMar>
              <w:top w:w="70" w:type="dxa"/>
              <w:left w:w="110" w:type="dxa"/>
              <w:bottom w:w="70" w:type="dxa"/>
              <w:right w:w="110" w:type="dxa"/>
            </w:tcMar>
          </w:tcPr>
          <w:p w14:paraId="3D78114C" w14:textId="77777777" w:rsidR="00286B65" w:rsidRPr="00176147" w:rsidRDefault="00286B65" w:rsidP="001A0501">
            <w:pPr>
              <w:spacing w:before="60" w:after="60"/>
              <w:jc w:val="center"/>
              <w:rPr>
                <w:rFonts w:cs="Calibri"/>
                <w:szCs w:val="22"/>
              </w:rPr>
            </w:pPr>
            <w:r w:rsidRPr="00176147">
              <w:rPr>
                <w:rFonts w:cs="Calibri"/>
                <w:sz w:val="20"/>
                <w:szCs w:val="22"/>
              </w:rPr>
              <w:t>(14.4)</w:t>
            </w:r>
          </w:p>
        </w:tc>
        <w:tc>
          <w:tcPr>
            <w:tcW w:w="2900" w:type="dxa"/>
            <w:tcBorders>
              <w:bottom w:val="single" w:sz="8" w:space="0" w:color="000000"/>
            </w:tcBorders>
            <w:tcMar>
              <w:top w:w="70" w:type="dxa"/>
              <w:left w:w="110" w:type="dxa"/>
              <w:bottom w:w="70" w:type="dxa"/>
              <w:right w:w="110" w:type="dxa"/>
            </w:tcMar>
          </w:tcPr>
          <w:p w14:paraId="423C5492" w14:textId="77777777" w:rsidR="00286B65" w:rsidRPr="00176147" w:rsidRDefault="00286B65" w:rsidP="001A0501">
            <w:pPr>
              <w:spacing w:before="60" w:after="60"/>
              <w:jc w:val="center"/>
              <w:rPr>
                <w:rFonts w:cs="Calibri"/>
                <w:szCs w:val="22"/>
              </w:rPr>
            </w:pPr>
            <w:r w:rsidRPr="00176147">
              <w:rPr>
                <w:rFonts w:cs="Calibri"/>
                <w:sz w:val="20"/>
                <w:szCs w:val="22"/>
              </w:rPr>
              <w:t>—</w:t>
            </w:r>
          </w:p>
        </w:tc>
      </w:tr>
    </w:tbl>
    <w:p w14:paraId="54574018" w14:textId="77777777" w:rsidR="00286B65" w:rsidRPr="00176147" w:rsidRDefault="00286B65" w:rsidP="001A0501">
      <w:pPr>
        <w:spacing w:before="80" w:after="240"/>
        <w:jc w:val="left"/>
        <w:rPr>
          <w:rFonts w:cs="Calibri"/>
          <w:szCs w:val="22"/>
        </w:rPr>
      </w:pPr>
      <w:r>
        <w:rPr>
          <w:i/>
          <w:sz w:val="18"/>
        </w:rPr>
        <w:t xml:space="preserve">Note. </w:t>
      </w:r>
      <w:r>
        <w:rPr>
          <w:sz w:val="18"/>
        </w:rPr>
        <w:t>The entire improvement, and more, came from inventory; the payables line moved in the wrong direction.</w:t>
      </w:r>
    </w:p>
    <w:p w14:paraId="3242ACA4" w14:textId="77777777" w:rsidR="00DA3B99" w:rsidRPr="00176147" w:rsidRDefault="00DA3B99" w:rsidP="001A0501">
      <w:pPr>
        <w:rPr>
          <w:rFonts w:cs="Calibri"/>
          <w:szCs w:val="22"/>
        </w:rPr>
      </w:pPr>
      <w:r w:rsidRPr="00176147">
        <w:rPr>
          <w:rFonts w:cs="Calibri"/>
          <w:szCs w:val="22"/>
        </w:rPr>
        <w:t>Inventory days fell from 62.8 to 43.7, a reduction of 19.0 days. This is the dominant driver and it is worth roughly VND 100 billion of cost of goods sold at FY2025 levels. Part of the fall reflects genuine operational tightening; part reflects lower resin prices, which reduce the carrying value of the same physical stock. The published accounts do not permit these two effects to be separated, and this report does not attempt to allocate between them.</w:t>
      </w:r>
    </w:p>
    <w:p w14:paraId="42E5D3D7" w14:textId="77777777" w:rsidR="00DA3B99" w:rsidRPr="00176147" w:rsidRDefault="00DA3B99" w:rsidP="001A0501">
      <w:pPr>
        <w:rPr>
          <w:rFonts w:cs="Calibri"/>
          <w:szCs w:val="22"/>
        </w:rPr>
      </w:pPr>
      <w:r w:rsidRPr="00176147">
        <w:rPr>
          <w:rFonts w:cs="Calibri"/>
          <w:szCs w:val="22"/>
        </w:rPr>
        <w:t>Receivable days fell 5.8 days, from 51.6 to 45.8, and were essentially flat between FY2024 and FY2025. Given that terms in this segment are largely set by the customer, stability here is the expected outcome rather than a shortfall.</w:t>
      </w:r>
    </w:p>
    <w:p w14:paraId="05FCA4CB" w14:textId="77777777" w:rsidR="00DA3B99" w:rsidRPr="00176147" w:rsidRDefault="00DA3B99" w:rsidP="001A0501">
      <w:pPr>
        <w:rPr>
          <w:rFonts w:cs="Calibri"/>
          <w:szCs w:val="22"/>
        </w:rPr>
      </w:pPr>
      <w:r w:rsidRPr="00176147">
        <w:rPr>
          <w:rFonts w:cs="Calibri"/>
          <w:szCs w:val="22"/>
        </w:rPr>
        <w:t xml:space="preserve">Payable days moved against the cycle, falling from 42.5 days in FY2023 to 32.0 days in FY2025. NHH is settling with its suppliers faster than it did two years ago. This is the finding that motivates the comparison in the next section, because it runs counter to what a working capital </w:t>
      </w:r>
      <w:proofErr w:type="spellStart"/>
      <w:r w:rsidRPr="00176147">
        <w:rPr>
          <w:rFonts w:cs="Calibri"/>
          <w:szCs w:val="22"/>
        </w:rPr>
        <w:t>programme</w:t>
      </w:r>
      <w:proofErr w:type="spellEnd"/>
      <w:r w:rsidRPr="00176147">
        <w:rPr>
          <w:rFonts w:cs="Calibri"/>
          <w:szCs w:val="22"/>
        </w:rPr>
        <w:t xml:space="preserve"> would normally produce. Had payable days simply held at their FY2023 level, the cycle would now stand at approximately 47 days rather than 57.5.</w:t>
      </w:r>
    </w:p>
    <w:p w14:paraId="484AB060" w14:textId="77777777" w:rsidR="00DA3B99" w:rsidRPr="00176147" w:rsidRDefault="00DA3B99" w:rsidP="001A0501">
      <w:pPr>
        <w:keepNext/>
        <w:spacing w:before="220" w:after="80"/>
        <w:jc w:val="left"/>
        <w:rPr>
          <w:rFonts w:cs="Calibri"/>
          <w:b/>
          <w:bCs/>
          <w:szCs w:val="22"/>
        </w:rPr>
      </w:pPr>
      <w:r w:rsidRPr="00176147">
        <w:rPr>
          <w:rFonts w:cs="Calibri"/>
          <w:b/>
          <w:bCs/>
          <w:szCs w:val="22"/>
        </w:rPr>
        <w:t>4.1 Converting the cycle into money</w:t>
      </w:r>
    </w:p>
    <w:p w14:paraId="745D284A" w14:textId="77777777" w:rsidR="00DA3B99" w:rsidRPr="00176147" w:rsidRDefault="00DA3B99" w:rsidP="001A0501">
      <w:pPr>
        <w:rPr>
          <w:rFonts w:cs="Calibri"/>
          <w:szCs w:val="22"/>
        </w:rPr>
      </w:pPr>
      <w:r w:rsidRPr="00176147">
        <w:rPr>
          <w:rFonts w:cs="Calibri"/>
          <w:szCs w:val="22"/>
        </w:rPr>
        <w:t>At FY2025 revenue of VND 2,311 billion, one day of cycle time is worth approximately VND 6.3 billion. On that basis the working capital tied up in the operating cycle at the FY2025 year end was approximately VND 364 billion, and the 14.4-day improvement corresponds to roughly VND 91 billion released over the two years.</w:t>
      </w:r>
    </w:p>
    <w:p w14:paraId="34DFA1C9" w14:textId="77777777" w:rsidR="00E30F20" w:rsidRPr="00176147" w:rsidRDefault="00DA3B99" w:rsidP="001A0501">
      <w:pPr>
        <w:rPr>
          <w:rFonts w:cs="Calibri"/>
          <w:szCs w:val="22"/>
        </w:rPr>
      </w:pPr>
      <w:r w:rsidRPr="00176147">
        <w:rPr>
          <w:rFonts w:cs="Calibri"/>
          <w:szCs w:val="22"/>
        </w:rPr>
        <w:lastRenderedPageBreak/>
        <w:t>As a robustness check, days payable was recalculated on a purchases basis, defined as cost of goods sold plus the movement in inventory, which is the theoretically preferable denominator. That basis gives 46.1, 29.9 and 31.7 days across the three years against 42.5, 29.7 and 32.0 on the cost-of-goods-sold basis. The difference is immaterial and does not alter any conclusion in this report. The cost-of-goods-sold basis is used throughout for comparability, because the peer companies do not disclose the inventory movement needed to construct purchases consistently.</w:t>
      </w:r>
    </w:p>
    <w:p w14:paraId="024E5C16" w14:textId="77777777" w:rsidR="009636A7" w:rsidRPr="00176147" w:rsidRDefault="009636A7"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5. Peer Benchmarking</w:t>
      </w:r>
    </w:p>
    <w:p w14:paraId="132F7716" w14:textId="77777777" w:rsidR="006B78EC" w:rsidRPr="00176147" w:rsidRDefault="006B78EC" w:rsidP="001A0501">
      <w:pPr>
        <w:keepNext/>
        <w:spacing w:before="220" w:after="80"/>
        <w:jc w:val="left"/>
        <w:rPr>
          <w:rFonts w:cs="Calibri"/>
          <w:b/>
          <w:bCs/>
          <w:szCs w:val="22"/>
        </w:rPr>
      </w:pPr>
      <w:r w:rsidRPr="00176147">
        <w:rPr>
          <w:rFonts w:cs="Calibri"/>
          <w:b/>
          <w:bCs/>
          <w:szCs w:val="22"/>
        </w:rPr>
        <w:t>5.1 The headline comparison</w:t>
      </w:r>
    </w:p>
    <w:p w14:paraId="1EF8383A" w14:textId="77777777" w:rsidR="00320537" w:rsidRPr="00176147" w:rsidRDefault="006B78EC" w:rsidP="001A0501">
      <w:pPr>
        <w:rPr>
          <w:rFonts w:cs="Calibri"/>
          <w:szCs w:val="22"/>
        </w:rPr>
      </w:pPr>
      <w:r w:rsidRPr="00176147">
        <w:rPr>
          <w:rFonts w:cs="Calibri"/>
          <w:szCs w:val="22"/>
        </w:rPr>
        <w:t>On the headline measure NHH sits comfortably within the group of contract manufacturers.</w:t>
      </w:r>
    </w:p>
    <w:p w14:paraId="3391BA26" w14:textId="77777777" w:rsidR="009C3279" w:rsidRDefault="002825F9" w:rsidP="001A0501">
      <w:pPr>
        <w:keepNext/>
        <w:spacing w:before="240" w:after="0"/>
        <w:jc w:val="left"/>
      </w:pPr>
      <w:r>
        <w:rPr>
          <w:b/>
          <w:sz w:val="20"/>
        </w:rPr>
        <w:t>Table 3</w:t>
      </w:r>
    </w:p>
    <w:p w14:paraId="789F1CAB" w14:textId="77777777" w:rsidR="009C3279" w:rsidRDefault="002825F9" w:rsidP="001A0501">
      <w:pPr>
        <w:keepNext/>
        <w:spacing w:after="80"/>
        <w:jc w:val="left"/>
      </w:pPr>
      <w:r>
        <w:rPr>
          <w:i/>
          <w:sz w:val="20"/>
        </w:rPr>
        <w:t>Cash Conversion Cycle by Company, FY2025 (days)</w:t>
      </w:r>
    </w:p>
    <w:tbl>
      <w:tblPr>
        <w:tblW w:w="9360" w:type="dxa"/>
        <w:tblCellMar>
          <w:left w:w="10" w:type="dxa"/>
          <w:right w:w="10" w:type="dxa"/>
        </w:tblCellMar>
        <w:tblLook w:val="04A0" w:firstRow="1" w:lastRow="0" w:firstColumn="1" w:lastColumn="0" w:noHBand="0" w:noVBand="1"/>
      </w:tblPr>
      <w:tblGrid>
        <w:gridCol w:w="3060"/>
        <w:gridCol w:w="1260"/>
        <w:gridCol w:w="1260"/>
        <w:gridCol w:w="1260"/>
        <w:gridCol w:w="1260"/>
        <w:gridCol w:w="1260"/>
      </w:tblGrid>
      <w:tr w:rsidR="00651AC5" w:rsidRPr="00176147" w14:paraId="12F5CE10" w14:textId="77777777" w:rsidTr="008D04B1">
        <w:trPr>
          <w:cantSplit/>
          <w:tblHeader/>
        </w:trPr>
        <w:tc>
          <w:tcPr>
            <w:tcW w:w="3060" w:type="dxa"/>
            <w:tcBorders>
              <w:top w:val="single" w:sz="8" w:space="0" w:color="000000"/>
              <w:bottom w:val="single" w:sz="6" w:space="0" w:color="000000"/>
            </w:tcBorders>
            <w:tcMar>
              <w:top w:w="80" w:type="dxa"/>
              <w:left w:w="110" w:type="dxa"/>
              <w:bottom w:w="80" w:type="dxa"/>
              <w:right w:w="110" w:type="dxa"/>
            </w:tcMar>
          </w:tcPr>
          <w:p w14:paraId="0B1BB64C" w14:textId="77777777" w:rsidR="00651AC5" w:rsidRPr="00176147" w:rsidRDefault="00651AC5" w:rsidP="001A0501">
            <w:pPr>
              <w:spacing w:before="60" w:after="60"/>
              <w:jc w:val="left"/>
              <w:rPr>
                <w:rFonts w:cs="Calibri"/>
                <w:szCs w:val="22"/>
              </w:rPr>
            </w:pPr>
            <w:r w:rsidRPr="00176147">
              <w:rPr>
                <w:rFonts w:cs="Calibri"/>
                <w:b/>
                <w:bCs/>
                <w:sz w:val="20"/>
                <w:szCs w:val="22"/>
              </w:rPr>
              <w:t>FY2025 (days)</w:t>
            </w:r>
          </w:p>
        </w:tc>
        <w:tc>
          <w:tcPr>
            <w:tcW w:w="1260" w:type="dxa"/>
            <w:tcBorders>
              <w:top w:val="single" w:sz="8" w:space="0" w:color="000000"/>
              <w:bottom w:val="single" w:sz="6" w:space="0" w:color="000000"/>
            </w:tcBorders>
            <w:tcMar>
              <w:top w:w="80" w:type="dxa"/>
              <w:left w:w="110" w:type="dxa"/>
              <w:bottom w:w="80" w:type="dxa"/>
              <w:right w:w="110" w:type="dxa"/>
            </w:tcMar>
          </w:tcPr>
          <w:p w14:paraId="412D43EC" w14:textId="77777777" w:rsidR="00651AC5" w:rsidRPr="00176147" w:rsidRDefault="00651AC5" w:rsidP="001A0501">
            <w:pPr>
              <w:spacing w:before="60" w:after="60"/>
              <w:jc w:val="center"/>
              <w:rPr>
                <w:rFonts w:cs="Calibri"/>
                <w:szCs w:val="22"/>
              </w:rPr>
            </w:pPr>
            <w:r w:rsidRPr="00176147">
              <w:rPr>
                <w:rFonts w:cs="Calibri"/>
                <w:b/>
                <w:bCs/>
                <w:sz w:val="20"/>
                <w:szCs w:val="22"/>
              </w:rPr>
              <w:t>NHH</w:t>
            </w:r>
          </w:p>
        </w:tc>
        <w:tc>
          <w:tcPr>
            <w:tcW w:w="1260" w:type="dxa"/>
            <w:tcBorders>
              <w:top w:val="single" w:sz="8" w:space="0" w:color="000000"/>
              <w:bottom w:val="single" w:sz="6" w:space="0" w:color="000000"/>
            </w:tcBorders>
            <w:tcMar>
              <w:top w:w="80" w:type="dxa"/>
              <w:left w:w="110" w:type="dxa"/>
              <w:bottom w:w="80" w:type="dxa"/>
              <w:right w:w="110" w:type="dxa"/>
            </w:tcMar>
          </w:tcPr>
          <w:p w14:paraId="00938510" w14:textId="77777777" w:rsidR="00651AC5" w:rsidRPr="00176147" w:rsidRDefault="00651AC5" w:rsidP="001A0501">
            <w:pPr>
              <w:spacing w:before="60" w:after="60"/>
              <w:jc w:val="center"/>
              <w:rPr>
                <w:rFonts w:cs="Calibri"/>
                <w:szCs w:val="22"/>
              </w:rPr>
            </w:pPr>
            <w:r w:rsidRPr="00176147">
              <w:rPr>
                <w:rFonts w:cs="Calibri"/>
                <w:b/>
                <w:bCs/>
                <w:sz w:val="20"/>
                <w:szCs w:val="22"/>
              </w:rPr>
              <w:t>SKP</w:t>
            </w:r>
          </w:p>
        </w:tc>
        <w:tc>
          <w:tcPr>
            <w:tcW w:w="1260" w:type="dxa"/>
            <w:tcBorders>
              <w:top w:val="single" w:sz="8" w:space="0" w:color="000000"/>
              <w:bottom w:val="single" w:sz="6" w:space="0" w:color="000000"/>
            </w:tcBorders>
            <w:tcMar>
              <w:top w:w="80" w:type="dxa"/>
              <w:left w:w="110" w:type="dxa"/>
              <w:bottom w:w="80" w:type="dxa"/>
              <w:right w:w="110" w:type="dxa"/>
            </w:tcMar>
          </w:tcPr>
          <w:p w14:paraId="36645F80" w14:textId="77777777" w:rsidR="00651AC5" w:rsidRPr="00176147" w:rsidRDefault="00651AC5" w:rsidP="001A0501">
            <w:pPr>
              <w:spacing w:before="60" w:after="60"/>
              <w:jc w:val="center"/>
              <w:rPr>
                <w:rFonts w:cs="Calibri"/>
                <w:szCs w:val="22"/>
              </w:rPr>
            </w:pPr>
            <w:r w:rsidRPr="00176147">
              <w:rPr>
                <w:rFonts w:cs="Calibri"/>
                <w:b/>
                <w:bCs/>
                <w:sz w:val="20"/>
                <w:szCs w:val="22"/>
              </w:rPr>
              <w:t>Sanko</w:t>
            </w:r>
          </w:p>
        </w:tc>
        <w:tc>
          <w:tcPr>
            <w:tcW w:w="1260" w:type="dxa"/>
            <w:tcBorders>
              <w:top w:val="single" w:sz="8" w:space="0" w:color="000000"/>
              <w:bottom w:val="single" w:sz="6" w:space="0" w:color="000000"/>
            </w:tcBorders>
            <w:tcMar>
              <w:top w:w="80" w:type="dxa"/>
              <w:left w:w="110" w:type="dxa"/>
              <w:bottom w:w="80" w:type="dxa"/>
              <w:right w:w="110" w:type="dxa"/>
            </w:tcMar>
          </w:tcPr>
          <w:p w14:paraId="43B07D2E" w14:textId="77777777" w:rsidR="00651AC5" w:rsidRPr="00176147" w:rsidRDefault="00651AC5" w:rsidP="001A0501">
            <w:pPr>
              <w:spacing w:before="60" w:after="60"/>
              <w:jc w:val="center"/>
              <w:rPr>
                <w:rFonts w:cs="Calibri"/>
                <w:szCs w:val="22"/>
              </w:rPr>
            </w:pPr>
            <w:proofErr w:type="spellStart"/>
            <w:r w:rsidRPr="00176147">
              <w:rPr>
                <w:rFonts w:cs="Calibri"/>
                <w:b/>
                <w:bCs/>
                <w:sz w:val="20"/>
                <w:szCs w:val="22"/>
              </w:rPr>
              <w:t>Nolato</w:t>
            </w:r>
            <w:proofErr w:type="spellEnd"/>
          </w:p>
        </w:tc>
        <w:tc>
          <w:tcPr>
            <w:tcW w:w="1260" w:type="dxa"/>
            <w:tcBorders>
              <w:top w:val="single" w:sz="8" w:space="0" w:color="000000"/>
              <w:bottom w:val="single" w:sz="6" w:space="0" w:color="000000"/>
            </w:tcBorders>
            <w:tcMar>
              <w:top w:w="80" w:type="dxa"/>
              <w:left w:w="110" w:type="dxa"/>
              <w:bottom w:w="80" w:type="dxa"/>
              <w:right w:w="110" w:type="dxa"/>
            </w:tcMar>
          </w:tcPr>
          <w:p w14:paraId="64BF1E2F" w14:textId="77777777" w:rsidR="00651AC5" w:rsidRPr="00176147" w:rsidRDefault="00651AC5" w:rsidP="001A0501">
            <w:pPr>
              <w:spacing w:before="60" w:after="60"/>
              <w:jc w:val="center"/>
              <w:rPr>
                <w:rFonts w:cs="Calibri"/>
                <w:szCs w:val="22"/>
              </w:rPr>
            </w:pPr>
            <w:r w:rsidRPr="00176147">
              <w:rPr>
                <w:rFonts w:cs="Calibri"/>
                <w:b/>
                <w:bCs/>
                <w:sz w:val="20"/>
                <w:szCs w:val="22"/>
              </w:rPr>
              <w:t>NTP</w:t>
            </w:r>
          </w:p>
        </w:tc>
      </w:tr>
      <w:tr w:rsidR="00651AC5" w:rsidRPr="00176147" w14:paraId="64781285" w14:textId="77777777" w:rsidTr="008D04B1">
        <w:trPr>
          <w:cantSplit/>
        </w:trPr>
        <w:tc>
          <w:tcPr>
            <w:tcW w:w="3060" w:type="dxa"/>
            <w:tcMar>
              <w:top w:w="70" w:type="dxa"/>
              <w:left w:w="110" w:type="dxa"/>
              <w:bottom w:w="70" w:type="dxa"/>
              <w:right w:w="110" w:type="dxa"/>
            </w:tcMar>
          </w:tcPr>
          <w:p w14:paraId="7AEEFF3F" w14:textId="77777777" w:rsidR="00651AC5" w:rsidRPr="00176147" w:rsidRDefault="00651AC5" w:rsidP="001A0501">
            <w:pPr>
              <w:spacing w:before="60" w:after="60"/>
              <w:jc w:val="left"/>
              <w:rPr>
                <w:rFonts w:cs="Calibri"/>
                <w:szCs w:val="22"/>
              </w:rPr>
            </w:pPr>
            <w:r w:rsidRPr="00176147">
              <w:rPr>
                <w:rFonts w:cs="Calibri"/>
                <w:sz w:val="20"/>
                <w:szCs w:val="22"/>
              </w:rPr>
              <w:t>Days sales outstanding</w:t>
            </w:r>
          </w:p>
        </w:tc>
        <w:tc>
          <w:tcPr>
            <w:tcW w:w="1260" w:type="dxa"/>
            <w:tcMar>
              <w:top w:w="70" w:type="dxa"/>
              <w:left w:w="110" w:type="dxa"/>
              <w:bottom w:w="70" w:type="dxa"/>
              <w:right w:w="110" w:type="dxa"/>
            </w:tcMar>
          </w:tcPr>
          <w:p w14:paraId="3DC30002" w14:textId="77777777" w:rsidR="00651AC5" w:rsidRPr="00176147" w:rsidRDefault="00651AC5" w:rsidP="001A0501">
            <w:pPr>
              <w:spacing w:before="60" w:after="60"/>
              <w:jc w:val="center"/>
              <w:rPr>
                <w:rFonts w:cs="Calibri"/>
                <w:szCs w:val="22"/>
              </w:rPr>
            </w:pPr>
            <w:r w:rsidRPr="00176147">
              <w:rPr>
                <w:rFonts w:cs="Calibri"/>
                <w:sz w:val="20"/>
                <w:szCs w:val="22"/>
              </w:rPr>
              <w:t>45.8</w:t>
            </w:r>
          </w:p>
        </w:tc>
        <w:tc>
          <w:tcPr>
            <w:tcW w:w="1260" w:type="dxa"/>
            <w:tcMar>
              <w:top w:w="70" w:type="dxa"/>
              <w:left w:w="110" w:type="dxa"/>
              <w:bottom w:w="70" w:type="dxa"/>
              <w:right w:w="110" w:type="dxa"/>
            </w:tcMar>
          </w:tcPr>
          <w:p w14:paraId="7CE42AC2" w14:textId="77777777" w:rsidR="00651AC5" w:rsidRPr="00176147" w:rsidRDefault="00651AC5" w:rsidP="001A0501">
            <w:pPr>
              <w:spacing w:before="60" w:after="60"/>
              <w:jc w:val="center"/>
              <w:rPr>
                <w:rFonts w:cs="Calibri"/>
                <w:szCs w:val="22"/>
              </w:rPr>
            </w:pPr>
            <w:r w:rsidRPr="00176147">
              <w:rPr>
                <w:rFonts w:cs="Calibri"/>
                <w:sz w:val="20"/>
                <w:szCs w:val="22"/>
              </w:rPr>
              <w:t>80.5</w:t>
            </w:r>
          </w:p>
        </w:tc>
        <w:tc>
          <w:tcPr>
            <w:tcW w:w="1260" w:type="dxa"/>
            <w:tcMar>
              <w:top w:w="70" w:type="dxa"/>
              <w:left w:w="110" w:type="dxa"/>
              <w:bottom w:w="70" w:type="dxa"/>
              <w:right w:w="110" w:type="dxa"/>
            </w:tcMar>
          </w:tcPr>
          <w:p w14:paraId="5849531B" w14:textId="77777777" w:rsidR="00651AC5" w:rsidRPr="00176147" w:rsidRDefault="00651AC5" w:rsidP="001A0501">
            <w:pPr>
              <w:spacing w:before="60" w:after="60"/>
              <w:jc w:val="center"/>
              <w:rPr>
                <w:rFonts w:cs="Calibri"/>
                <w:szCs w:val="22"/>
              </w:rPr>
            </w:pPr>
            <w:r w:rsidRPr="00176147">
              <w:rPr>
                <w:rFonts w:cs="Calibri"/>
                <w:sz w:val="20"/>
                <w:szCs w:val="22"/>
              </w:rPr>
              <w:t>73.7</w:t>
            </w:r>
          </w:p>
        </w:tc>
        <w:tc>
          <w:tcPr>
            <w:tcW w:w="1260" w:type="dxa"/>
            <w:tcMar>
              <w:top w:w="70" w:type="dxa"/>
              <w:left w:w="110" w:type="dxa"/>
              <w:bottom w:w="70" w:type="dxa"/>
              <w:right w:w="110" w:type="dxa"/>
            </w:tcMar>
          </w:tcPr>
          <w:p w14:paraId="10060BC0" w14:textId="77777777" w:rsidR="00651AC5" w:rsidRPr="00176147" w:rsidRDefault="00651AC5" w:rsidP="001A0501">
            <w:pPr>
              <w:spacing w:before="60" w:after="60"/>
              <w:jc w:val="center"/>
              <w:rPr>
                <w:rFonts w:cs="Calibri"/>
                <w:szCs w:val="22"/>
              </w:rPr>
            </w:pPr>
            <w:r w:rsidRPr="00176147">
              <w:rPr>
                <w:rFonts w:cs="Calibri"/>
                <w:sz w:val="20"/>
                <w:szCs w:val="22"/>
              </w:rPr>
              <w:t>60.9</w:t>
            </w:r>
          </w:p>
        </w:tc>
        <w:tc>
          <w:tcPr>
            <w:tcW w:w="1260" w:type="dxa"/>
            <w:tcMar>
              <w:top w:w="70" w:type="dxa"/>
              <w:left w:w="110" w:type="dxa"/>
              <w:bottom w:w="70" w:type="dxa"/>
              <w:right w:w="110" w:type="dxa"/>
            </w:tcMar>
          </w:tcPr>
          <w:p w14:paraId="52FD8F87" w14:textId="77777777" w:rsidR="00651AC5" w:rsidRPr="00176147" w:rsidRDefault="00651AC5" w:rsidP="001A0501">
            <w:pPr>
              <w:spacing w:before="60" w:after="60"/>
              <w:jc w:val="center"/>
              <w:rPr>
                <w:rFonts w:cs="Calibri"/>
                <w:szCs w:val="22"/>
              </w:rPr>
            </w:pPr>
            <w:r w:rsidRPr="00176147">
              <w:rPr>
                <w:rFonts w:cs="Calibri"/>
                <w:sz w:val="20"/>
                <w:szCs w:val="22"/>
              </w:rPr>
              <w:t>20.6</w:t>
            </w:r>
          </w:p>
        </w:tc>
      </w:tr>
      <w:tr w:rsidR="00651AC5" w:rsidRPr="00176147" w14:paraId="4B17272D" w14:textId="77777777" w:rsidTr="008D04B1">
        <w:trPr>
          <w:cantSplit/>
        </w:trPr>
        <w:tc>
          <w:tcPr>
            <w:tcW w:w="3060" w:type="dxa"/>
            <w:tcMar>
              <w:top w:w="70" w:type="dxa"/>
              <w:left w:w="110" w:type="dxa"/>
              <w:bottom w:w="70" w:type="dxa"/>
              <w:right w:w="110" w:type="dxa"/>
            </w:tcMar>
          </w:tcPr>
          <w:p w14:paraId="6D6B6868" w14:textId="77777777" w:rsidR="00651AC5" w:rsidRPr="00176147" w:rsidRDefault="00651AC5" w:rsidP="001A0501">
            <w:pPr>
              <w:spacing w:before="60" w:after="60"/>
              <w:jc w:val="left"/>
              <w:rPr>
                <w:rFonts w:cs="Calibri"/>
                <w:szCs w:val="22"/>
              </w:rPr>
            </w:pPr>
            <w:r w:rsidRPr="00176147">
              <w:rPr>
                <w:rFonts w:cs="Calibri"/>
                <w:sz w:val="20"/>
                <w:szCs w:val="22"/>
              </w:rPr>
              <w:t>Days inventory outstanding</w:t>
            </w:r>
          </w:p>
        </w:tc>
        <w:tc>
          <w:tcPr>
            <w:tcW w:w="1260" w:type="dxa"/>
            <w:tcMar>
              <w:top w:w="70" w:type="dxa"/>
              <w:left w:w="110" w:type="dxa"/>
              <w:bottom w:w="70" w:type="dxa"/>
              <w:right w:w="110" w:type="dxa"/>
            </w:tcMar>
          </w:tcPr>
          <w:p w14:paraId="4C9153CB" w14:textId="77777777" w:rsidR="00651AC5" w:rsidRPr="00176147" w:rsidRDefault="00651AC5" w:rsidP="001A0501">
            <w:pPr>
              <w:spacing w:before="60" w:after="60"/>
              <w:jc w:val="center"/>
              <w:rPr>
                <w:rFonts w:cs="Calibri"/>
                <w:szCs w:val="22"/>
              </w:rPr>
            </w:pPr>
            <w:r w:rsidRPr="00176147">
              <w:rPr>
                <w:rFonts w:cs="Calibri"/>
                <w:sz w:val="20"/>
                <w:szCs w:val="22"/>
              </w:rPr>
              <w:t>43.7</w:t>
            </w:r>
          </w:p>
        </w:tc>
        <w:tc>
          <w:tcPr>
            <w:tcW w:w="1260" w:type="dxa"/>
            <w:tcMar>
              <w:top w:w="70" w:type="dxa"/>
              <w:left w:w="110" w:type="dxa"/>
              <w:bottom w:w="70" w:type="dxa"/>
              <w:right w:w="110" w:type="dxa"/>
            </w:tcMar>
          </w:tcPr>
          <w:p w14:paraId="7E486FE1" w14:textId="77777777" w:rsidR="00651AC5" w:rsidRPr="00176147" w:rsidRDefault="00651AC5" w:rsidP="001A0501">
            <w:pPr>
              <w:spacing w:before="60" w:after="60"/>
              <w:jc w:val="center"/>
              <w:rPr>
                <w:rFonts w:cs="Calibri"/>
                <w:szCs w:val="22"/>
              </w:rPr>
            </w:pPr>
            <w:r w:rsidRPr="00176147">
              <w:rPr>
                <w:rFonts w:cs="Calibri"/>
                <w:sz w:val="20"/>
                <w:szCs w:val="22"/>
              </w:rPr>
              <w:t>37.4</w:t>
            </w:r>
          </w:p>
        </w:tc>
        <w:tc>
          <w:tcPr>
            <w:tcW w:w="1260" w:type="dxa"/>
            <w:tcMar>
              <w:top w:w="70" w:type="dxa"/>
              <w:left w:w="110" w:type="dxa"/>
              <w:bottom w:w="70" w:type="dxa"/>
              <w:right w:w="110" w:type="dxa"/>
            </w:tcMar>
          </w:tcPr>
          <w:p w14:paraId="3BF90279" w14:textId="77777777" w:rsidR="00651AC5" w:rsidRPr="00176147" w:rsidRDefault="00651AC5" w:rsidP="001A0501">
            <w:pPr>
              <w:spacing w:before="60" w:after="60"/>
              <w:jc w:val="center"/>
              <w:rPr>
                <w:rFonts w:cs="Calibri"/>
                <w:szCs w:val="22"/>
              </w:rPr>
            </w:pPr>
            <w:r w:rsidRPr="00176147">
              <w:rPr>
                <w:rFonts w:cs="Calibri"/>
                <w:sz w:val="20"/>
                <w:szCs w:val="22"/>
              </w:rPr>
              <w:t>39.0</w:t>
            </w:r>
          </w:p>
        </w:tc>
        <w:tc>
          <w:tcPr>
            <w:tcW w:w="1260" w:type="dxa"/>
            <w:tcMar>
              <w:top w:w="70" w:type="dxa"/>
              <w:left w:w="110" w:type="dxa"/>
              <w:bottom w:w="70" w:type="dxa"/>
              <w:right w:w="110" w:type="dxa"/>
            </w:tcMar>
          </w:tcPr>
          <w:p w14:paraId="5AE0BFFC" w14:textId="77777777" w:rsidR="00651AC5" w:rsidRPr="00176147" w:rsidRDefault="00651AC5" w:rsidP="001A0501">
            <w:pPr>
              <w:spacing w:before="60" w:after="60"/>
              <w:jc w:val="center"/>
              <w:rPr>
                <w:rFonts w:cs="Calibri"/>
                <w:szCs w:val="22"/>
              </w:rPr>
            </w:pPr>
            <w:r w:rsidRPr="00176147">
              <w:rPr>
                <w:rFonts w:cs="Calibri"/>
                <w:sz w:val="20"/>
                <w:szCs w:val="22"/>
              </w:rPr>
              <w:t>53.6</w:t>
            </w:r>
          </w:p>
        </w:tc>
        <w:tc>
          <w:tcPr>
            <w:tcW w:w="1260" w:type="dxa"/>
            <w:tcMar>
              <w:top w:w="70" w:type="dxa"/>
              <w:left w:w="110" w:type="dxa"/>
              <w:bottom w:w="70" w:type="dxa"/>
              <w:right w:w="110" w:type="dxa"/>
            </w:tcMar>
          </w:tcPr>
          <w:p w14:paraId="7B321331" w14:textId="77777777" w:rsidR="00651AC5" w:rsidRPr="00176147" w:rsidRDefault="00651AC5" w:rsidP="001A0501">
            <w:pPr>
              <w:spacing w:before="60" w:after="60"/>
              <w:jc w:val="center"/>
              <w:rPr>
                <w:rFonts w:cs="Calibri"/>
                <w:szCs w:val="22"/>
              </w:rPr>
            </w:pPr>
            <w:r w:rsidRPr="00176147">
              <w:rPr>
                <w:rFonts w:cs="Calibri"/>
                <w:sz w:val="20"/>
                <w:szCs w:val="22"/>
              </w:rPr>
              <w:t>95.8</w:t>
            </w:r>
          </w:p>
        </w:tc>
      </w:tr>
      <w:tr w:rsidR="00651AC5" w:rsidRPr="00176147" w14:paraId="19B1EA4D" w14:textId="77777777" w:rsidTr="008D04B1">
        <w:trPr>
          <w:cantSplit/>
        </w:trPr>
        <w:tc>
          <w:tcPr>
            <w:tcW w:w="3060" w:type="dxa"/>
            <w:tcMar>
              <w:top w:w="70" w:type="dxa"/>
              <w:left w:w="110" w:type="dxa"/>
              <w:bottom w:w="70" w:type="dxa"/>
              <w:right w:w="110" w:type="dxa"/>
            </w:tcMar>
          </w:tcPr>
          <w:p w14:paraId="5246C43C" w14:textId="77777777" w:rsidR="00651AC5" w:rsidRPr="00176147" w:rsidRDefault="00651AC5" w:rsidP="001A0501">
            <w:pPr>
              <w:spacing w:before="60" w:after="60"/>
              <w:jc w:val="left"/>
              <w:rPr>
                <w:rFonts w:cs="Calibri"/>
                <w:szCs w:val="22"/>
              </w:rPr>
            </w:pPr>
            <w:r w:rsidRPr="00176147">
              <w:rPr>
                <w:rFonts w:cs="Calibri"/>
                <w:sz w:val="20"/>
                <w:szCs w:val="22"/>
              </w:rPr>
              <w:t>Days payable outstanding</w:t>
            </w:r>
          </w:p>
        </w:tc>
        <w:tc>
          <w:tcPr>
            <w:tcW w:w="1260" w:type="dxa"/>
            <w:tcMar>
              <w:top w:w="70" w:type="dxa"/>
              <w:left w:w="110" w:type="dxa"/>
              <w:bottom w:w="70" w:type="dxa"/>
              <w:right w:w="110" w:type="dxa"/>
            </w:tcMar>
          </w:tcPr>
          <w:p w14:paraId="7FE3184C" w14:textId="77777777" w:rsidR="00651AC5" w:rsidRPr="00176147" w:rsidRDefault="00651AC5" w:rsidP="001A0501">
            <w:pPr>
              <w:spacing w:before="60" w:after="60"/>
              <w:jc w:val="center"/>
              <w:rPr>
                <w:rFonts w:cs="Calibri"/>
                <w:szCs w:val="22"/>
              </w:rPr>
            </w:pPr>
            <w:r w:rsidRPr="00176147">
              <w:rPr>
                <w:rFonts w:cs="Calibri"/>
                <w:sz w:val="20"/>
                <w:szCs w:val="22"/>
              </w:rPr>
              <w:t>32.0</w:t>
            </w:r>
          </w:p>
        </w:tc>
        <w:tc>
          <w:tcPr>
            <w:tcW w:w="1260" w:type="dxa"/>
            <w:tcMar>
              <w:top w:w="70" w:type="dxa"/>
              <w:left w:w="110" w:type="dxa"/>
              <w:bottom w:w="70" w:type="dxa"/>
              <w:right w:w="110" w:type="dxa"/>
            </w:tcMar>
          </w:tcPr>
          <w:p w14:paraId="46280808" w14:textId="77777777" w:rsidR="00651AC5" w:rsidRPr="00176147" w:rsidRDefault="00651AC5" w:rsidP="001A0501">
            <w:pPr>
              <w:spacing w:before="60" w:after="60"/>
              <w:jc w:val="center"/>
              <w:rPr>
                <w:rFonts w:cs="Calibri"/>
                <w:szCs w:val="22"/>
              </w:rPr>
            </w:pPr>
            <w:r w:rsidRPr="00176147">
              <w:rPr>
                <w:rFonts w:cs="Calibri"/>
                <w:sz w:val="20"/>
                <w:szCs w:val="22"/>
              </w:rPr>
              <w:t>63.2</w:t>
            </w:r>
          </w:p>
        </w:tc>
        <w:tc>
          <w:tcPr>
            <w:tcW w:w="1260" w:type="dxa"/>
            <w:tcMar>
              <w:top w:w="70" w:type="dxa"/>
              <w:left w:w="110" w:type="dxa"/>
              <w:bottom w:w="70" w:type="dxa"/>
              <w:right w:w="110" w:type="dxa"/>
            </w:tcMar>
          </w:tcPr>
          <w:p w14:paraId="08C8EE74" w14:textId="77777777" w:rsidR="00651AC5" w:rsidRPr="00176147" w:rsidRDefault="00651AC5" w:rsidP="001A0501">
            <w:pPr>
              <w:spacing w:before="60" w:after="60"/>
              <w:jc w:val="center"/>
              <w:rPr>
                <w:rFonts w:cs="Calibri"/>
                <w:szCs w:val="22"/>
              </w:rPr>
            </w:pPr>
            <w:r w:rsidRPr="00176147">
              <w:rPr>
                <w:rFonts w:cs="Calibri"/>
                <w:sz w:val="20"/>
                <w:szCs w:val="22"/>
              </w:rPr>
              <w:t>57.3</w:t>
            </w:r>
          </w:p>
        </w:tc>
        <w:tc>
          <w:tcPr>
            <w:tcW w:w="1260" w:type="dxa"/>
            <w:tcMar>
              <w:top w:w="70" w:type="dxa"/>
              <w:left w:w="110" w:type="dxa"/>
              <w:bottom w:w="70" w:type="dxa"/>
              <w:right w:w="110" w:type="dxa"/>
            </w:tcMar>
          </w:tcPr>
          <w:p w14:paraId="1F709FED" w14:textId="77777777" w:rsidR="00651AC5" w:rsidRPr="00176147" w:rsidRDefault="00651AC5" w:rsidP="001A0501">
            <w:pPr>
              <w:spacing w:before="60" w:after="60"/>
              <w:jc w:val="center"/>
              <w:rPr>
                <w:rFonts w:cs="Calibri"/>
                <w:szCs w:val="22"/>
              </w:rPr>
            </w:pPr>
            <w:r w:rsidRPr="00176147">
              <w:rPr>
                <w:rFonts w:cs="Calibri"/>
                <w:sz w:val="20"/>
                <w:szCs w:val="22"/>
              </w:rPr>
              <w:t>31.9</w:t>
            </w:r>
          </w:p>
        </w:tc>
        <w:tc>
          <w:tcPr>
            <w:tcW w:w="1260" w:type="dxa"/>
            <w:tcMar>
              <w:top w:w="70" w:type="dxa"/>
              <w:left w:w="110" w:type="dxa"/>
              <w:bottom w:w="70" w:type="dxa"/>
              <w:right w:w="110" w:type="dxa"/>
            </w:tcMar>
          </w:tcPr>
          <w:p w14:paraId="3EB3FB06" w14:textId="77777777" w:rsidR="00651AC5" w:rsidRPr="00176147" w:rsidRDefault="00651AC5" w:rsidP="001A0501">
            <w:pPr>
              <w:spacing w:before="60" w:after="60"/>
              <w:jc w:val="center"/>
              <w:rPr>
                <w:rFonts w:cs="Calibri"/>
                <w:szCs w:val="22"/>
              </w:rPr>
            </w:pPr>
            <w:r w:rsidRPr="00176147">
              <w:rPr>
                <w:rFonts w:cs="Calibri"/>
                <w:sz w:val="20"/>
                <w:szCs w:val="22"/>
              </w:rPr>
              <w:t>23.1</w:t>
            </w:r>
          </w:p>
        </w:tc>
      </w:tr>
      <w:tr w:rsidR="00651AC5" w:rsidRPr="00176147" w14:paraId="34F2A588" w14:textId="77777777" w:rsidTr="008D04B1">
        <w:trPr>
          <w:cantSplit/>
        </w:trPr>
        <w:tc>
          <w:tcPr>
            <w:tcW w:w="3060" w:type="dxa"/>
            <w:tcBorders>
              <w:bottom w:val="single" w:sz="8" w:space="0" w:color="000000"/>
            </w:tcBorders>
            <w:tcMar>
              <w:top w:w="70" w:type="dxa"/>
              <w:left w:w="110" w:type="dxa"/>
              <w:bottom w:w="70" w:type="dxa"/>
              <w:right w:w="110" w:type="dxa"/>
            </w:tcMar>
          </w:tcPr>
          <w:p w14:paraId="59764CA2" w14:textId="77777777" w:rsidR="00651AC5" w:rsidRPr="00176147" w:rsidRDefault="00651AC5" w:rsidP="001A0501">
            <w:pPr>
              <w:spacing w:before="60" w:after="60"/>
              <w:jc w:val="left"/>
              <w:rPr>
                <w:rFonts w:cs="Calibri"/>
                <w:szCs w:val="22"/>
              </w:rPr>
            </w:pPr>
            <w:r w:rsidRPr="00176147">
              <w:rPr>
                <w:rFonts w:cs="Calibri"/>
                <w:bCs/>
                <w:sz w:val="20"/>
                <w:szCs w:val="22"/>
              </w:rPr>
              <w:t>Cash conversion cycle</w:t>
            </w:r>
          </w:p>
        </w:tc>
        <w:tc>
          <w:tcPr>
            <w:tcW w:w="1260" w:type="dxa"/>
            <w:tcBorders>
              <w:bottom w:val="single" w:sz="8" w:space="0" w:color="000000"/>
            </w:tcBorders>
            <w:tcMar>
              <w:top w:w="70" w:type="dxa"/>
              <w:left w:w="110" w:type="dxa"/>
              <w:bottom w:w="70" w:type="dxa"/>
              <w:right w:w="110" w:type="dxa"/>
            </w:tcMar>
          </w:tcPr>
          <w:p w14:paraId="2A66D9B1" w14:textId="77777777" w:rsidR="00651AC5" w:rsidRPr="00176147" w:rsidRDefault="00651AC5" w:rsidP="001A0501">
            <w:pPr>
              <w:spacing w:before="60" w:after="60"/>
              <w:jc w:val="center"/>
              <w:rPr>
                <w:rFonts w:cs="Calibri"/>
                <w:szCs w:val="22"/>
              </w:rPr>
            </w:pPr>
            <w:r w:rsidRPr="00176147">
              <w:rPr>
                <w:rFonts w:cs="Calibri"/>
                <w:bCs/>
                <w:sz w:val="20"/>
                <w:szCs w:val="22"/>
              </w:rPr>
              <w:t>57.5</w:t>
            </w:r>
          </w:p>
        </w:tc>
        <w:tc>
          <w:tcPr>
            <w:tcW w:w="1260" w:type="dxa"/>
            <w:tcBorders>
              <w:bottom w:val="single" w:sz="8" w:space="0" w:color="000000"/>
            </w:tcBorders>
            <w:tcMar>
              <w:top w:w="70" w:type="dxa"/>
              <w:left w:w="110" w:type="dxa"/>
              <w:bottom w:w="70" w:type="dxa"/>
              <w:right w:w="110" w:type="dxa"/>
            </w:tcMar>
          </w:tcPr>
          <w:p w14:paraId="46BA11EC" w14:textId="77777777" w:rsidR="00651AC5" w:rsidRPr="00176147" w:rsidRDefault="00651AC5" w:rsidP="001A0501">
            <w:pPr>
              <w:spacing w:before="60" w:after="60"/>
              <w:jc w:val="center"/>
              <w:rPr>
                <w:rFonts w:cs="Calibri"/>
                <w:szCs w:val="22"/>
              </w:rPr>
            </w:pPr>
            <w:r w:rsidRPr="00176147">
              <w:rPr>
                <w:rFonts w:cs="Calibri"/>
                <w:bCs/>
                <w:sz w:val="20"/>
                <w:szCs w:val="22"/>
              </w:rPr>
              <w:t>54.7</w:t>
            </w:r>
          </w:p>
        </w:tc>
        <w:tc>
          <w:tcPr>
            <w:tcW w:w="1260" w:type="dxa"/>
            <w:tcBorders>
              <w:bottom w:val="single" w:sz="8" w:space="0" w:color="000000"/>
            </w:tcBorders>
            <w:tcMar>
              <w:top w:w="70" w:type="dxa"/>
              <w:left w:w="110" w:type="dxa"/>
              <w:bottom w:w="70" w:type="dxa"/>
              <w:right w:w="110" w:type="dxa"/>
            </w:tcMar>
          </w:tcPr>
          <w:p w14:paraId="6B4E7488" w14:textId="77777777" w:rsidR="00651AC5" w:rsidRPr="00176147" w:rsidRDefault="00651AC5" w:rsidP="001A0501">
            <w:pPr>
              <w:spacing w:before="60" w:after="60"/>
              <w:jc w:val="center"/>
              <w:rPr>
                <w:rFonts w:cs="Calibri"/>
                <w:szCs w:val="22"/>
              </w:rPr>
            </w:pPr>
            <w:r w:rsidRPr="00176147">
              <w:rPr>
                <w:rFonts w:cs="Calibri"/>
                <w:bCs/>
                <w:sz w:val="20"/>
                <w:szCs w:val="22"/>
              </w:rPr>
              <w:t>55.3</w:t>
            </w:r>
          </w:p>
        </w:tc>
        <w:tc>
          <w:tcPr>
            <w:tcW w:w="1260" w:type="dxa"/>
            <w:tcBorders>
              <w:bottom w:val="single" w:sz="8" w:space="0" w:color="000000"/>
            </w:tcBorders>
            <w:tcMar>
              <w:top w:w="70" w:type="dxa"/>
              <w:left w:w="110" w:type="dxa"/>
              <w:bottom w:w="70" w:type="dxa"/>
              <w:right w:w="110" w:type="dxa"/>
            </w:tcMar>
          </w:tcPr>
          <w:p w14:paraId="3BD97187" w14:textId="77777777" w:rsidR="00651AC5" w:rsidRPr="00176147" w:rsidRDefault="00651AC5" w:rsidP="001A0501">
            <w:pPr>
              <w:spacing w:before="60" w:after="60"/>
              <w:jc w:val="center"/>
              <w:rPr>
                <w:rFonts w:cs="Calibri"/>
                <w:szCs w:val="22"/>
              </w:rPr>
            </w:pPr>
            <w:r w:rsidRPr="00176147">
              <w:rPr>
                <w:rFonts w:cs="Calibri"/>
                <w:bCs/>
                <w:sz w:val="20"/>
                <w:szCs w:val="22"/>
              </w:rPr>
              <w:t>82.6</w:t>
            </w:r>
          </w:p>
        </w:tc>
        <w:tc>
          <w:tcPr>
            <w:tcW w:w="1260" w:type="dxa"/>
            <w:tcBorders>
              <w:bottom w:val="single" w:sz="8" w:space="0" w:color="000000"/>
            </w:tcBorders>
            <w:tcMar>
              <w:top w:w="70" w:type="dxa"/>
              <w:left w:w="110" w:type="dxa"/>
              <w:bottom w:w="70" w:type="dxa"/>
              <w:right w:w="110" w:type="dxa"/>
            </w:tcMar>
          </w:tcPr>
          <w:p w14:paraId="1FE52615" w14:textId="77777777" w:rsidR="00651AC5" w:rsidRPr="00176147" w:rsidRDefault="00651AC5" w:rsidP="001A0501">
            <w:pPr>
              <w:spacing w:before="60" w:after="60"/>
              <w:jc w:val="center"/>
              <w:rPr>
                <w:rFonts w:cs="Calibri"/>
                <w:szCs w:val="22"/>
              </w:rPr>
            </w:pPr>
            <w:r w:rsidRPr="00176147">
              <w:rPr>
                <w:rFonts w:cs="Calibri"/>
                <w:bCs/>
                <w:sz w:val="20"/>
                <w:szCs w:val="22"/>
              </w:rPr>
              <w:t>93.3</w:t>
            </w:r>
          </w:p>
        </w:tc>
      </w:tr>
    </w:tbl>
    <w:p w14:paraId="5BC52B32" w14:textId="77777777" w:rsidR="00651AC5" w:rsidRPr="00176147" w:rsidRDefault="00651AC5" w:rsidP="001A0501">
      <w:pPr>
        <w:spacing w:before="80" w:after="240"/>
        <w:jc w:val="left"/>
        <w:rPr>
          <w:rFonts w:cs="Calibri"/>
          <w:i/>
          <w:iCs/>
          <w:color w:val="595959"/>
          <w:szCs w:val="22"/>
        </w:rPr>
      </w:pPr>
      <w:r>
        <w:rPr>
          <w:i/>
          <w:sz w:val="18"/>
        </w:rPr>
        <w:t xml:space="preserve">Note. </w:t>
      </w:r>
      <w:r>
        <w:rPr>
          <w:sz w:val="18"/>
        </w:rPr>
        <w:t>A similar headline cycle conceals two entirely different funding models. Fiscal years as reported; SKP closes 31 March and Sanko closes 31 May.</w:t>
      </w:r>
    </w:p>
    <w:p w14:paraId="3617005F" w14:textId="77777777" w:rsidR="00C231AF" w:rsidRPr="00176147" w:rsidRDefault="00C231AF" w:rsidP="001A0501">
      <w:pPr>
        <w:rPr>
          <w:rFonts w:cs="Calibri"/>
          <w:szCs w:val="22"/>
        </w:rPr>
      </w:pPr>
      <w:r w:rsidRPr="00176147">
        <w:rPr>
          <w:rFonts w:cs="Calibri"/>
          <w:szCs w:val="22"/>
        </w:rPr>
        <w:t>NHH's 57.5 days compares with 54.7 at SKP Resources and 55.3 at Sanko Gosei. Read alone, this would suggest that NHH has essentially converged with its structural peers and that little further opportunity exists. That reading would be wrong, and the reason is visible only once the cycle is decomposed.</w:t>
      </w:r>
    </w:p>
    <w:p w14:paraId="2B7602DF" w14:textId="77777777" w:rsidR="006B78EC" w:rsidRPr="00176147" w:rsidRDefault="00C231AF" w:rsidP="001A0501">
      <w:pPr>
        <w:keepNext/>
        <w:spacing w:before="220" w:after="80"/>
        <w:jc w:val="left"/>
        <w:rPr>
          <w:rFonts w:cs="Calibri"/>
          <w:b/>
          <w:bCs/>
          <w:szCs w:val="22"/>
        </w:rPr>
      </w:pPr>
      <w:r w:rsidRPr="00176147">
        <w:rPr>
          <w:rFonts w:cs="Calibri"/>
          <w:b/>
          <w:bCs/>
          <w:szCs w:val="22"/>
        </w:rPr>
        <w:lastRenderedPageBreak/>
        <w:t>5.2 The composition is inverted</w:t>
      </w:r>
    </w:p>
    <w:p w14:paraId="6958EDFD" w14:textId="77777777" w:rsidR="009C3279" w:rsidRDefault="002825F9" w:rsidP="001A0501">
      <w:pPr>
        <w:keepNext/>
        <w:spacing w:before="240" w:after="0"/>
        <w:jc w:val="left"/>
      </w:pPr>
      <w:r>
        <w:rPr>
          <w:b/>
          <w:sz w:val="20"/>
        </w:rPr>
        <w:t>Table 4</w:t>
      </w:r>
    </w:p>
    <w:p w14:paraId="13AEFFF8" w14:textId="77777777" w:rsidR="009C3279" w:rsidRDefault="002825F9" w:rsidP="001A0501">
      <w:pPr>
        <w:keepNext/>
        <w:spacing w:after="80"/>
        <w:jc w:val="left"/>
      </w:pPr>
      <w:r>
        <w:rPr>
          <w:i/>
          <w:sz w:val="20"/>
        </w:rPr>
        <w:t>Cycle Composition, NHH Versus the OEM Peer Mean, FY2025 (days)</w:t>
      </w:r>
    </w:p>
    <w:tbl>
      <w:tblPr>
        <w:tblW w:w="9360" w:type="dxa"/>
        <w:tblCellMar>
          <w:left w:w="10" w:type="dxa"/>
          <w:right w:w="10" w:type="dxa"/>
        </w:tblCellMar>
        <w:tblLook w:val="04A0" w:firstRow="1" w:lastRow="0" w:firstColumn="1" w:lastColumn="0" w:noHBand="0" w:noVBand="1"/>
      </w:tblPr>
      <w:tblGrid>
        <w:gridCol w:w="3560"/>
        <w:gridCol w:w="1900"/>
        <w:gridCol w:w="1900"/>
        <w:gridCol w:w="2000"/>
      </w:tblGrid>
      <w:tr w:rsidR="00CB4027" w:rsidRPr="00176147" w14:paraId="369A28C8" w14:textId="77777777" w:rsidTr="008D04B1">
        <w:trPr>
          <w:cantSplit/>
          <w:tblHeader/>
        </w:trPr>
        <w:tc>
          <w:tcPr>
            <w:tcW w:w="3560" w:type="dxa"/>
            <w:tcBorders>
              <w:top w:val="single" w:sz="8" w:space="0" w:color="000000"/>
              <w:bottom w:val="single" w:sz="6" w:space="0" w:color="000000"/>
            </w:tcBorders>
            <w:tcMar>
              <w:top w:w="80" w:type="dxa"/>
              <w:left w:w="110" w:type="dxa"/>
              <w:bottom w:w="80" w:type="dxa"/>
              <w:right w:w="110" w:type="dxa"/>
            </w:tcMar>
          </w:tcPr>
          <w:p w14:paraId="3B9E86A4" w14:textId="77777777" w:rsidR="00CB4027" w:rsidRPr="00176147" w:rsidRDefault="00CB4027" w:rsidP="001A0501">
            <w:pPr>
              <w:spacing w:before="60" w:after="60"/>
              <w:jc w:val="left"/>
              <w:rPr>
                <w:rFonts w:cs="Calibri"/>
                <w:szCs w:val="22"/>
              </w:rPr>
            </w:pPr>
            <w:r w:rsidRPr="00176147">
              <w:rPr>
                <w:rFonts w:cs="Calibri"/>
                <w:b/>
                <w:bCs/>
                <w:sz w:val="20"/>
                <w:szCs w:val="22"/>
              </w:rPr>
              <w:t>FY2025 (days)</w:t>
            </w:r>
          </w:p>
        </w:tc>
        <w:tc>
          <w:tcPr>
            <w:tcW w:w="1900" w:type="dxa"/>
            <w:tcBorders>
              <w:top w:val="single" w:sz="8" w:space="0" w:color="000000"/>
              <w:bottom w:val="single" w:sz="6" w:space="0" w:color="000000"/>
            </w:tcBorders>
            <w:tcMar>
              <w:top w:w="80" w:type="dxa"/>
              <w:left w:w="110" w:type="dxa"/>
              <w:bottom w:w="80" w:type="dxa"/>
              <w:right w:w="110" w:type="dxa"/>
            </w:tcMar>
          </w:tcPr>
          <w:p w14:paraId="4BA0083C" w14:textId="77777777" w:rsidR="00CB4027" w:rsidRPr="00176147" w:rsidRDefault="00CB4027" w:rsidP="001A0501">
            <w:pPr>
              <w:spacing w:before="60" w:after="60"/>
              <w:jc w:val="center"/>
              <w:rPr>
                <w:rFonts w:cs="Calibri"/>
                <w:szCs w:val="22"/>
              </w:rPr>
            </w:pPr>
            <w:r w:rsidRPr="00176147">
              <w:rPr>
                <w:rFonts w:cs="Calibri"/>
                <w:b/>
                <w:bCs/>
                <w:sz w:val="20"/>
                <w:szCs w:val="22"/>
              </w:rPr>
              <w:t>NHH</w:t>
            </w:r>
          </w:p>
        </w:tc>
        <w:tc>
          <w:tcPr>
            <w:tcW w:w="1900" w:type="dxa"/>
            <w:tcBorders>
              <w:top w:val="single" w:sz="8" w:space="0" w:color="000000"/>
              <w:bottom w:val="single" w:sz="6" w:space="0" w:color="000000"/>
            </w:tcBorders>
            <w:tcMar>
              <w:top w:w="80" w:type="dxa"/>
              <w:left w:w="110" w:type="dxa"/>
              <w:bottom w:w="80" w:type="dxa"/>
              <w:right w:w="110" w:type="dxa"/>
            </w:tcMar>
          </w:tcPr>
          <w:p w14:paraId="5568CAA6" w14:textId="77777777" w:rsidR="00CB4027" w:rsidRPr="00176147" w:rsidRDefault="00CB4027" w:rsidP="001A0501">
            <w:pPr>
              <w:spacing w:before="60" w:after="60"/>
              <w:jc w:val="center"/>
              <w:rPr>
                <w:rFonts w:cs="Calibri"/>
                <w:szCs w:val="22"/>
              </w:rPr>
            </w:pPr>
            <w:r w:rsidRPr="00176147">
              <w:rPr>
                <w:rFonts w:cs="Calibri"/>
                <w:b/>
                <w:bCs/>
                <w:sz w:val="20"/>
                <w:szCs w:val="22"/>
              </w:rPr>
              <w:t>OEM peer mean</w:t>
            </w:r>
          </w:p>
        </w:tc>
        <w:tc>
          <w:tcPr>
            <w:tcW w:w="2000" w:type="dxa"/>
            <w:tcBorders>
              <w:top w:val="single" w:sz="8" w:space="0" w:color="000000"/>
              <w:bottom w:val="single" w:sz="6" w:space="0" w:color="000000"/>
            </w:tcBorders>
            <w:tcMar>
              <w:top w:w="80" w:type="dxa"/>
              <w:left w:w="110" w:type="dxa"/>
              <w:bottom w:w="80" w:type="dxa"/>
              <w:right w:w="110" w:type="dxa"/>
            </w:tcMar>
          </w:tcPr>
          <w:p w14:paraId="30332EE1" w14:textId="77777777" w:rsidR="00CB4027" w:rsidRPr="00176147" w:rsidRDefault="00CB4027" w:rsidP="001A0501">
            <w:pPr>
              <w:spacing w:before="60" w:after="60"/>
              <w:jc w:val="center"/>
              <w:rPr>
                <w:rFonts w:cs="Calibri"/>
                <w:szCs w:val="22"/>
              </w:rPr>
            </w:pPr>
            <w:r w:rsidRPr="00176147">
              <w:rPr>
                <w:rFonts w:cs="Calibri"/>
                <w:b/>
                <w:bCs/>
                <w:sz w:val="20"/>
                <w:szCs w:val="22"/>
              </w:rPr>
              <w:t>Gap</w:t>
            </w:r>
          </w:p>
        </w:tc>
      </w:tr>
      <w:tr w:rsidR="00CB4027" w:rsidRPr="00176147" w14:paraId="352B7E79" w14:textId="77777777" w:rsidTr="008D04B1">
        <w:trPr>
          <w:cantSplit/>
        </w:trPr>
        <w:tc>
          <w:tcPr>
            <w:tcW w:w="3560" w:type="dxa"/>
            <w:tcMar>
              <w:top w:w="70" w:type="dxa"/>
              <w:left w:w="110" w:type="dxa"/>
              <w:bottom w:w="70" w:type="dxa"/>
              <w:right w:w="110" w:type="dxa"/>
            </w:tcMar>
          </w:tcPr>
          <w:p w14:paraId="531B5F97" w14:textId="77777777" w:rsidR="00CB4027" w:rsidRPr="00176147" w:rsidRDefault="00CB4027" w:rsidP="001A0501">
            <w:pPr>
              <w:spacing w:before="60" w:after="60"/>
              <w:jc w:val="left"/>
              <w:rPr>
                <w:rFonts w:cs="Calibri"/>
                <w:szCs w:val="22"/>
              </w:rPr>
            </w:pPr>
            <w:r w:rsidRPr="00176147">
              <w:rPr>
                <w:rFonts w:cs="Calibri"/>
                <w:sz w:val="20"/>
                <w:szCs w:val="22"/>
              </w:rPr>
              <w:t>Days sales outstanding</w:t>
            </w:r>
          </w:p>
        </w:tc>
        <w:tc>
          <w:tcPr>
            <w:tcW w:w="1900" w:type="dxa"/>
            <w:tcMar>
              <w:top w:w="70" w:type="dxa"/>
              <w:left w:w="110" w:type="dxa"/>
              <w:bottom w:w="70" w:type="dxa"/>
              <w:right w:w="110" w:type="dxa"/>
            </w:tcMar>
          </w:tcPr>
          <w:p w14:paraId="5C2F0303" w14:textId="77777777" w:rsidR="00CB4027" w:rsidRPr="00176147" w:rsidRDefault="00CB4027" w:rsidP="001A0501">
            <w:pPr>
              <w:spacing w:before="60" w:after="60"/>
              <w:jc w:val="center"/>
              <w:rPr>
                <w:rFonts w:cs="Calibri"/>
                <w:szCs w:val="22"/>
              </w:rPr>
            </w:pPr>
            <w:r w:rsidRPr="00176147">
              <w:rPr>
                <w:rFonts w:cs="Calibri"/>
                <w:sz w:val="20"/>
                <w:szCs w:val="22"/>
              </w:rPr>
              <w:t>45.8</w:t>
            </w:r>
          </w:p>
        </w:tc>
        <w:tc>
          <w:tcPr>
            <w:tcW w:w="1900" w:type="dxa"/>
            <w:tcMar>
              <w:top w:w="70" w:type="dxa"/>
              <w:left w:w="110" w:type="dxa"/>
              <w:bottom w:w="70" w:type="dxa"/>
              <w:right w:w="110" w:type="dxa"/>
            </w:tcMar>
          </w:tcPr>
          <w:p w14:paraId="12937E28" w14:textId="77777777" w:rsidR="00CB4027" w:rsidRPr="00176147" w:rsidRDefault="00CB4027" w:rsidP="001A0501">
            <w:pPr>
              <w:spacing w:before="60" w:after="60"/>
              <w:jc w:val="center"/>
              <w:rPr>
                <w:rFonts w:cs="Calibri"/>
                <w:szCs w:val="22"/>
              </w:rPr>
            </w:pPr>
            <w:r w:rsidRPr="00176147">
              <w:rPr>
                <w:rFonts w:cs="Calibri"/>
                <w:sz w:val="20"/>
                <w:szCs w:val="22"/>
              </w:rPr>
              <w:t>77.1</w:t>
            </w:r>
          </w:p>
        </w:tc>
        <w:tc>
          <w:tcPr>
            <w:tcW w:w="2000" w:type="dxa"/>
            <w:tcMar>
              <w:top w:w="70" w:type="dxa"/>
              <w:left w:w="110" w:type="dxa"/>
              <w:bottom w:w="70" w:type="dxa"/>
              <w:right w:w="110" w:type="dxa"/>
            </w:tcMar>
          </w:tcPr>
          <w:p w14:paraId="3F5B85DE" w14:textId="77777777" w:rsidR="00CB4027" w:rsidRPr="00176147" w:rsidRDefault="00CB4027" w:rsidP="001A0501">
            <w:pPr>
              <w:spacing w:before="60" w:after="60"/>
              <w:jc w:val="center"/>
              <w:rPr>
                <w:rFonts w:cs="Calibri"/>
                <w:szCs w:val="22"/>
              </w:rPr>
            </w:pPr>
            <w:r w:rsidRPr="00176147">
              <w:rPr>
                <w:rFonts w:cs="Calibri"/>
                <w:sz w:val="20"/>
                <w:szCs w:val="22"/>
              </w:rPr>
              <w:t>(31.3)</w:t>
            </w:r>
          </w:p>
        </w:tc>
      </w:tr>
      <w:tr w:rsidR="00CB4027" w:rsidRPr="00176147" w14:paraId="104C3D05" w14:textId="77777777" w:rsidTr="008D04B1">
        <w:trPr>
          <w:cantSplit/>
        </w:trPr>
        <w:tc>
          <w:tcPr>
            <w:tcW w:w="3560" w:type="dxa"/>
            <w:tcMar>
              <w:top w:w="70" w:type="dxa"/>
              <w:left w:w="110" w:type="dxa"/>
              <w:bottom w:w="70" w:type="dxa"/>
              <w:right w:w="110" w:type="dxa"/>
            </w:tcMar>
          </w:tcPr>
          <w:p w14:paraId="609FC637" w14:textId="77777777" w:rsidR="00CB4027" w:rsidRPr="00176147" w:rsidRDefault="00CB4027" w:rsidP="001A0501">
            <w:pPr>
              <w:spacing w:before="60" w:after="60"/>
              <w:jc w:val="left"/>
              <w:rPr>
                <w:rFonts w:cs="Calibri"/>
                <w:szCs w:val="22"/>
              </w:rPr>
            </w:pPr>
            <w:r w:rsidRPr="00176147">
              <w:rPr>
                <w:rFonts w:cs="Calibri"/>
                <w:sz w:val="20"/>
                <w:szCs w:val="22"/>
              </w:rPr>
              <w:t>Days inventory outstanding</w:t>
            </w:r>
          </w:p>
        </w:tc>
        <w:tc>
          <w:tcPr>
            <w:tcW w:w="1900" w:type="dxa"/>
            <w:tcMar>
              <w:top w:w="70" w:type="dxa"/>
              <w:left w:w="110" w:type="dxa"/>
              <w:bottom w:w="70" w:type="dxa"/>
              <w:right w:w="110" w:type="dxa"/>
            </w:tcMar>
          </w:tcPr>
          <w:p w14:paraId="6C841926" w14:textId="77777777" w:rsidR="00CB4027" w:rsidRPr="00176147" w:rsidRDefault="00CB4027" w:rsidP="001A0501">
            <w:pPr>
              <w:spacing w:before="60" w:after="60"/>
              <w:jc w:val="center"/>
              <w:rPr>
                <w:rFonts w:cs="Calibri"/>
                <w:szCs w:val="22"/>
              </w:rPr>
            </w:pPr>
            <w:r w:rsidRPr="00176147">
              <w:rPr>
                <w:rFonts w:cs="Calibri"/>
                <w:sz w:val="20"/>
                <w:szCs w:val="22"/>
              </w:rPr>
              <w:t>43.7</w:t>
            </w:r>
          </w:p>
        </w:tc>
        <w:tc>
          <w:tcPr>
            <w:tcW w:w="1900" w:type="dxa"/>
            <w:tcMar>
              <w:top w:w="70" w:type="dxa"/>
              <w:left w:w="110" w:type="dxa"/>
              <w:bottom w:w="70" w:type="dxa"/>
              <w:right w:w="110" w:type="dxa"/>
            </w:tcMar>
          </w:tcPr>
          <w:p w14:paraId="22C5B999" w14:textId="77777777" w:rsidR="00CB4027" w:rsidRPr="00176147" w:rsidRDefault="00CB4027" w:rsidP="001A0501">
            <w:pPr>
              <w:spacing w:before="60" w:after="60"/>
              <w:jc w:val="center"/>
              <w:rPr>
                <w:rFonts w:cs="Calibri"/>
                <w:szCs w:val="22"/>
              </w:rPr>
            </w:pPr>
            <w:r w:rsidRPr="00176147">
              <w:rPr>
                <w:rFonts w:cs="Calibri"/>
                <w:sz w:val="20"/>
                <w:szCs w:val="22"/>
              </w:rPr>
              <w:t>38.2</w:t>
            </w:r>
          </w:p>
        </w:tc>
        <w:tc>
          <w:tcPr>
            <w:tcW w:w="2000" w:type="dxa"/>
            <w:tcMar>
              <w:top w:w="70" w:type="dxa"/>
              <w:left w:w="110" w:type="dxa"/>
              <w:bottom w:w="70" w:type="dxa"/>
              <w:right w:w="110" w:type="dxa"/>
            </w:tcMar>
          </w:tcPr>
          <w:p w14:paraId="166DE08D" w14:textId="77777777" w:rsidR="00CB4027" w:rsidRPr="00176147" w:rsidRDefault="00CB4027" w:rsidP="001A0501">
            <w:pPr>
              <w:spacing w:before="60" w:after="60"/>
              <w:jc w:val="center"/>
              <w:rPr>
                <w:rFonts w:cs="Calibri"/>
                <w:szCs w:val="22"/>
              </w:rPr>
            </w:pPr>
            <w:r w:rsidRPr="00176147">
              <w:rPr>
                <w:rFonts w:cs="Calibri"/>
                <w:sz w:val="20"/>
                <w:szCs w:val="22"/>
              </w:rPr>
              <w:t>5.5</w:t>
            </w:r>
          </w:p>
        </w:tc>
      </w:tr>
      <w:tr w:rsidR="00CB4027" w:rsidRPr="00176147" w14:paraId="139D357D" w14:textId="77777777" w:rsidTr="008D04B1">
        <w:trPr>
          <w:cantSplit/>
        </w:trPr>
        <w:tc>
          <w:tcPr>
            <w:tcW w:w="3560" w:type="dxa"/>
            <w:tcMar>
              <w:top w:w="70" w:type="dxa"/>
              <w:left w:w="110" w:type="dxa"/>
              <w:bottom w:w="70" w:type="dxa"/>
              <w:right w:w="110" w:type="dxa"/>
            </w:tcMar>
          </w:tcPr>
          <w:p w14:paraId="57CD9A58" w14:textId="77777777" w:rsidR="00CB4027" w:rsidRPr="00176147" w:rsidRDefault="00CB4027" w:rsidP="001A0501">
            <w:pPr>
              <w:spacing w:before="60" w:after="60"/>
              <w:jc w:val="left"/>
              <w:rPr>
                <w:rFonts w:cs="Calibri"/>
                <w:szCs w:val="22"/>
              </w:rPr>
            </w:pPr>
            <w:r w:rsidRPr="00176147">
              <w:rPr>
                <w:rFonts w:cs="Calibri"/>
                <w:sz w:val="20"/>
                <w:szCs w:val="22"/>
              </w:rPr>
              <w:t>Days payable outstanding</w:t>
            </w:r>
          </w:p>
        </w:tc>
        <w:tc>
          <w:tcPr>
            <w:tcW w:w="1900" w:type="dxa"/>
            <w:tcMar>
              <w:top w:w="70" w:type="dxa"/>
              <w:left w:w="110" w:type="dxa"/>
              <w:bottom w:w="70" w:type="dxa"/>
              <w:right w:w="110" w:type="dxa"/>
            </w:tcMar>
          </w:tcPr>
          <w:p w14:paraId="05A6FE49" w14:textId="77777777" w:rsidR="00CB4027" w:rsidRPr="00176147" w:rsidRDefault="00CB4027" w:rsidP="001A0501">
            <w:pPr>
              <w:spacing w:before="60" w:after="60"/>
              <w:jc w:val="center"/>
              <w:rPr>
                <w:rFonts w:cs="Calibri"/>
                <w:szCs w:val="22"/>
              </w:rPr>
            </w:pPr>
            <w:r w:rsidRPr="00176147">
              <w:rPr>
                <w:rFonts w:cs="Calibri"/>
                <w:sz w:val="20"/>
                <w:szCs w:val="22"/>
              </w:rPr>
              <w:t>32.0</w:t>
            </w:r>
          </w:p>
        </w:tc>
        <w:tc>
          <w:tcPr>
            <w:tcW w:w="1900" w:type="dxa"/>
            <w:tcMar>
              <w:top w:w="70" w:type="dxa"/>
              <w:left w:w="110" w:type="dxa"/>
              <w:bottom w:w="70" w:type="dxa"/>
              <w:right w:w="110" w:type="dxa"/>
            </w:tcMar>
          </w:tcPr>
          <w:p w14:paraId="7275E19A" w14:textId="77777777" w:rsidR="00CB4027" w:rsidRPr="00176147" w:rsidRDefault="00CB4027" w:rsidP="001A0501">
            <w:pPr>
              <w:spacing w:before="60" w:after="60"/>
              <w:jc w:val="center"/>
              <w:rPr>
                <w:rFonts w:cs="Calibri"/>
                <w:szCs w:val="22"/>
              </w:rPr>
            </w:pPr>
            <w:r w:rsidRPr="00176147">
              <w:rPr>
                <w:rFonts w:cs="Calibri"/>
                <w:sz w:val="20"/>
                <w:szCs w:val="22"/>
              </w:rPr>
              <w:t>60.3</w:t>
            </w:r>
          </w:p>
        </w:tc>
        <w:tc>
          <w:tcPr>
            <w:tcW w:w="2000" w:type="dxa"/>
            <w:tcMar>
              <w:top w:w="70" w:type="dxa"/>
              <w:left w:w="110" w:type="dxa"/>
              <w:bottom w:w="70" w:type="dxa"/>
              <w:right w:w="110" w:type="dxa"/>
            </w:tcMar>
          </w:tcPr>
          <w:p w14:paraId="2F5CBBCB" w14:textId="77777777" w:rsidR="00CB4027" w:rsidRPr="00176147" w:rsidRDefault="00CB4027" w:rsidP="001A0501">
            <w:pPr>
              <w:spacing w:before="60" w:after="60"/>
              <w:jc w:val="center"/>
              <w:rPr>
                <w:rFonts w:cs="Calibri"/>
                <w:szCs w:val="22"/>
              </w:rPr>
            </w:pPr>
            <w:r w:rsidRPr="00176147">
              <w:rPr>
                <w:rFonts w:cs="Calibri"/>
                <w:sz w:val="20"/>
                <w:szCs w:val="22"/>
              </w:rPr>
              <w:t>(28.3)</w:t>
            </w:r>
          </w:p>
        </w:tc>
      </w:tr>
      <w:tr w:rsidR="00CB4027" w:rsidRPr="00176147" w14:paraId="3142EEC0" w14:textId="77777777" w:rsidTr="008D04B1">
        <w:trPr>
          <w:cantSplit/>
        </w:trPr>
        <w:tc>
          <w:tcPr>
            <w:tcW w:w="3560" w:type="dxa"/>
            <w:tcBorders>
              <w:bottom w:val="single" w:sz="8" w:space="0" w:color="000000"/>
            </w:tcBorders>
            <w:tcMar>
              <w:top w:w="70" w:type="dxa"/>
              <w:left w:w="110" w:type="dxa"/>
              <w:bottom w:w="70" w:type="dxa"/>
              <w:right w:w="110" w:type="dxa"/>
            </w:tcMar>
          </w:tcPr>
          <w:p w14:paraId="1119AE9E" w14:textId="77777777" w:rsidR="00CB4027" w:rsidRPr="00176147" w:rsidRDefault="00CB4027" w:rsidP="001A0501">
            <w:pPr>
              <w:spacing w:before="60" w:after="60"/>
              <w:jc w:val="left"/>
              <w:rPr>
                <w:rFonts w:cs="Calibri"/>
                <w:szCs w:val="22"/>
              </w:rPr>
            </w:pPr>
            <w:r w:rsidRPr="00176147">
              <w:rPr>
                <w:rFonts w:cs="Calibri"/>
                <w:bCs/>
                <w:sz w:val="20"/>
                <w:szCs w:val="22"/>
              </w:rPr>
              <w:t>Cash conversion cycle</w:t>
            </w:r>
          </w:p>
        </w:tc>
        <w:tc>
          <w:tcPr>
            <w:tcW w:w="1900" w:type="dxa"/>
            <w:tcBorders>
              <w:bottom w:val="single" w:sz="8" w:space="0" w:color="000000"/>
            </w:tcBorders>
            <w:tcMar>
              <w:top w:w="70" w:type="dxa"/>
              <w:left w:w="110" w:type="dxa"/>
              <w:bottom w:w="70" w:type="dxa"/>
              <w:right w:w="110" w:type="dxa"/>
            </w:tcMar>
          </w:tcPr>
          <w:p w14:paraId="214C8B56" w14:textId="77777777" w:rsidR="00CB4027" w:rsidRPr="00176147" w:rsidRDefault="00CB4027" w:rsidP="001A0501">
            <w:pPr>
              <w:spacing w:before="60" w:after="60"/>
              <w:jc w:val="center"/>
              <w:rPr>
                <w:rFonts w:cs="Calibri"/>
                <w:szCs w:val="22"/>
              </w:rPr>
            </w:pPr>
            <w:r w:rsidRPr="00176147">
              <w:rPr>
                <w:rFonts w:cs="Calibri"/>
                <w:bCs/>
                <w:sz w:val="20"/>
                <w:szCs w:val="22"/>
              </w:rPr>
              <w:t>57.5</w:t>
            </w:r>
          </w:p>
        </w:tc>
        <w:tc>
          <w:tcPr>
            <w:tcW w:w="1900" w:type="dxa"/>
            <w:tcBorders>
              <w:bottom w:val="single" w:sz="8" w:space="0" w:color="000000"/>
            </w:tcBorders>
            <w:tcMar>
              <w:top w:w="70" w:type="dxa"/>
              <w:left w:w="110" w:type="dxa"/>
              <w:bottom w:w="70" w:type="dxa"/>
              <w:right w:w="110" w:type="dxa"/>
            </w:tcMar>
          </w:tcPr>
          <w:p w14:paraId="108A34F7" w14:textId="77777777" w:rsidR="00CB4027" w:rsidRPr="00176147" w:rsidRDefault="00CB4027" w:rsidP="001A0501">
            <w:pPr>
              <w:spacing w:before="60" w:after="60"/>
              <w:jc w:val="center"/>
              <w:rPr>
                <w:rFonts w:cs="Calibri"/>
                <w:szCs w:val="22"/>
              </w:rPr>
            </w:pPr>
            <w:r w:rsidRPr="00176147">
              <w:rPr>
                <w:rFonts w:cs="Calibri"/>
                <w:bCs/>
                <w:sz w:val="20"/>
                <w:szCs w:val="22"/>
              </w:rPr>
              <w:t>55.0</w:t>
            </w:r>
          </w:p>
        </w:tc>
        <w:tc>
          <w:tcPr>
            <w:tcW w:w="2000" w:type="dxa"/>
            <w:tcBorders>
              <w:bottom w:val="single" w:sz="8" w:space="0" w:color="000000"/>
            </w:tcBorders>
            <w:tcMar>
              <w:top w:w="70" w:type="dxa"/>
              <w:left w:w="110" w:type="dxa"/>
              <w:bottom w:w="70" w:type="dxa"/>
              <w:right w:w="110" w:type="dxa"/>
            </w:tcMar>
          </w:tcPr>
          <w:p w14:paraId="211EAF97" w14:textId="77777777" w:rsidR="00CB4027" w:rsidRPr="00176147" w:rsidRDefault="00CB4027" w:rsidP="001A0501">
            <w:pPr>
              <w:spacing w:before="60" w:after="60"/>
              <w:jc w:val="center"/>
              <w:rPr>
                <w:rFonts w:cs="Calibri"/>
                <w:szCs w:val="22"/>
              </w:rPr>
            </w:pPr>
            <w:r w:rsidRPr="00176147">
              <w:rPr>
                <w:rFonts w:cs="Calibri"/>
                <w:bCs/>
                <w:sz w:val="20"/>
                <w:szCs w:val="22"/>
              </w:rPr>
              <w:t>2.5</w:t>
            </w:r>
          </w:p>
        </w:tc>
      </w:tr>
    </w:tbl>
    <w:p w14:paraId="6FCE0CBF" w14:textId="77777777" w:rsidR="00CB4027" w:rsidRPr="00176147" w:rsidRDefault="00CB4027" w:rsidP="001A0501">
      <w:pPr>
        <w:spacing w:before="80" w:after="240"/>
        <w:jc w:val="left"/>
        <w:rPr>
          <w:rFonts w:cs="Calibri"/>
          <w:i/>
          <w:iCs/>
          <w:color w:val="595959"/>
          <w:szCs w:val="22"/>
        </w:rPr>
      </w:pPr>
      <w:r>
        <w:rPr>
          <w:i/>
          <w:sz w:val="18"/>
        </w:rPr>
        <w:t xml:space="preserve">Note. </w:t>
      </w:r>
      <w:r>
        <w:rPr>
          <w:sz w:val="18"/>
        </w:rPr>
        <w:t>NHH collects about 31 days faster than comparable manufacturers and pays about 28 days sooner. The two effects nearly cancel in the headline and hide each other. OEM peer mean is the average of SKP Resources and Sanko Gosei.</w:t>
      </w:r>
    </w:p>
    <w:p w14:paraId="4ECBE2CA" w14:textId="77777777" w:rsidR="007D6FD1" w:rsidRPr="00176147" w:rsidRDefault="007D6FD1" w:rsidP="001A0501">
      <w:pPr>
        <w:rPr>
          <w:rFonts w:cs="Calibri"/>
          <w:szCs w:val="22"/>
        </w:rPr>
      </w:pPr>
      <w:r w:rsidRPr="00176147">
        <w:rPr>
          <w:rFonts w:cs="Calibri"/>
          <w:szCs w:val="22"/>
        </w:rPr>
        <w:t>This is the central finding of the report. NHH holds a materially stronger receivables position than either structural peer and a materially weaker payables position. The two deviations are of similar magnitude and opposite sign, so they very nearly cancel in the headline number. A reader who looks only at the cash conversion cycle would conclude that NHH is unremarkable. A reader who decomposes it finds a company operating a different funding model from its peers.</w:t>
      </w:r>
    </w:p>
    <w:p w14:paraId="7EC82C55" w14:textId="77777777" w:rsidR="007D6FD1" w:rsidRPr="00176147" w:rsidRDefault="007D6FD1" w:rsidP="001A0501">
      <w:pPr>
        <w:rPr>
          <w:rFonts w:cs="Calibri"/>
          <w:szCs w:val="22"/>
        </w:rPr>
      </w:pPr>
      <w:r w:rsidRPr="00176147">
        <w:rPr>
          <w:rFonts w:cs="Calibri"/>
          <w:szCs w:val="22"/>
        </w:rPr>
        <w:t>The differences are best explained structurally rather than as judgements about management quality.</w:t>
      </w:r>
    </w:p>
    <w:p w14:paraId="6059A79F" w14:textId="77777777" w:rsidR="007D6FD1" w:rsidRPr="00176147" w:rsidRDefault="007D6FD1" w:rsidP="001A0501">
      <w:pPr>
        <w:rPr>
          <w:rFonts w:cs="Calibri"/>
          <w:szCs w:val="22"/>
        </w:rPr>
      </w:pPr>
      <w:r w:rsidRPr="00176147">
        <w:rPr>
          <w:rFonts w:cs="Calibri"/>
          <w:szCs w:val="22"/>
        </w:rPr>
        <w:t>SKP Resources carries days sales outstanding of 80.5. Roughly 70% of its revenue comes from a single customer, and that concentration cuts both ways: it delivers volume and scale, but it also means payment terms are dictated rather than negotiated. The vulnerability became visible after the period under review, when order reductions from that customer combined with tariff pressure caused a sharp reversal in profitability. NHH's customer base is concentrated but not to that degree, which is one reason its receivable days are lower.</w:t>
      </w:r>
    </w:p>
    <w:p w14:paraId="6A806A95" w14:textId="77777777" w:rsidR="007D6FD1" w:rsidRPr="00176147" w:rsidRDefault="007D6FD1" w:rsidP="001A0501">
      <w:pPr>
        <w:rPr>
          <w:rFonts w:cs="Calibri"/>
          <w:szCs w:val="22"/>
        </w:rPr>
      </w:pPr>
      <w:r w:rsidRPr="00176147">
        <w:rPr>
          <w:rFonts w:cs="Calibri"/>
          <w:szCs w:val="22"/>
        </w:rPr>
        <w:t xml:space="preserve">Sanko Gosei carries days sales outstanding of 73.7 despite disclosing no single customer above 10% of revenue. Concentration therefore cannot explain its position. The more likely explanation is settlement practice: a significant share of Japanese trade receivables is settled by promissory note and by electronically recorded monetary claims rather than on open account, and these instruments carry longer effective terms. Both are included in the calculation here, as they must be — excluding them would </w:t>
      </w:r>
      <w:r w:rsidRPr="00176147">
        <w:rPr>
          <w:rFonts w:cs="Calibri"/>
          <w:szCs w:val="22"/>
        </w:rPr>
        <w:lastRenderedPageBreak/>
        <w:t>understate Sanko's receivable and payable days by a wide margin and would have made the comparison meaningless.</w:t>
      </w:r>
    </w:p>
    <w:p w14:paraId="5B85BE94" w14:textId="77777777" w:rsidR="007D6FD1" w:rsidRPr="00176147" w:rsidRDefault="007D6FD1" w:rsidP="001A0501">
      <w:pPr>
        <w:rPr>
          <w:rFonts w:cs="Calibri"/>
          <w:szCs w:val="22"/>
        </w:rPr>
      </w:pPr>
      <w:r w:rsidRPr="00176147">
        <w:rPr>
          <w:rFonts w:cs="Calibri"/>
          <w:szCs w:val="22"/>
        </w:rPr>
        <w:t>It is worth being explicit that customer concentration and receivable days do not line up monotonically across the three companies. Sanko has the least concentrated customer base and the second-highest receivable days; SKP has the most concentrated and the highest. Concentration is therefore one factor among several, and national settlement conventions appear to matter at least as much. Forcing a single explanatory variable onto the data would be a misreading.</w:t>
      </w:r>
    </w:p>
    <w:p w14:paraId="34ED158C" w14:textId="77777777" w:rsidR="007D6FD1" w:rsidRPr="00176147" w:rsidRDefault="007D6FD1" w:rsidP="001A0501">
      <w:pPr>
        <w:rPr>
          <w:rFonts w:cs="Calibri"/>
          <w:szCs w:val="22"/>
        </w:rPr>
      </w:pPr>
      <w:r w:rsidRPr="00176147">
        <w:rPr>
          <w:rFonts w:cs="Calibri"/>
          <w:szCs w:val="22"/>
        </w:rPr>
        <w:t>On the payables side, both structural peers operate at roughly twice NHH's days payable outstanding. Part of this is genuine and part is measurement. SKP reports trade and other payables as a single line in every annual report, so its 63.2 days is an upper bound and its cycle a lower bound. Sanko's 57.3 days reflects, in part, the same note-based settlement convention that lengthens its receivables. Adjusting for both, a realistic peer benchmark for NHH is lower than 60.3 days, but still well above 32.0.</w:t>
      </w:r>
    </w:p>
    <w:p w14:paraId="06607747" w14:textId="77777777" w:rsidR="007D6FD1" w:rsidRPr="00176147" w:rsidRDefault="007D6FD1" w:rsidP="001A0501">
      <w:pPr>
        <w:keepNext/>
        <w:spacing w:before="220" w:after="80"/>
        <w:jc w:val="left"/>
        <w:rPr>
          <w:rFonts w:cs="Calibri"/>
          <w:b/>
          <w:bCs/>
          <w:szCs w:val="22"/>
        </w:rPr>
      </w:pPr>
      <w:r w:rsidRPr="00176147">
        <w:rPr>
          <w:rFonts w:cs="Calibri"/>
          <w:b/>
          <w:bCs/>
          <w:szCs w:val="22"/>
        </w:rPr>
        <w:t>5.3 Two controls</w:t>
      </w:r>
    </w:p>
    <w:p w14:paraId="3DCC82FC" w14:textId="77777777" w:rsidR="007D6FD1" w:rsidRPr="00176147" w:rsidRDefault="007D6FD1" w:rsidP="001A0501">
      <w:pPr>
        <w:rPr>
          <w:rFonts w:cs="Calibri"/>
          <w:szCs w:val="22"/>
        </w:rPr>
      </w:pPr>
      <w:proofErr w:type="spellStart"/>
      <w:r w:rsidRPr="00176147">
        <w:rPr>
          <w:rFonts w:cs="Calibri"/>
          <w:szCs w:val="22"/>
        </w:rPr>
        <w:t>Nolato</w:t>
      </w:r>
      <w:proofErr w:type="spellEnd"/>
      <w:r w:rsidRPr="00176147">
        <w:rPr>
          <w:rFonts w:cs="Calibri"/>
          <w:szCs w:val="22"/>
        </w:rPr>
        <w:t xml:space="preserve"> AB carries the highest cycle of any contract manufacturer in the set at 82.6 days, which is counterintuitive for the company used as the best-practice reference. Its inventory days of 53.6 are well above the OEM peers. The explanation is product mix: a substantial share of </w:t>
      </w:r>
      <w:proofErr w:type="spellStart"/>
      <w:r w:rsidRPr="00176147">
        <w:rPr>
          <w:rFonts w:cs="Calibri"/>
          <w:szCs w:val="22"/>
        </w:rPr>
        <w:t>Nolato's</w:t>
      </w:r>
      <w:proofErr w:type="spellEnd"/>
      <w:r w:rsidRPr="00176147">
        <w:rPr>
          <w:rFonts w:cs="Calibri"/>
          <w:szCs w:val="22"/>
        </w:rPr>
        <w:t xml:space="preserve"> output serves medical and pharmaceutical customers, where qualification requirements and supply security demand deeper inventory, and where margins are correspondingly wider. </w:t>
      </w:r>
      <w:proofErr w:type="spellStart"/>
      <w:r w:rsidRPr="00176147">
        <w:rPr>
          <w:rFonts w:cs="Calibri"/>
          <w:szCs w:val="22"/>
        </w:rPr>
        <w:t>Nolato</w:t>
      </w:r>
      <w:proofErr w:type="spellEnd"/>
      <w:r w:rsidRPr="00176147">
        <w:rPr>
          <w:rFonts w:cs="Calibri"/>
          <w:szCs w:val="22"/>
        </w:rPr>
        <w:t xml:space="preserve"> earned an operating margin above 11% in FY2025 with an equity-to-assets ratio of 60%. The lesson is that the cash conversion cycle cannot be read in isolation from profitability: a longer cycle that buys a wider margin may be the correct commercial choice.</w:t>
      </w:r>
    </w:p>
    <w:p w14:paraId="69C9CD1E" w14:textId="77777777" w:rsidR="00C231AF" w:rsidRPr="00176147" w:rsidRDefault="007D6FD1" w:rsidP="001A0501">
      <w:pPr>
        <w:rPr>
          <w:rFonts w:cs="Calibri"/>
          <w:szCs w:val="22"/>
        </w:rPr>
      </w:pPr>
      <w:proofErr w:type="spellStart"/>
      <w:r w:rsidRPr="00176147">
        <w:rPr>
          <w:rFonts w:cs="Calibri"/>
          <w:szCs w:val="22"/>
        </w:rPr>
        <w:t>Nhựa</w:t>
      </w:r>
      <w:proofErr w:type="spellEnd"/>
      <w:r w:rsidRPr="00176147">
        <w:rPr>
          <w:rFonts w:cs="Calibri"/>
          <w:szCs w:val="22"/>
        </w:rPr>
        <w:t xml:space="preserve"> </w:t>
      </w:r>
      <w:proofErr w:type="spellStart"/>
      <w:r w:rsidRPr="00176147">
        <w:rPr>
          <w:rFonts w:cs="Calibri"/>
          <w:szCs w:val="22"/>
        </w:rPr>
        <w:t>Tiền</w:t>
      </w:r>
      <w:proofErr w:type="spellEnd"/>
      <w:r w:rsidRPr="00176147">
        <w:rPr>
          <w:rFonts w:cs="Calibri"/>
          <w:szCs w:val="22"/>
        </w:rPr>
        <w:t xml:space="preserve"> Phong provides the opposite control. It operates in the same country, under the same accounting framework, with the same input cost environment, yet carries a cycle of 93.3 days built on inventory days of 95.8 and receivable days of just 20.6. That signature belongs to a distribution model: stock is held centrally to serve a dealer network, and dealers pay quickly. The contrast establishes that the differences observed between NHH and its international peers arise from the business model rather than from the Vietnamese operating environment.</w:t>
      </w:r>
    </w:p>
    <w:p w14:paraId="7DCEF45A" w14:textId="77777777" w:rsidR="009636A7" w:rsidRPr="00176147" w:rsidRDefault="00EB07AA"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6. Sizing the Payables Gap</w:t>
      </w:r>
    </w:p>
    <w:p w14:paraId="07811596" w14:textId="77777777" w:rsidR="00320537" w:rsidRPr="00176147" w:rsidRDefault="00C95460" w:rsidP="001A0501">
      <w:pPr>
        <w:rPr>
          <w:rFonts w:cs="Calibri"/>
          <w:szCs w:val="22"/>
        </w:rPr>
      </w:pPr>
      <w:r w:rsidRPr="00176147">
        <w:rPr>
          <w:rFonts w:cs="Calibri"/>
          <w:szCs w:val="22"/>
        </w:rPr>
        <w:t>The gap identified in Section 5 can be converted into a monetary figure in four steps.</w:t>
      </w:r>
    </w:p>
    <w:p w14:paraId="7E25DCC0" w14:textId="77777777" w:rsidR="009C3279" w:rsidRDefault="002825F9" w:rsidP="001A0501">
      <w:pPr>
        <w:keepNext/>
        <w:spacing w:before="240" w:after="0"/>
        <w:jc w:val="left"/>
      </w:pPr>
      <w:r>
        <w:rPr>
          <w:b/>
          <w:sz w:val="20"/>
        </w:rPr>
        <w:lastRenderedPageBreak/>
        <w:t>Table 5</w:t>
      </w:r>
    </w:p>
    <w:p w14:paraId="0D92B9F9" w14:textId="77777777" w:rsidR="009C3279" w:rsidRDefault="002825F9" w:rsidP="001A0501">
      <w:pPr>
        <w:keepNext/>
        <w:spacing w:after="80"/>
        <w:jc w:val="left"/>
      </w:pPr>
      <w:r>
        <w:rPr>
          <w:i/>
          <w:sz w:val="20"/>
        </w:rPr>
        <w:t>Quantification of the Payables Gap, FY2025</w:t>
      </w:r>
    </w:p>
    <w:tbl>
      <w:tblPr>
        <w:tblW w:w="9360" w:type="dxa"/>
        <w:tblCellMar>
          <w:left w:w="10" w:type="dxa"/>
          <w:right w:w="10" w:type="dxa"/>
        </w:tblCellMar>
        <w:tblLook w:val="04A0" w:firstRow="1" w:lastRow="0" w:firstColumn="1" w:lastColumn="0" w:noHBand="0" w:noVBand="1"/>
      </w:tblPr>
      <w:tblGrid>
        <w:gridCol w:w="700"/>
        <w:gridCol w:w="5960"/>
        <w:gridCol w:w="2700"/>
      </w:tblGrid>
      <w:tr w:rsidR="00F73B5B" w:rsidRPr="00176147" w14:paraId="1F0367DE" w14:textId="77777777" w:rsidTr="008D04B1">
        <w:trPr>
          <w:cantSplit/>
          <w:tblHeader/>
        </w:trPr>
        <w:tc>
          <w:tcPr>
            <w:tcW w:w="700" w:type="dxa"/>
            <w:tcBorders>
              <w:top w:val="single" w:sz="8" w:space="0" w:color="000000"/>
              <w:bottom w:val="single" w:sz="6" w:space="0" w:color="000000"/>
            </w:tcBorders>
            <w:tcMar>
              <w:top w:w="80" w:type="dxa"/>
              <w:left w:w="110" w:type="dxa"/>
              <w:bottom w:w="80" w:type="dxa"/>
              <w:right w:w="110" w:type="dxa"/>
            </w:tcMar>
          </w:tcPr>
          <w:p w14:paraId="50F541A0" w14:textId="77777777" w:rsidR="00F73B5B" w:rsidRPr="00176147" w:rsidRDefault="00F73B5B" w:rsidP="001A0501">
            <w:pPr>
              <w:spacing w:before="60" w:after="60"/>
              <w:jc w:val="left"/>
              <w:rPr>
                <w:rFonts w:cs="Calibri"/>
                <w:szCs w:val="22"/>
              </w:rPr>
            </w:pPr>
            <w:r w:rsidRPr="00176147">
              <w:rPr>
                <w:rFonts w:cs="Calibri"/>
                <w:b/>
                <w:bCs/>
                <w:sz w:val="20"/>
                <w:szCs w:val="22"/>
              </w:rPr>
              <w:t>Step</w:t>
            </w:r>
          </w:p>
        </w:tc>
        <w:tc>
          <w:tcPr>
            <w:tcW w:w="5960" w:type="dxa"/>
            <w:tcBorders>
              <w:top w:val="single" w:sz="8" w:space="0" w:color="000000"/>
              <w:bottom w:val="single" w:sz="6" w:space="0" w:color="000000"/>
            </w:tcBorders>
            <w:tcMar>
              <w:top w:w="80" w:type="dxa"/>
              <w:left w:w="110" w:type="dxa"/>
              <w:bottom w:w="80" w:type="dxa"/>
              <w:right w:w="110" w:type="dxa"/>
            </w:tcMar>
          </w:tcPr>
          <w:p w14:paraId="6BE36B7E" w14:textId="77777777" w:rsidR="00F73B5B" w:rsidRPr="00176147" w:rsidRDefault="00F73B5B" w:rsidP="001A0501">
            <w:pPr>
              <w:spacing w:before="60" w:after="60"/>
              <w:jc w:val="center"/>
              <w:rPr>
                <w:rFonts w:cs="Calibri"/>
                <w:szCs w:val="22"/>
              </w:rPr>
            </w:pPr>
            <w:r w:rsidRPr="00176147">
              <w:rPr>
                <w:rFonts w:cs="Calibri"/>
                <w:b/>
                <w:bCs/>
                <w:sz w:val="20"/>
                <w:szCs w:val="22"/>
              </w:rPr>
              <w:t>Calculation</w:t>
            </w:r>
          </w:p>
        </w:tc>
        <w:tc>
          <w:tcPr>
            <w:tcW w:w="2700" w:type="dxa"/>
            <w:tcBorders>
              <w:top w:val="single" w:sz="8" w:space="0" w:color="000000"/>
              <w:bottom w:val="single" w:sz="6" w:space="0" w:color="000000"/>
            </w:tcBorders>
            <w:tcMar>
              <w:top w:w="80" w:type="dxa"/>
              <w:left w:w="110" w:type="dxa"/>
              <w:bottom w:w="80" w:type="dxa"/>
              <w:right w:w="110" w:type="dxa"/>
            </w:tcMar>
          </w:tcPr>
          <w:p w14:paraId="0E9FAED9" w14:textId="77777777" w:rsidR="00F73B5B" w:rsidRPr="00176147" w:rsidRDefault="00F73B5B" w:rsidP="001A0501">
            <w:pPr>
              <w:spacing w:before="60" w:after="60"/>
              <w:jc w:val="center"/>
              <w:rPr>
                <w:rFonts w:cs="Calibri"/>
                <w:szCs w:val="22"/>
              </w:rPr>
            </w:pPr>
            <w:r w:rsidRPr="00176147">
              <w:rPr>
                <w:rFonts w:cs="Calibri"/>
                <w:b/>
                <w:bCs/>
                <w:sz w:val="20"/>
                <w:szCs w:val="22"/>
              </w:rPr>
              <w:t>Result</w:t>
            </w:r>
          </w:p>
        </w:tc>
      </w:tr>
      <w:tr w:rsidR="00F73B5B" w:rsidRPr="00176147" w14:paraId="72DACC75" w14:textId="77777777" w:rsidTr="008D04B1">
        <w:trPr>
          <w:cantSplit/>
        </w:trPr>
        <w:tc>
          <w:tcPr>
            <w:tcW w:w="700" w:type="dxa"/>
            <w:tcMar>
              <w:top w:w="70" w:type="dxa"/>
              <w:left w:w="110" w:type="dxa"/>
              <w:bottom w:w="70" w:type="dxa"/>
              <w:right w:w="110" w:type="dxa"/>
            </w:tcMar>
          </w:tcPr>
          <w:p w14:paraId="60B4697E" w14:textId="77777777" w:rsidR="00F73B5B" w:rsidRPr="00176147" w:rsidRDefault="00F73B5B" w:rsidP="001A0501">
            <w:pPr>
              <w:spacing w:before="60" w:after="60"/>
              <w:jc w:val="left"/>
              <w:rPr>
                <w:rFonts w:cs="Calibri"/>
                <w:szCs w:val="22"/>
              </w:rPr>
            </w:pPr>
            <w:r w:rsidRPr="00176147">
              <w:rPr>
                <w:rFonts w:cs="Calibri"/>
                <w:sz w:val="20"/>
                <w:szCs w:val="22"/>
              </w:rPr>
              <w:t>1</w:t>
            </w:r>
          </w:p>
        </w:tc>
        <w:tc>
          <w:tcPr>
            <w:tcW w:w="5960" w:type="dxa"/>
            <w:tcMar>
              <w:top w:w="70" w:type="dxa"/>
              <w:left w:w="110" w:type="dxa"/>
              <w:bottom w:w="70" w:type="dxa"/>
              <w:right w:w="110" w:type="dxa"/>
            </w:tcMar>
          </w:tcPr>
          <w:p w14:paraId="043FE94F" w14:textId="77777777" w:rsidR="00F73B5B" w:rsidRPr="00176147" w:rsidRDefault="00F73B5B" w:rsidP="001A0501">
            <w:pPr>
              <w:spacing w:before="60" w:after="60"/>
              <w:jc w:val="center"/>
              <w:rPr>
                <w:rFonts w:cs="Calibri"/>
                <w:szCs w:val="22"/>
              </w:rPr>
            </w:pPr>
            <w:r w:rsidRPr="00176147">
              <w:rPr>
                <w:rFonts w:cs="Calibri"/>
                <w:sz w:val="20"/>
                <w:szCs w:val="22"/>
              </w:rPr>
              <w:t>FY2025 cost of goods sold divided by 365 — one day of payables</w:t>
            </w:r>
          </w:p>
        </w:tc>
        <w:tc>
          <w:tcPr>
            <w:tcW w:w="2700" w:type="dxa"/>
            <w:tcMar>
              <w:top w:w="70" w:type="dxa"/>
              <w:left w:w="110" w:type="dxa"/>
              <w:bottom w:w="70" w:type="dxa"/>
              <w:right w:w="110" w:type="dxa"/>
            </w:tcMar>
          </w:tcPr>
          <w:p w14:paraId="22E629B5" w14:textId="77777777" w:rsidR="00F73B5B" w:rsidRPr="00176147" w:rsidRDefault="00F73B5B" w:rsidP="001A0501">
            <w:pPr>
              <w:spacing w:before="60" w:after="60"/>
              <w:jc w:val="center"/>
              <w:rPr>
                <w:rFonts w:cs="Calibri"/>
                <w:szCs w:val="22"/>
              </w:rPr>
            </w:pPr>
            <w:r w:rsidRPr="00176147">
              <w:rPr>
                <w:rFonts w:cs="Calibri"/>
                <w:sz w:val="20"/>
                <w:szCs w:val="22"/>
              </w:rPr>
              <w:t>VND 5.24 billion</w:t>
            </w:r>
          </w:p>
        </w:tc>
      </w:tr>
      <w:tr w:rsidR="00F73B5B" w:rsidRPr="00176147" w14:paraId="0F87997F" w14:textId="77777777" w:rsidTr="008D04B1">
        <w:trPr>
          <w:cantSplit/>
        </w:trPr>
        <w:tc>
          <w:tcPr>
            <w:tcW w:w="700" w:type="dxa"/>
            <w:tcMar>
              <w:top w:w="70" w:type="dxa"/>
              <w:left w:w="110" w:type="dxa"/>
              <w:bottom w:w="70" w:type="dxa"/>
              <w:right w:w="110" w:type="dxa"/>
            </w:tcMar>
          </w:tcPr>
          <w:p w14:paraId="4EE29E30" w14:textId="77777777" w:rsidR="00F73B5B" w:rsidRPr="00176147" w:rsidRDefault="00F73B5B" w:rsidP="001A0501">
            <w:pPr>
              <w:spacing w:before="60" w:after="60"/>
              <w:jc w:val="left"/>
              <w:rPr>
                <w:rFonts w:cs="Calibri"/>
                <w:szCs w:val="22"/>
              </w:rPr>
            </w:pPr>
            <w:r w:rsidRPr="00176147">
              <w:rPr>
                <w:rFonts w:cs="Calibri"/>
                <w:sz w:val="20"/>
                <w:szCs w:val="22"/>
              </w:rPr>
              <w:t>2</w:t>
            </w:r>
          </w:p>
        </w:tc>
        <w:tc>
          <w:tcPr>
            <w:tcW w:w="5960" w:type="dxa"/>
            <w:tcMar>
              <w:top w:w="70" w:type="dxa"/>
              <w:left w:w="110" w:type="dxa"/>
              <w:bottom w:w="70" w:type="dxa"/>
              <w:right w:w="110" w:type="dxa"/>
            </w:tcMar>
          </w:tcPr>
          <w:p w14:paraId="66DB70AD" w14:textId="77777777" w:rsidR="00F73B5B" w:rsidRPr="00176147" w:rsidRDefault="00F73B5B" w:rsidP="001A0501">
            <w:pPr>
              <w:spacing w:before="60" w:after="60"/>
              <w:jc w:val="center"/>
              <w:rPr>
                <w:rFonts w:cs="Calibri"/>
                <w:szCs w:val="22"/>
              </w:rPr>
            </w:pPr>
            <w:r w:rsidRPr="00176147">
              <w:rPr>
                <w:rFonts w:cs="Calibri"/>
                <w:sz w:val="20"/>
                <w:szCs w:val="22"/>
              </w:rPr>
              <w:t>OEM peer mean days payable less NHH days payable</w:t>
            </w:r>
          </w:p>
        </w:tc>
        <w:tc>
          <w:tcPr>
            <w:tcW w:w="2700" w:type="dxa"/>
            <w:tcMar>
              <w:top w:w="70" w:type="dxa"/>
              <w:left w:w="110" w:type="dxa"/>
              <w:bottom w:w="70" w:type="dxa"/>
              <w:right w:w="110" w:type="dxa"/>
            </w:tcMar>
          </w:tcPr>
          <w:p w14:paraId="0B7E8381" w14:textId="77777777" w:rsidR="00F73B5B" w:rsidRPr="00176147" w:rsidRDefault="00F73B5B" w:rsidP="001A0501">
            <w:pPr>
              <w:spacing w:before="60" w:after="60"/>
              <w:jc w:val="center"/>
              <w:rPr>
                <w:rFonts w:cs="Calibri"/>
                <w:szCs w:val="22"/>
              </w:rPr>
            </w:pPr>
            <w:r w:rsidRPr="00176147">
              <w:rPr>
                <w:rFonts w:cs="Calibri"/>
                <w:sz w:val="20"/>
                <w:szCs w:val="22"/>
              </w:rPr>
              <w:t>28.3 days</w:t>
            </w:r>
          </w:p>
        </w:tc>
      </w:tr>
      <w:tr w:rsidR="00F73B5B" w:rsidRPr="00176147" w14:paraId="1887C6F2" w14:textId="77777777" w:rsidTr="008D04B1">
        <w:trPr>
          <w:cantSplit/>
        </w:trPr>
        <w:tc>
          <w:tcPr>
            <w:tcW w:w="700" w:type="dxa"/>
            <w:tcMar>
              <w:top w:w="70" w:type="dxa"/>
              <w:left w:w="110" w:type="dxa"/>
              <w:bottom w:w="70" w:type="dxa"/>
              <w:right w:w="110" w:type="dxa"/>
            </w:tcMar>
          </w:tcPr>
          <w:p w14:paraId="6018685D" w14:textId="77777777" w:rsidR="00F73B5B" w:rsidRPr="00176147" w:rsidRDefault="00F73B5B" w:rsidP="001A0501">
            <w:pPr>
              <w:spacing w:before="60" w:after="60"/>
              <w:jc w:val="left"/>
              <w:rPr>
                <w:rFonts w:cs="Calibri"/>
                <w:szCs w:val="22"/>
              </w:rPr>
            </w:pPr>
            <w:r w:rsidRPr="00176147">
              <w:rPr>
                <w:rFonts w:cs="Calibri"/>
                <w:sz w:val="20"/>
                <w:szCs w:val="22"/>
              </w:rPr>
              <w:t>3</w:t>
            </w:r>
          </w:p>
        </w:tc>
        <w:tc>
          <w:tcPr>
            <w:tcW w:w="5960" w:type="dxa"/>
            <w:tcMar>
              <w:top w:w="70" w:type="dxa"/>
              <w:left w:w="110" w:type="dxa"/>
              <w:bottom w:w="70" w:type="dxa"/>
              <w:right w:w="110" w:type="dxa"/>
            </w:tcMar>
          </w:tcPr>
          <w:p w14:paraId="23689FB6" w14:textId="77777777" w:rsidR="00F73B5B" w:rsidRPr="00176147" w:rsidRDefault="00F73B5B" w:rsidP="001A0501">
            <w:pPr>
              <w:spacing w:before="60" w:after="60"/>
              <w:jc w:val="center"/>
              <w:rPr>
                <w:rFonts w:cs="Calibri"/>
                <w:szCs w:val="22"/>
              </w:rPr>
            </w:pPr>
            <w:r w:rsidRPr="00176147">
              <w:rPr>
                <w:rFonts w:cs="Calibri"/>
                <w:sz w:val="20"/>
                <w:szCs w:val="22"/>
              </w:rPr>
              <w:t>Gap in days multiplied by one day of payables</w:t>
            </w:r>
          </w:p>
        </w:tc>
        <w:tc>
          <w:tcPr>
            <w:tcW w:w="2700" w:type="dxa"/>
            <w:tcMar>
              <w:top w:w="70" w:type="dxa"/>
              <w:left w:w="110" w:type="dxa"/>
              <w:bottom w:w="70" w:type="dxa"/>
              <w:right w:w="110" w:type="dxa"/>
            </w:tcMar>
          </w:tcPr>
          <w:p w14:paraId="7FC3E07B" w14:textId="77777777" w:rsidR="00F73B5B" w:rsidRPr="00176147" w:rsidRDefault="00F73B5B" w:rsidP="001A0501">
            <w:pPr>
              <w:spacing w:before="60" w:after="60"/>
              <w:jc w:val="center"/>
              <w:rPr>
                <w:rFonts w:cs="Calibri"/>
                <w:szCs w:val="22"/>
              </w:rPr>
            </w:pPr>
            <w:r w:rsidRPr="00176147">
              <w:rPr>
                <w:rFonts w:cs="Calibri"/>
                <w:sz w:val="20"/>
                <w:szCs w:val="22"/>
              </w:rPr>
              <w:t>VND 148 billion</w:t>
            </w:r>
          </w:p>
        </w:tc>
      </w:tr>
      <w:tr w:rsidR="00F73B5B" w:rsidRPr="00176147" w14:paraId="2604AE30" w14:textId="77777777" w:rsidTr="008D04B1">
        <w:trPr>
          <w:cantSplit/>
        </w:trPr>
        <w:tc>
          <w:tcPr>
            <w:tcW w:w="700" w:type="dxa"/>
            <w:tcBorders>
              <w:bottom w:val="single" w:sz="8" w:space="0" w:color="000000"/>
            </w:tcBorders>
            <w:tcMar>
              <w:top w:w="70" w:type="dxa"/>
              <w:left w:w="110" w:type="dxa"/>
              <w:bottom w:w="70" w:type="dxa"/>
              <w:right w:w="110" w:type="dxa"/>
            </w:tcMar>
          </w:tcPr>
          <w:p w14:paraId="2BE7F9EC" w14:textId="77777777" w:rsidR="00F73B5B" w:rsidRPr="00176147" w:rsidRDefault="00F73B5B" w:rsidP="001A0501">
            <w:pPr>
              <w:spacing w:before="60" w:after="60"/>
              <w:jc w:val="left"/>
              <w:rPr>
                <w:rFonts w:cs="Calibri"/>
                <w:szCs w:val="22"/>
              </w:rPr>
            </w:pPr>
            <w:r w:rsidRPr="00176147">
              <w:rPr>
                <w:rFonts w:cs="Calibri"/>
                <w:sz w:val="20"/>
                <w:szCs w:val="22"/>
              </w:rPr>
              <w:t>4</w:t>
            </w:r>
          </w:p>
        </w:tc>
        <w:tc>
          <w:tcPr>
            <w:tcW w:w="5960" w:type="dxa"/>
            <w:tcBorders>
              <w:bottom w:val="single" w:sz="8" w:space="0" w:color="000000"/>
            </w:tcBorders>
            <w:tcMar>
              <w:top w:w="70" w:type="dxa"/>
              <w:left w:w="110" w:type="dxa"/>
              <w:bottom w:w="70" w:type="dxa"/>
              <w:right w:w="110" w:type="dxa"/>
            </w:tcMar>
          </w:tcPr>
          <w:p w14:paraId="7D6B9B90" w14:textId="77777777" w:rsidR="00F73B5B" w:rsidRPr="00176147" w:rsidRDefault="00F73B5B" w:rsidP="001A0501">
            <w:pPr>
              <w:spacing w:before="60" w:after="60"/>
              <w:jc w:val="center"/>
              <w:rPr>
                <w:rFonts w:cs="Calibri"/>
                <w:szCs w:val="22"/>
              </w:rPr>
            </w:pPr>
            <w:r w:rsidRPr="00176147">
              <w:rPr>
                <w:rFonts w:cs="Calibri"/>
                <w:sz w:val="20"/>
                <w:szCs w:val="22"/>
              </w:rPr>
              <w:t>Released capital multiplied by implied cost of debt of 5.05%</w:t>
            </w:r>
          </w:p>
        </w:tc>
        <w:tc>
          <w:tcPr>
            <w:tcW w:w="2700" w:type="dxa"/>
            <w:tcBorders>
              <w:bottom w:val="single" w:sz="8" w:space="0" w:color="000000"/>
            </w:tcBorders>
            <w:tcMar>
              <w:top w:w="70" w:type="dxa"/>
              <w:left w:w="110" w:type="dxa"/>
              <w:bottom w:w="70" w:type="dxa"/>
              <w:right w:w="110" w:type="dxa"/>
            </w:tcMar>
          </w:tcPr>
          <w:p w14:paraId="243BD26F" w14:textId="77777777" w:rsidR="00F73B5B" w:rsidRPr="00176147" w:rsidRDefault="00F73B5B" w:rsidP="001A0501">
            <w:pPr>
              <w:spacing w:before="60" w:after="60"/>
              <w:jc w:val="center"/>
              <w:rPr>
                <w:rFonts w:cs="Calibri"/>
                <w:szCs w:val="22"/>
              </w:rPr>
            </w:pPr>
            <w:r w:rsidRPr="00176147">
              <w:rPr>
                <w:rFonts w:cs="Calibri"/>
                <w:sz w:val="20"/>
                <w:szCs w:val="22"/>
              </w:rPr>
              <w:t>VND 7.5 billion per year</w:t>
            </w:r>
          </w:p>
        </w:tc>
      </w:tr>
    </w:tbl>
    <w:p w14:paraId="1C9B3451" w14:textId="77777777" w:rsidR="00F73B5B" w:rsidRPr="00176147" w:rsidRDefault="00F73B5B" w:rsidP="001A0501">
      <w:pPr>
        <w:spacing w:before="80" w:after="240"/>
        <w:jc w:val="left"/>
        <w:rPr>
          <w:rFonts w:cs="Calibri"/>
          <w:szCs w:val="22"/>
        </w:rPr>
      </w:pPr>
      <w:r>
        <w:rPr>
          <w:i/>
          <w:sz w:val="18"/>
        </w:rPr>
        <w:t xml:space="preserve">Note. </w:t>
      </w:r>
      <w:r>
        <w:rPr>
          <w:sz w:val="18"/>
        </w:rPr>
        <w:t>Closing the payables gap to the peer mean would release approximately VND 148 billion, carrying an annual financing cost of about VND 7.5 billion at the company's current cost of debt.</w:t>
      </w:r>
    </w:p>
    <w:p w14:paraId="0932C8D8" w14:textId="77777777" w:rsidR="00995A96" w:rsidRPr="00176147" w:rsidRDefault="00995A96" w:rsidP="001A0501">
      <w:pPr>
        <w:rPr>
          <w:rFonts w:cs="Calibri"/>
          <w:szCs w:val="22"/>
        </w:rPr>
      </w:pPr>
      <w:r w:rsidRPr="00176147">
        <w:rPr>
          <w:rFonts w:cs="Calibri"/>
          <w:szCs w:val="22"/>
        </w:rPr>
        <w:t>Two qualifications are essential, and neither is a formality.</w:t>
      </w:r>
    </w:p>
    <w:p w14:paraId="7C4FA988" w14:textId="77777777" w:rsidR="00995A96" w:rsidRPr="00176147" w:rsidRDefault="00995A96" w:rsidP="001A0501">
      <w:pPr>
        <w:rPr>
          <w:rFonts w:cs="Calibri"/>
          <w:szCs w:val="22"/>
        </w:rPr>
      </w:pPr>
      <w:r w:rsidRPr="00176147">
        <w:rPr>
          <w:rFonts w:cs="Calibri"/>
          <w:szCs w:val="22"/>
        </w:rPr>
        <w:t>First, part of the gap is structural and cannot be closed. SKP's reported payables include non-trade items, so its 63.2 days overstates its true trade payables position. Sanko's figure partly reflects Japanese note-based settlement, a convention that does not exist in the Vietnamese market. A realistic target for NHH would capture some fraction of the 28.3-day gap, not all of it. This report deliberately does not estimate that fraction, because the published accounts do not contain the information needed to do so credibly.</w:t>
      </w:r>
    </w:p>
    <w:p w14:paraId="1727C6E9" w14:textId="77777777" w:rsidR="00995A96" w:rsidRPr="00176147" w:rsidRDefault="00995A96" w:rsidP="001A0501">
      <w:pPr>
        <w:rPr>
          <w:rFonts w:cs="Calibri"/>
          <w:szCs w:val="22"/>
        </w:rPr>
      </w:pPr>
      <w:r w:rsidRPr="00176147">
        <w:rPr>
          <w:rFonts w:cs="Calibri"/>
          <w:szCs w:val="22"/>
        </w:rPr>
        <w:t>Second, extending payment terms is not costless. Suppliers may price longer terms into unit costs, and early-settlement discounts may already be being captured. Neither is visible in published financial statements. A firm conclusion on whether NHH should pursue this would require the supplier contract terms and the discount schedule, which are internal information.</w:t>
      </w:r>
    </w:p>
    <w:p w14:paraId="6C069FE6" w14:textId="77777777" w:rsidR="00995A96" w:rsidRPr="00176147" w:rsidRDefault="00995A96" w:rsidP="001A0501">
      <w:pPr>
        <w:rPr>
          <w:rFonts w:cs="Calibri"/>
          <w:szCs w:val="22"/>
        </w:rPr>
      </w:pPr>
      <w:r w:rsidRPr="00176147">
        <w:rPr>
          <w:rFonts w:cs="Calibri"/>
          <w:szCs w:val="22"/>
        </w:rPr>
        <w:t>What can be said with confidence is narrower but still useful: the gap is large, it is concentrated in a single component of the cycle, and it is worth investigating with internal data. Given that NHH is currently funding a capacity expansion through equity issuance, capital released from working capital is non-dilutive funding, and its value to shareholders is therefore higher than the interest saving alone would suggest.</w:t>
      </w:r>
    </w:p>
    <w:p w14:paraId="553130CA" w14:textId="77777777" w:rsidR="00EB07AA" w:rsidRPr="00176147" w:rsidRDefault="00EB07AA"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7. Limitations and Sensitivities</w:t>
      </w:r>
    </w:p>
    <w:p w14:paraId="5B29A77F" w14:textId="77777777" w:rsidR="001813C1" w:rsidRPr="00176147" w:rsidRDefault="001813C1" w:rsidP="001A0501">
      <w:pPr>
        <w:rPr>
          <w:rFonts w:cs="Calibri"/>
          <w:szCs w:val="22"/>
        </w:rPr>
      </w:pPr>
      <w:r w:rsidRPr="00176147">
        <w:rPr>
          <w:rFonts w:cs="Calibri"/>
          <w:szCs w:val="22"/>
        </w:rPr>
        <w:t>The following would change or qualify the conclusions above.</w:t>
      </w:r>
    </w:p>
    <w:p w14:paraId="680BA57A"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lastRenderedPageBreak/>
        <w:t xml:space="preserve">Fiscal year misalignment. SKP Resources closes on 31 March and Sanko Gosei on 31 May. Their FY2025 figures therefore overlap mainly with calendar 2024. Comparisons are made on a fiscal-year-as-reported basis and no attempt has been made to </w:t>
      </w:r>
      <w:proofErr w:type="spellStart"/>
      <w:r w:rsidRPr="00176147">
        <w:rPr>
          <w:rFonts w:cs="Calibri"/>
          <w:szCs w:val="22"/>
        </w:rPr>
        <w:t>calendarise</w:t>
      </w:r>
      <w:proofErr w:type="spellEnd"/>
      <w:r w:rsidRPr="00176147">
        <w:rPr>
          <w:rFonts w:cs="Calibri"/>
          <w:szCs w:val="22"/>
        </w:rPr>
        <w:t xml:space="preserve"> them.</w:t>
      </w:r>
    </w:p>
    <w:p w14:paraId="21D81A34"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SKP payables cannot be split. Trade and other payables are reported as a single line in every SKP annual report. Its days payable is an upper bound and its cycle a lower bound. This is disclosed rather than estimated away.</w:t>
      </w:r>
    </w:p>
    <w:p w14:paraId="7A721168"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Accounting standards differ across the set: Vietnamese standards, Malaysian Financial Reporting Standards, Japanese GAAP and IFRS. At the level of the three working capital lines the differences are small, but they are not zero.</w:t>
      </w:r>
    </w:p>
    <w:p w14:paraId="0512BECB"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Receivables financing is not visible. If any company in the set factors receivables or discounts notes, its days sales outstanding is understated. Note discounting is common practice in Japan. Published disclosure is not sufficient to test this.</w:t>
      </w:r>
    </w:p>
    <w:p w14:paraId="3B2E1689"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Two-point average balances do not capture intra-year seasonality. A manufacturer with concentrated shipment windows may carry materially different working capital mid-year.</w:t>
      </w:r>
    </w:p>
    <w:p w14:paraId="722366B9"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The inventory reduction is not decomposed between price effect and volume effect. Resin prices fell over the period, and published accounts do not permit the two to be separated.</w:t>
      </w:r>
    </w:p>
    <w:p w14:paraId="5328C90F" w14:textId="77777777" w:rsidR="001813C1" w:rsidRPr="00176147" w:rsidRDefault="001813C1" w:rsidP="001A0501">
      <w:pPr>
        <w:pStyle w:val="ListParagraph"/>
        <w:numPr>
          <w:ilvl w:val="0"/>
          <w:numId w:val="8"/>
        </w:numPr>
        <w:spacing w:after="100"/>
        <w:rPr>
          <w:rFonts w:cs="Calibri"/>
          <w:szCs w:val="22"/>
        </w:rPr>
      </w:pPr>
      <w:r w:rsidRPr="00176147">
        <w:rPr>
          <w:rFonts w:cs="Calibri"/>
          <w:szCs w:val="22"/>
        </w:rPr>
        <w:t>FY2023 return ratios use closing balances. The FY2022 balance sheet was obtained for receivables, inventory and payables but not for total assets, so return on assets, return on equity and the DuPont decomposition for FY2023 are indicative only. The cash conversion cycle is not affected.</w:t>
      </w:r>
    </w:p>
    <w:p w14:paraId="5EB6160B" w14:textId="77777777" w:rsidR="00320537" w:rsidRPr="00176147" w:rsidRDefault="001813C1" w:rsidP="001A0501">
      <w:pPr>
        <w:rPr>
          <w:rFonts w:cs="Calibri"/>
          <w:szCs w:val="22"/>
        </w:rPr>
      </w:pPr>
      <w:r w:rsidRPr="00176147">
        <w:rPr>
          <w:rFonts w:cs="Calibri"/>
          <w:szCs w:val="22"/>
        </w:rPr>
        <w:t xml:space="preserve">One further observation deserves note rather than adjustment. NHH's effective tax rate rose from 20.2% in FY2023 to 26.1% in FY2025, above the statutory rate. The company disclosed tax assessments and penalties </w:t>
      </w:r>
      <w:proofErr w:type="spellStart"/>
      <w:r w:rsidRPr="00176147">
        <w:rPr>
          <w:rFonts w:cs="Calibri"/>
          <w:szCs w:val="22"/>
        </w:rPr>
        <w:t>totalling</w:t>
      </w:r>
      <w:proofErr w:type="spellEnd"/>
      <w:r w:rsidRPr="00176147">
        <w:rPr>
          <w:rFonts w:cs="Calibri"/>
          <w:szCs w:val="22"/>
        </w:rPr>
        <w:t xml:space="preserve"> over VND 4 billion during the period, which may account for part of the movement. This does not affect the working capital analysis but would need to be understood before drawing conclusions about earnings quality.</w:t>
      </w:r>
    </w:p>
    <w:p w14:paraId="0A789CC9" w14:textId="77777777" w:rsidR="00EB07AA" w:rsidRPr="00176147" w:rsidRDefault="008475EA"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8. Conclusion and Next Steps</w:t>
      </w:r>
    </w:p>
    <w:p w14:paraId="50237700" w14:textId="77777777" w:rsidR="00A96E2F" w:rsidRPr="00176147" w:rsidRDefault="00A96E2F" w:rsidP="001A0501">
      <w:pPr>
        <w:rPr>
          <w:rFonts w:cs="Calibri"/>
          <w:szCs w:val="22"/>
        </w:rPr>
      </w:pPr>
      <w:r w:rsidRPr="00176147">
        <w:rPr>
          <w:rFonts w:cs="Calibri"/>
          <w:szCs w:val="22"/>
        </w:rPr>
        <w:t xml:space="preserve">NHH has run a successful working capital </w:t>
      </w:r>
      <w:proofErr w:type="spellStart"/>
      <w:r w:rsidRPr="00176147">
        <w:rPr>
          <w:rFonts w:cs="Calibri"/>
          <w:szCs w:val="22"/>
        </w:rPr>
        <w:t>programme</w:t>
      </w:r>
      <w:proofErr w:type="spellEnd"/>
      <w:r w:rsidRPr="00176147">
        <w:rPr>
          <w:rFonts w:cs="Calibri"/>
          <w:szCs w:val="22"/>
        </w:rPr>
        <w:t xml:space="preserve"> over the past two years, and the result is visible: 14.4 days of cycle time removed, worth approximately VND 91 billion. That </w:t>
      </w:r>
      <w:proofErr w:type="spellStart"/>
      <w:r w:rsidRPr="00176147">
        <w:rPr>
          <w:rFonts w:cs="Calibri"/>
          <w:szCs w:val="22"/>
        </w:rPr>
        <w:t>programme</w:t>
      </w:r>
      <w:proofErr w:type="spellEnd"/>
      <w:r w:rsidRPr="00176147">
        <w:rPr>
          <w:rFonts w:cs="Calibri"/>
          <w:szCs w:val="22"/>
        </w:rPr>
        <w:t xml:space="preserve"> has, however, concentrated almost entirely on inventory. The receivables position was already strong relative to </w:t>
      </w:r>
      <w:r w:rsidRPr="00176147">
        <w:rPr>
          <w:rFonts w:cs="Calibri"/>
          <w:szCs w:val="22"/>
        </w:rPr>
        <w:lastRenderedPageBreak/>
        <w:t>comparable manufacturers and has little room to improve. The payables position is the outlier, and it has moved in the wrong direction over the same period.</w:t>
      </w:r>
    </w:p>
    <w:p w14:paraId="7B992CBD" w14:textId="77777777" w:rsidR="00A96E2F" w:rsidRPr="00176147" w:rsidRDefault="00A96E2F" w:rsidP="001A0501">
      <w:pPr>
        <w:rPr>
          <w:rFonts w:cs="Calibri"/>
          <w:szCs w:val="22"/>
        </w:rPr>
      </w:pPr>
      <w:r w:rsidRPr="00176147">
        <w:rPr>
          <w:rFonts w:cs="Calibri"/>
          <w:szCs w:val="22"/>
        </w:rPr>
        <w:t xml:space="preserve">The company therefore appears to be operating a funding model in which it extends </w:t>
      </w:r>
      <w:proofErr w:type="spellStart"/>
      <w:r w:rsidRPr="00176147">
        <w:rPr>
          <w:rFonts w:cs="Calibri"/>
          <w:szCs w:val="22"/>
        </w:rPr>
        <w:t>favourable</w:t>
      </w:r>
      <w:proofErr w:type="spellEnd"/>
      <w:r w:rsidRPr="00176147">
        <w:rPr>
          <w:rFonts w:cs="Calibri"/>
          <w:szCs w:val="22"/>
        </w:rPr>
        <w:t xml:space="preserve"> terms to suppliers while receiving relatively </w:t>
      </w:r>
      <w:proofErr w:type="spellStart"/>
      <w:r w:rsidRPr="00176147">
        <w:rPr>
          <w:rFonts w:cs="Calibri"/>
          <w:szCs w:val="22"/>
        </w:rPr>
        <w:t>favourable</w:t>
      </w:r>
      <w:proofErr w:type="spellEnd"/>
      <w:r w:rsidRPr="00176147">
        <w:rPr>
          <w:rFonts w:cs="Calibri"/>
          <w:szCs w:val="22"/>
        </w:rPr>
        <w:t xml:space="preserve"> terms from customers. Whether that is a deliberate commercial choice — for instance to secure resin supply or capture settlement discounts — or an unexamined legacy of past practice cannot be determined from published information. That question is the natural next piece of work.</w:t>
      </w:r>
    </w:p>
    <w:p w14:paraId="3E564486" w14:textId="77777777" w:rsidR="00A96E2F" w:rsidRPr="00176147" w:rsidRDefault="00A96E2F" w:rsidP="001A0501">
      <w:pPr>
        <w:rPr>
          <w:rFonts w:cs="Calibri"/>
          <w:szCs w:val="22"/>
        </w:rPr>
      </w:pPr>
      <w:r w:rsidRPr="00176147">
        <w:rPr>
          <w:rFonts w:cs="Calibri"/>
          <w:szCs w:val="22"/>
        </w:rPr>
        <w:t>Four steps would resolve it, each requiring internal data:</w:t>
      </w:r>
    </w:p>
    <w:p w14:paraId="0E8F97E2" w14:textId="77777777" w:rsidR="00A96E2F" w:rsidRPr="00176147" w:rsidRDefault="00A96E2F" w:rsidP="001A0501">
      <w:pPr>
        <w:pStyle w:val="ListParagraph"/>
        <w:numPr>
          <w:ilvl w:val="0"/>
          <w:numId w:val="8"/>
        </w:numPr>
        <w:spacing w:after="100"/>
        <w:rPr>
          <w:rFonts w:cs="Calibri"/>
          <w:szCs w:val="22"/>
        </w:rPr>
      </w:pPr>
      <w:r w:rsidRPr="00176147">
        <w:rPr>
          <w:rFonts w:cs="Calibri"/>
          <w:szCs w:val="22"/>
        </w:rPr>
        <w:t>Review supplier contract terms against actual settlement dates, to establish whether NHH is paying earlier than contractually required.</w:t>
      </w:r>
    </w:p>
    <w:p w14:paraId="35C26C5A" w14:textId="77777777" w:rsidR="00A96E2F" w:rsidRPr="00176147" w:rsidRDefault="00A96E2F" w:rsidP="001A0501">
      <w:pPr>
        <w:pStyle w:val="ListParagraph"/>
        <w:numPr>
          <w:ilvl w:val="0"/>
          <w:numId w:val="8"/>
        </w:numPr>
        <w:spacing w:after="100"/>
        <w:rPr>
          <w:rFonts w:cs="Calibri"/>
          <w:szCs w:val="22"/>
        </w:rPr>
      </w:pPr>
      <w:r w:rsidRPr="00176147">
        <w:rPr>
          <w:rFonts w:cs="Calibri"/>
          <w:szCs w:val="22"/>
        </w:rPr>
        <w:t xml:space="preserve">Quantify early-settlement discounts currently being captured, and compare the effective </w:t>
      </w:r>
      <w:proofErr w:type="spellStart"/>
      <w:r w:rsidRPr="00176147">
        <w:rPr>
          <w:rFonts w:cs="Calibri"/>
          <w:szCs w:val="22"/>
        </w:rPr>
        <w:t>annualised</w:t>
      </w:r>
      <w:proofErr w:type="spellEnd"/>
      <w:r w:rsidRPr="00176147">
        <w:rPr>
          <w:rFonts w:cs="Calibri"/>
          <w:szCs w:val="22"/>
        </w:rPr>
        <w:t xml:space="preserve"> return against the 5.05% cost of debt.</w:t>
      </w:r>
    </w:p>
    <w:p w14:paraId="7EC39BD2" w14:textId="77777777" w:rsidR="00A96E2F" w:rsidRPr="00176147" w:rsidRDefault="00A96E2F" w:rsidP="001A0501">
      <w:pPr>
        <w:pStyle w:val="ListParagraph"/>
        <w:numPr>
          <w:ilvl w:val="0"/>
          <w:numId w:val="8"/>
        </w:numPr>
        <w:spacing w:after="100"/>
        <w:rPr>
          <w:rFonts w:cs="Calibri"/>
          <w:szCs w:val="22"/>
        </w:rPr>
      </w:pPr>
      <w:proofErr w:type="spellStart"/>
      <w:r w:rsidRPr="00176147">
        <w:rPr>
          <w:rFonts w:cs="Calibri"/>
          <w:szCs w:val="22"/>
        </w:rPr>
        <w:t>Analyse</w:t>
      </w:r>
      <w:proofErr w:type="spellEnd"/>
      <w:r w:rsidRPr="00176147">
        <w:rPr>
          <w:rFonts w:cs="Calibri"/>
          <w:szCs w:val="22"/>
        </w:rPr>
        <w:t xml:space="preserve"> receivables ageing by customer, to test whether the strong headline receivable days conceals concentration in a small number of slow accounts.</w:t>
      </w:r>
    </w:p>
    <w:p w14:paraId="313DD368" w14:textId="77777777" w:rsidR="00A96E2F" w:rsidRPr="00176147" w:rsidRDefault="00A96E2F" w:rsidP="001A0501">
      <w:pPr>
        <w:pStyle w:val="ListParagraph"/>
        <w:numPr>
          <w:ilvl w:val="0"/>
          <w:numId w:val="8"/>
        </w:numPr>
        <w:spacing w:after="100"/>
        <w:rPr>
          <w:rFonts w:cs="Calibri"/>
          <w:szCs w:val="22"/>
        </w:rPr>
      </w:pPr>
      <w:r w:rsidRPr="00176147">
        <w:rPr>
          <w:rFonts w:cs="Calibri"/>
          <w:szCs w:val="22"/>
        </w:rPr>
        <w:t xml:space="preserve">Split inventory days between the </w:t>
      </w:r>
      <w:proofErr w:type="spellStart"/>
      <w:r w:rsidRPr="00176147">
        <w:rPr>
          <w:rFonts w:cs="Calibri"/>
          <w:szCs w:val="22"/>
        </w:rPr>
        <w:t>moulding</w:t>
      </w:r>
      <w:proofErr w:type="spellEnd"/>
      <w:r w:rsidRPr="00176147">
        <w:rPr>
          <w:rFonts w:cs="Calibri"/>
          <w:szCs w:val="22"/>
        </w:rPr>
        <w:t xml:space="preserve"> and tooling businesses, since the two carry materially different natural cycles and a blended figure may be obscuring both.</w:t>
      </w:r>
    </w:p>
    <w:p w14:paraId="2BE40A09" w14:textId="77777777" w:rsidR="00320537" w:rsidRPr="00176147" w:rsidRDefault="00A96E2F" w:rsidP="001A0501">
      <w:pPr>
        <w:rPr>
          <w:rFonts w:cs="Calibri"/>
          <w:szCs w:val="22"/>
        </w:rPr>
      </w:pPr>
      <w:r w:rsidRPr="00176147">
        <w:rPr>
          <w:rFonts w:cs="Calibri"/>
          <w:szCs w:val="22"/>
        </w:rPr>
        <w:t>The method applied here is portable. Any contract manufacturer with published accounts and a comparable peer set can be assessed the same way, and the decomposition step — rather than the headline cycle — is where the insight consistently sits.</w:t>
      </w:r>
    </w:p>
    <w:p w14:paraId="6661B929" w14:textId="77777777" w:rsidR="00F75814" w:rsidRPr="00176147" w:rsidRDefault="00F75814"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Appendix A. Peer Set Specification</w:t>
      </w:r>
    </w:p>
    <w:p w14:paraId="4E093515" w14:textId="77777777" w:rsidR="009C3279" w:rsidRDefault="002825F9" w:rsidP="001A0501">
      <w:pPr>
        <w:keepNext/>
        <w:spacing w:before="240" w:after="0"/>
        <w:jc w:val="left"/>
      </w:pPr>
      <w:r>
        <w:rPr>
          <w:b/>
          <w:sz w:val="20"/>
        </w:rPr>
        <w:t>Table 6</w:t>
      </w:r>
    </w:p>
    <w:p w14:paraId="524642A4" w14:textId="77777777" w:rsidR="009C3279" w:rsidRDefault="002825F9" w:rsidP="001A0501">
      <w:pPr>
        <w:keepNext/>
        <w:spacing w:after="80"/>
        <w:jc w:val="left"/>
      </w:pPr>
      <w:r>
        <w:rPr>
          <w:i/>
          <w:sz w:val="20"/>
        </w:rPr>
        <w:t>Peer Set Specification</w:t>
      </w:r>
    </w:p>
    <w:tbl>
      <w:tblPr>
        <w:tblW w:w="9360" w:type="dxa"/>
        <w:tblCellMar>
          <w:left w:w="10" w:type="dxa"/>
          <w:right w:w="10" w:type="dxa"/>
        </w:tblCellMar>
        <w:tblLook w:val="04A0" w:firstRow="1" w:lastRow="0" w:firstColumn="1" w:lastColumn="0" w:noHBand="0" w:noVBand="1"/>
      </w:tblPr>
      <w:tblGrid>
        <w:gridCol w:w="1738"/>
        <w:gridCol w:w="1282"/>
        <w:gridCol w:w="960"/>
        <w:gridCol w:w="889"/>
        <w:gridCol w:w="970"/>
        <w:gridCol w:w="3521"/>
      </w:tblGrid>
      <w:tr w:rsidR="00B115F5" w:rsidRPr="00176147" w14:paraId="262D98B1" w14:textId="77777777" w:rsidTr="008D04B1">
        <w:trPr>
          <w:cantSplit/>
          <w:tblHeader/>
        </w:trPr>
        <w:tc>
          <w:tcPr>
            <w:tcW w:w="1760" w:type="dxa"/>
            <w:tcBorders>
              <w:top w:val="single" w:sz="8" w:space="0" w:color="000000"/>
              <w:bottom w:val="single" w:sz="6" w:space="0" w:color="000000"/>
            </w:tcBorders>
            <w:tcMar>
              <w:top w:w="80" w:type="dxa"/>
              <w:left w:w="110" w:type="dxa"/>
              <w:bottom w:w="80" w:type="dxa"/>
              <w:right w:w="110" w:type="dxa"/>
            </w:tcMar>
          </w:tcPr>
          <w:p w14:paraId="6C776983" w14:textId="77777777" w:rsidR="00B115F5" w:rsidRPr="00176147" w:rsidRDefault="00B115F5" w:rsidP="001A0501">
            <w:pPr>
              <w:spacing w:before="60" w:after="60"/>
              <w:jc w:val="left"/>
              <w:rPr>
                <w:rFonts w:cs="Calibri"/>
                <w:szCs w:val="22"/>
              </w:rPr>
            </w:pPr>
            <w:r w:rsidRPr="00176147">
              <w:rPr>
                <w:rFonts w:cs="Calibri"/>
                <w:b/>
                <w:bCs/>
                <w:sz w:val="20"/>
                <w:szCs w:val="22"/>
              </w:rPr>
              <w:t>Company</w:t>
            </w:r>
          </w:p>
        </w:tc>
        <w:tc>
          <w:tcPr>
            <w:tcW w:w="1300" w:type="dxa"/>
            <w:tcBorders>
              <w:top w:val="single" w:sz="8" w:space="0" w:color="000000"/>
              <w:bottom w:val="single" w:sz="6" w:space="0" w:color="000000"/>
            </w:tcBorders>
            <w:tcMar>
              <w:top w:w="80" w:type="dxa"/>
              <w:left w:w="110" w:type="dxa"/>
              <w:bottom w:w="80" w:type="dxa"/>
              <w:right w:w="110" w:type="dxa"/>
            </w:tcMar>
          </w:tcPr>
          <w:p w14:paraId="3C17C1EC" w14:textId="77777777" w:rsidR="00B115F5" w:rsidRPr="00176147" w:rsidRDefault="00B115F5" w:rsidP="001A0501">
            <w:pPr>
              <w:spacing w:before="60" w:after="60"/>
              <w:jc w:val="center"/>
              <w:rPr>
                <w:rFonts w:cs="Calibri"/>
                <w:szCs w:val="22"/>
              </w:rPr>
            </w:pPr>
            <w:r w:rsidRPr="00176147">
              <w:rPr>
                <w:rFonts w:cs="Calibri"/>
                <w:b/>
                <w:bCs/>
                <w:sz w:val="20"/>
                <w:szCs w:val="22"/>
              </w:rPr>
              <w:t>Listing</w:t>
            </w:r>
          </w:p>
        </w:tc>
        <w:tc>
          <w:tcPr>
            <w:tcW w:w="900" w:type="dxa"/>
            <w:tcBorders>
              <w:top w:val="single" w:sz="8" w:space="0" w:color="000000"/>
              <w:bottom w:val="single" w:sz="6" w:space="0" w:color="000000"/>
            </w:tcBorders>
            <w:tcMar>
              <w:top w:w="80" w:type="dxa"/>
              <w:left w:w="110" w:type="dxa"/>
              <w:bottom w:w="80" w:type="dxa"/>
              <w:right w:w="110" w:type="dxa"/>
            </w:tcMar>
          </w:tcPr>
          <w:p w14:paraId="767753F9" w14:textId="77777777" w:rsidR="00B115F5" w:rsidRPr="00176147" w:rsidRDefault="00B115F5" w:rsidP="001A0501">
            <w:pPr>
              <w:spacing w:before="60" w:after="60"/>
              <w:jc w:val="center"/>
              <w:rPr>
                <w:rFonts w:cs="Calibri"/>
                <w:szCs w:val="22"/>
              </w:rPr>
            </w:pPr>
            <w:r w:rsidRPr="00176147">
              <w:rPr>
                <w:rFonts w:cs="Calibri"/>
                <w:b/>
                <w:bCs/>
                <w:sz w:val="20"/>
                <w:szCs w:val="22"/>
              </w:rPr>
              <w:t>Currency</w:t>
            </w:r>
          </w:p>
        </w:tc>
        <w:tc>
          <w:tcPr>
            <w:tcW w:w="900" w:type="dxa"/>
            <w:tcBorders>
              <w:top w:val="single" w:sz="8" w:space="0" w:color="000000"/>
              <w:bottom w:val="single" w:sz="6" w:space="0" w:color="000000"/>
            </w:tcBorders>
            <w:tcMar>
              <w:top w:w="80" w:type="dxa"/>
              <w:left w:w="110" w:type="dxa"/>
              <w:bottom w:w="80" w:type="dxa"/>
              <w:right w:w="110" w:type="dxa"/>
            </w:tcMar>
          </w:tcPr>
          <w:p w14:paraId="5ADD5E1C" w14:textId="77777777" w:rsidR="00B115F5" w:rsidRPr="00176147" w:rsidRDefault="00B115F5" w:rsidP="001A0501">
            <w:pPr>
              <w:spacing w:before="60" w:after="60"/>
              <w:jc w:val="center"/>
              <w:rPr>
                <w:rFonts w:cs="Calibri"/>
                <w:szCs w:val="22"/>
              </w:rPr>
            </w:pPr>
            <w:r w:rsidRPr="00176147">
              <w:rPr>
                <w:rFonts w:cs="Calibri"/>
                <w:b/>
                <w:bCs/>
                <w:sz w:val="20"/>
                <w:szCs w:val="22"/>
              </w:rPr>
              <w:t>FY end</w:t>
            </w:r>
          </w:p>
        </w:tc>
        <w:tc>
          <w:tcPr>
            <w:tcW w:w="900" w:type="dxa"/>
            <w:tcBorders>
              <w:top w:val="single" w:sz="8" w:space="0" w:color="000000"/>
              <w:bottom w:val="single" w:sz="6" w:space="0" w:color="000000"/>
            </w:tcBorders>
            <w:tcMar>
              <w:top w:w="80" w:type="dxa"/>
              <w:left w:w="110" w:type="dxa"/>
              <w:bottom w:w="80" w:type="dxa"/>
              <w:right w:w="110" w:type="dxa"/>
            </w:tcMar>
          </w:tcPr>
          <w:p w14:paraId="79702C50" w14:textId="77777777" w:rsidR="00B115F5" w:rsidRPr="00176147" w:rsidRDefault="00B115F5" w:rsidP="001A0501">
            <w:pPr>
              <w:spacing w:before="60" w:after="60"/>
              <w:jc w:val="center"/>
              <w:rPr>
                <w:rFonts w:cs="Calibri"/>
                <w:szCs w:val="22"/>
              </w:rPr>
            </w:pPr>
            <w:r w:rsidRPr="00176147">
              <w:rPr>
                <w:rFonts w:cs="Calibri"/>
                <w:b/>
                <w:bCs/>
                <w:sz w:val="20"/>
                <w:szCs w:val="22"/>
              </w:rPr>
              <w:t>Standard</w:t>
            </w:r>
          </w:p>
        </w:tc>
        <w:tc>
          <w:tcPr>
            <w:tcW w:w="3600" w:type="dxa"/>
            <w:tcBorders>
              <w:top w:val="single" w:sz="8" w:space="0" w:color="000000"/>
              <w:bottom w:val="single" w:sz="6" w:space="0" w:color="000000"/>
            </w:tcBorders>
            <w:tcMar>
              <w:top w:w="80" w:type="dxa"/>
              <w:left w:w="110" w:type="dxa"/>
              <w:bottom w:w="80" w:type="dxa"/>
              <w:right w:w="110" w:type="dxa"/>
            </w:tcMar>
          </w:tcPr>
          <w:p w14:paraId="5F60F897" w14:textId="77777777" w:rsidR="00B115F5" w:rsidRPr="00176147" w:rsidRDefault="00B115F5" w:rsidP="001A0501">
            <w:pPr>
              <w:spacing w:before="60" w:after="60"/>
              <w:jc w:val="center"/>
              <w:rPr>
                <w:rFonts w:cs="Calibri"/>
                <w:szCs w:val="22"/>
              </w:rPr>
            </w:pPr>
            <w:r w:rsidRPr="00176147">
              <w:rPr>
                <w:rFonts w:cs="Calibri"/>
                <w:b/>
                <w:bCs/>
                <w:sz w:val="20"/>
                <w:szCs w:val="22"/>
              </w:rPr>
              <w:t>Role</w:t>
            </w:r>
          </w:p>
        </w:tc>
      </w:tr>
      <w:tr w:rsidR="00B115F5" w:rsidRPr="00176147" w14:paraId="4A1E97BF" w14:textId="77777777" w:rsidTr="008D04B1">
        <w:trPr>
          <w:cantSplit/>
        </w:trPr>
        <w:tc>
          <w:tcPr>
            <w:tcW w:w="1760" w:type="dxa"/>
            <w:tcMar>
              <w:top w:w="70" w:type="dxa"/>
              <w:left w:w="110" w:type="dxa"/>
              <w:bottom w:w="70" w:type="dxa"/>
              <w:right w:w="110" w:type="dxa"/>
            </w:tcMar>
          </w:tcPr>
          <w:p w14:paraId="3E477DFE" w14:textId="77777777" w:rsidR="00B115F5" w:rsidRPr="00176147" w:rsidRDefault="00B115F5" w:rsidP="001A0501">
            <w:pPr>
              <w:spacing w:before="60" w:after="60"/>
              <w:jc w:val="left"/>
              <w:rPr>
                <w:rFonts w:cs="Calibri"/>
                <w:szCs w:val="22"/>
              </w:rPr>
            </w:pPr>
            <w:proofErr w:type="spellStart"/>
            <w:r w:rsidRPr="00176147">
              <w:rPr>
                <w:rFonts w:cs="Calibri"/>
                <w:sz w:val="20"/>
                <w:szCs w:val="22"/>
              </w:rPr>
              <w:t>Nhựa</w:t>
            </w:r>
            <w:proofErr w:type="spellEnd"/>
            <w:r w:rsidRPr="00176147">
              <w:rPr>
                <w:rFonts w:cs="Calibri"/>
                <w:sz w:val="20"/>
                <w:szCs w:val="22"/>
              </w:rPr>
              <w:t xml:space="preserve"> Hà </w:t>
            </w:r>
            <w:proofErr w:type="spellStart"/>
            <w:r w:rsidRPr="00176147">
              <w:rPr>
                <w:rFonts w:cs="Calibri"/>
                <w:sz w:val="20"/>
                <w:szCs w:val="22"/>
              </w:rPr>
              <w:t>Nội</w:t>
            </w:r>
            <w:proofErr w:type="spellEnd"/>
          </w:p>
        </w:tc>
        <w:tc>
          <w:tcPr>
            <w:tcW w:w="1300" w:type="dxa"/>
            <w:tcMar>
              <w:top w:w="70" w:type="dxa"/>
              <w:left w:w="110" w:type="dxa"/>
              <w:bottom w:w="70" w:type="dxa"/>
              <w:right w:w="110" w:type="dxa"/>
            </w:tcMar>
          </w:tcPr>
          <w:p w14:paraId="57B93BE2" w14:textId="77777777" w:rsidR="00B115F5" w:rsidRPr="00176147" w:rsidRDefault="00B115F5" w:rsidP="001A0501">
            <w:pPr>
              <w:spacing w:before="60" w:after="60"/>
              <w:jc w:val="center"/>
              <w:rPr>
                <w:rFonts w:cs="Calibri"/>
                <w:szCs w:val="22"/>
              </w:rPr>
            </w:pPr>
            <w:r w:rsidRPr="00176147">
              <w:rPr>
                <w:rFonts w:cs="Calibri"/>
                <w:sz w:val="20"/>
                <w:szCs w:val="22"/>
              </w:rPr>
              <w:t>HNX: NHH</w:t>
            </w:r>
          </w:p>
        </w:tc>
        <w:tc>
          <w:tcPr>
            <w:tcW w:w="900" w:type="dxa"/>
            <w:tcMar>
              <w:top w:w="70" w:type="dxa"/>
              <w:left w:w="110" w:type="dxa"/>
              <w:bottom w:w="70" w:type="dxa"/>
              <w:right w:w="110" w:type="dxa"/>
            </w:tcMar>
          </w:tcPr>
          <w:p w14:paraId="783B394B" w14:textId="77777777" w:rsidR="00B115F5" w:rsidRPr="00176147" w:rsidRDefault="00B115F5" w:rsidP="001A0501">
            <w:pPr>
              <w:spacing w:before="60" w:after="60"/>
              <w:jc w:val="center"/>
              <w:rPr>
                <w:rFonts w:cs="Calibri"/>
                <w:szCs w:val="22"/>
              </w:rPr>
            </w:pPr>
            <w:r w:rsidRPr="00176147">
              <w:rPr>
                <w:rFonts w:cs="Calibri"/>
                <w:sz w:val="20"/>
                <w:szCs w:val="22"/>
              </w:rPr>
              <w:t>VND</w:t>
            </w:r>
          </w:p>
        </w:tc>
        <w:tc>
          <w:tcPr>
            <w:tcW w:w="900" w:type="dxa"/>
            <w:tcMar>
              <w:top w:w="70" w:type="dxa"/>
              <w:left w:w="110" w:type="dxa"/>
              <w:bottom w:w="70" w:type="dxa"/>
              <w:right w:w="110" w:type="dxa"/>
            </w:tcMar>
          </w:tcPr>
          <w:p w14:paraId="1311FD8A" w14:textId="77777777" w:rsidR="00B115F5" w:rsidRPr="00176147" w:rsidRDefault="00B115F5" w:rsidP="001A0501">
            <w:pPr>
              <w:spacing w:before="60" w:after="60"/>
              <w:jc w:val="center"/>
              <w:rPr>
                <w:rFonts w:cs="Calibri"/>
                <w:szCs w:val="22"/>
              </w:rPr>
            </w:pPr>
            <w:r w:rsidRPr="00176147">
              <w:rPr>
                <w:rFonts w:cs="Calibri"/>
                <w:sz w:val="20"/>
                <w:szCs w:val="22"/>
              </w:rPr>
              <w:t>31 Dec</w:t>
            </w:r>
          </w:p>
        </w:tc>
        <w:tc>
          <w:tcPr>
            <w:tcW w:w="900" w:type="dxa"/>
            <w:tcMar>
              <w:top w:w="70" w:type="dxa"/>
              <w:left w:w="110" w:type="dxa"/>
              <w:bottom w:w="70" w:type="dxa"/>
              <w:right w:w="110" w:type="dxa"/>
            </w:tcMar>
          </w:tcPr>
          <w:p w14:paraId="34386463" w14:textId="77777777" w:rsidR="00B115F5" w:rsidRPr="00176147" w:rsidRDefault="00B115F5" w:rsidP="001A0501">
            <w:pPr>
              <w:spacing w:before="60" w:after="60"/>
              <w:jc w:val="center"/>
              <w:rPr>
                <w:rFonts w:cs="Calibri"/>
                <w:szCs w:val="22"/>
              </w:rPr>
            </w:pPr>
            <w:r w:rsidRPr="00176147">
              <w:rPr>
                <w:rFonts w:cs="Calibri"/>
                <w:sz w:val="20"/>
                <w:szCs w:val="22"/>
              </w:rPr>
              <w:t>VAS</w:t>
            </w:r>
          </w:p>
        </w:tc>
        <w:tc>
          <w:tcPr>
            <w:tcW w:w="3600" w:type="dxa"/>
            <w:tcMar>
              <w:top w:w="70" w:type="dxa"/>
              <w:left w:w="110" w:type="dxa"/>
              <w:bottom w:w="70" w:type="dxa"/>
              <w:right w:w="110" w:type="dxa"/>
            </w:tcMar>
          </w:tcPr>
          <w:p w14:paraId="726FE7DA" w14:textId="77777777" w:rsidR="00B115F5" w:rsidRPr="00176147" w:rsidRDefault="00B115F5" w:rsidP="001A0501">
            <w:pPr>
              <w:spacing w:before="60" w:after="60"/>
              <w:jc w:val="center"/>
              <w:rPr>
                <w:rFonts w:cs="Calibri"/>
                <w:szCs w:val="22"/>
              </w:rPr>
            </w:pPr>
            <w:r w:rsidRPr="00176147">
              <w:rPr>
                <w:rFonts w:cs="Calibri"/>
                <w:sz w:val="20"/>
                <w:szCs w:val="22"/>
              </w:rPr>
              <w:t>Subject</w:t>
            </w:r>
          </w:p>
        </w:tc>
      </w:tr>
      <w:tr w:rsidR="00B115F5" w:rsidRPr="00176147" w14:paraId="2A0DC66A" w14:textId="77777777" w:rsidTr="008D04B1">
        <w:trPr>
          <w:cantSplit/>
        </w:trPr>
        <w:tc>
          <w:tcPr>
            <w:tcW w:w="1760" w:type="dxa"/>
            <w:tcMar>
              <w:top w:w="70" w:type="dxa"/>
              <w:left w:w="110" w:type="dxa"/>
              <w:bottom w:w="70" w:type="dxa"/>
              <w:right w:w="110" w:type="dxa"/>
            </w:tcMar>
          </w:tcPr>
          <w:p w14:paraId="12B0567A" w14:textId="77777777" w:rsidR="00B115F5" w:rsidRPr="00176147" w:rsidRDefault="00B115F5" w:rsidP="001A0501">
            <w:pPr>
              <w:spacing w:before="60" w:after="60"/>
              <w:jc w:val="left"/>
              <w:rPr>
                <w:rFonts w:cs="Calibri"/>
                <w:szCs w:val="22"/>
              </w:rPr>
            </w:pPr>
            <w:r w:rsidRPr="00176147">
              <w:rPr>
                <w:rFonts w:cs="Calibri"/>
                <w:sz w:val="20"/>
                <w:szCs w:val="22"/>
              </w:rPr>
              <w:t>SKP Resources</w:t>
            </w:r>
          </w:p>
        </w:tc>
        <w:tc>
          <w:tcPr>
            <w:tcW w:w="1300" w:type="dxa"/>
            <w:tcMar>
              <w:top w:w="70" w:type="dxa"/>
              <w:left w:w="110" w:type="dxa"/>
              <w:bottom w:w="70" w:type="dxa"/>
              <w:right w:w="110" w:type="dxa"/>
            </w:tcMar>
          </w:tcPr>
          <w:p w14:paraId="11F242DE" w14:textId="77777777" w:rsidR="00B115F5" w:rsidRPr="00176147" w:rsidRDefault="00B115F5" w:rsidP="001A0501">
            <w:pPr>
              <w:spacing w:before="60" w:after="60"/>
              <w:jc w:val="center"/>
              <w:rPr>
                <w:rFonts w:cs="Calibri"/>
                <w:szCs w:val="22"/>
              </w:rPr>
            </w:pPr>
            <w:r w:rsidRPr="00176147">
              <w:rPr>
                <w:rFonts w:cs="Calibri"/>
                <w:sz w:val="20"/>
                <w:szCs w:val="22"/>
              </w:rPr>
              <w:t>Bursa: SKP</w:t>
            </w:r>
          </w:p>
        </w:tc>
        <w:tc>
          <w:tcPr>
            <w:tcW w:w="900" w:type="dxa"/>
            <w:tcMar>
              <w:top w:w="70" w:type="dxa"/>
              <w:left w:w="110" w:type="dxa"/>
              <w:bottom w:w="70" w:type="dxa"/>
              <w:right w:w="110" w:type="dxa"/>
            </w:tcMar>
          </w:tcPr>
          <w:p w14:paraId="15FBE923" w14:textId="77777777" w:rsidR="00B115F5" w:rsidRPr="00176147" w:rsidRDefault="00B115F5" w:rsidP="001A0501">
            <w:pPr>
              <w:spacing w:before="60" w:after="60"/>
              <w:jc w:val="center"/>
              <w:rPr>
                <w:rFonts w:cs="Calibri"/>
                <w:szCs w:val="22"/>
              </w:rPr>
            </w:pPr>
            <w:r w:rsidRPr="00176147">
              <w:rPr>
                <w:rFonts w:cs="Calibri"/>
                <w:sz w:val="20"/>
                <w:szCs w:val="22"/>
              </w:rPr>
              <w:t>MYR</w:t>
            </w:r>
          </w:p>
        </w:tc>
        <w:tc>
          <w:tcPr>
            <w:tcW w:w="900" w:type="dxa"/>
            <w:tcMar>
              <w:top w:w="70" w:type="dxa"/>
              <w:left w:w="110" w:type="dxa"/>
              <w:bottom w:w="70" w:type="dxa"/>
              <w:right w:w="110" w:type="dxa"/>
            </w:tcMar>
          </w:tcPr>
          <w:p w14:paraId="7C2B96D0" w14:textId="77777777" w:rsidR="00B115F5" w:rsidRPr="00176147" w:rsidRDefault="00B115F5" w:rsidP="001A0501">
            <w:pPr>
              <w:spacing w:before="60" w:after="60"/>
              <w:jc w:val="center"/>
              <w:rPr>
                <w:rFonts w:cs="Calibri"/>
                <w:szCs w:val="22"/>
              </w:rPr>
            </w:pPr>
            <w:r w:rsidRPr="00176147">
              <w:rPr>
                <w:rFonts w:cs="Calibri"/>
                <w:sz w:val="20"/>
                <w:szCs w:val="22"/>
              </w:rPr>
              <w:t>31 Mar</w:t>
            </w:r>
          </w:p>
        </w:tc>
        <w:tc>
          <w:tcPr>
            <w:tcW w:w="900" w:type="dxa"/>
            <w:tcMar>
              <w:top w:w="70" w:type="dxa"/>
              <w:left w:w="110" w:type="dxa"/>
              <w:bottom w:w="70" w:type="dxa"/>
              <w:right w:w="110" w:type="dxa"/>
            </w:tcMar>
          </w:tcPr>
          <w:p w14:paraId="2F45A51F" w14:textId="77777777" w:rsidR="00B115F5" w:rsidRPr="00176147" w:rsidRDefault="00B115F5" w:rsidP="001A0501">
            <w:pPr>
              <w:spacing w:before="60" w:after="60"/>
              <w:jc w:val="center"/>
              <w:rPr>
                <w:rFonts w:cs="Calibri"/>
                <w:szCs w:val="22"/>
              </w:rPr>
            </w:pPr>
            <w:r w:rsidRPr="00176147">
              <w:rPr>
                <w:rFonts w:cs="Calibri"/>
                <w:sz w:val="20"/>
                <w:szCs w:val="22"/>
              </w:rPr>
              <w:t>MFRS</w:t>
            </w:r>
          </w:p>
        </w:tc>
        <w:tc>
          <w:tcPr>
            <w:tcW w:w="3600" w:type="dxa"/>
            <w:tcMar>
              <w:top w:w="70" w:type="dxa"/>
              <w:left w:w="110" w:type="dxa"/>
              <w:bottom w:w="70" w:type="dxa"/>
              <w:right w:w="110" w:type="dxa"/>
            </w:tcMar>
          </w:tcPr>
          <w:p w14:paraId="1DDC5DF8" w14:textId="77777777" w:rsidR="00B115F5" w:rsidRPr="00176147" w:rsidRDefault="00B115F5" w:rsidP="001A0501">
            <w:pPr>
              <w:spacing w:before="60" w:after="60"/>
              <w:jc w:val="center"/>
              <w:rPr>
                <w:rFonts w:cs="Calibri"/>
                <w:szCs w:val="22"/>
              </w:rPr>
            </w:pPr>
            <w:r w:rsidRPr="00176147">
              <w:rPr>
                <w:rFonts w:cs="Calibri"/>
                <w:sz w:val="20"/>
                <w:szCs w:val="22"/>
              </w:rPr>
              <w:t>Structural peer; single customer c.70% of revenue</w:t>
            </w:r>
          </w:p>
        </w:tc>
      </w:tr>
      <w:tr w:rsidR="00B115F5" w:rsidRPr="00176147" w14:paraId="354A7C39" w14:textId="77777777" w:rsidTr="008D04B1">
        <w:trPr>
          <w:cantSplit/>
        </w:trPr>
        <w:tc>
          <w:tcPr>
            <w:tcW w:w="1760" w:type="dxa"/>
            <w:tcMar>
              <w:top w:w="70" w:type="dxa"/>
              <w:left w:w="110" w:type="dxa"/>
              <w:bottom w:w="70" w:type="dxa"/>
              <w:right w:w="110" w:type="dxa"/>
            </w:tcMar>
          </w:tcPr>
          <w:p w14:paraId="6D81A9BF" w14:textId="77777777" w:rsidR="00B115F5" w:rsidRPr="00176147" w:rsidRDefault="00B115F5" w:rsidP="001A0501">
            <w:pPr>
              <w:spacing w:before="60" w:after="60"/>
              <w:jc w:val="left"/>
              <w:rPr>
                <w:rFonts w:cs="Calibri"/>
                <w:szCs w:val="22"/>
              </w:rPr>
            </w:pPr>
            <w:r w:rsidRPr="00176147">
              <w:rPr>
                <w:rFonts w:cs="Calibri"/>
                <w:sz w:val="20"/>
                <w:szCs w:val="22"/>
              </w:rPr>
              <w:lastRenderedPageBreak/>
              <w:t>Sanko Gosei</w:t>
            </w:r>
          </w:p>
        </w:tc>
        <w:tc>
          <w:tcPr>
            <w:tcW w:w="1300" w:type="dxa"/>
            <w:tcMar>
              <w:top w:w="70" w:type="dxa"/>
              <w:left w:w="110" w:type="dxa"/>
              <w:bottom w:w="70" w:type="dxa"/>
              <w:right w:w="110" w:type="dxa"/>
            </w:tcMar>
          </w:tcPr>
          <w:p w14:paraId="2259EB0A" w14:textId="77777777" w:rsidR="00B115F5" w:rsidRPr="00176147" w:rsidRDefault="00B115F5" w:rsidP="001A0501">
            <w:pPr>
              <w:spacing w:before="60" w:after="60"/>
              <w:jc w:val="center"/>
              <w:rPr>
                <w:rFonts w:cs="Calibri"/>
                <w:szCs w:val="22"/>
              </w:rPr>
            </w:pPr>
            <w:r w:rsidRPr="00176147">
              <w:rPr>
                <w:rFonts w:cs="Calibri"/>
                <w:sz w:val="20"/>
                <w:szCs w:val="22"/>
              </w:rPr>
              <w:t>TSE: 7888</w:t>
            </w:r>
          </w:p>
        </w:tc>
        <w:tc>
          <w:tcPr>
            <w:tcW w:w="900" w:type="dxa"/>
            <w:tcMar>
              <w:top w:w="70" w:type="dxa"/>
              <w:left w:w="110" w:type="dxa"/>
              <w:bottom w:w="70" w:type="dxa"/>
              <w:right w:w="110" w:type="dxa"/>
            </w:tcMar>
          </w:tcPr>
          <w:p w14:paraId="6E9AB2C6" w14:textId="77777777" w:rsidR="00B115F5" w:rsidRPr="00176147" w:rsidRDefault="00B115F5" w:rsidP="001A0501">
            <w:pPr>
              <w:spacing w:before="60" w:after="60"/>
              <w:jc w:val="center"/>
              <w:rPr>
                <w:rFonts w:cs="Calibri"/>
                <w:szCs w:val="22"/>
              </w:rPr>
            </w:pPr>
            <w:r w:rsidRPr="00176147">
              <w:rPr>
                <w:rFonts w:cs="Calibri"/>
                <w:sz w:val="20"/>
                <w:szCs w:val="22"/>
              </w:rPr>
              <w:t>JPY</w:t>
            </w:r>
          </w:p>
        </w:tc>
        <w:tc>
          <w:tcPr>
            <w:tcW w:w="900" w:type="dxa"/>
            <w:tcMar>
              <w:top w:w="70" w:type="dxa"/>
              <w:left w:w="110" w:type="dxa"/>
              <w:bottom w:w="70" w:type="dxa"/>
              <w:right w:w="110" w:type="dxa"/>
            </w:tcMar>
          </w:tcPr>
          <w:p w14:paraId="3FC95575" w14:textId="77777777" w:rsidR="00B115F5" w:rsidRPr="00176147" w:rsidRDefault="00B115F5" w:rsidP="001A0501">
            <w:pPr>
              <w:spacing w:before="60" w:after="60"/>
              <w:jc w:val="center"/>
              <w:rPr>
                <w:rFonts w:cs="Calibri"/>
                <w:szCs w:val="22"/>
              </w:rPr>
            </w:pPr>
            <w:r w:rsidRPr="00176147">
              <w:rPr>
                <w:rFonts w:cs="Calibri"/>
                <w:sz w:val="20"/>
                <w:szCs w:val="22"/>
              </w:rPr>
              <w:t>31 May</w:t>
            </w:r>
          </w:p>
        </w:tc>
        <w:tc>
          <w:tcPr>
            <w:tcW w:w="900" w:type="dxa"/>
            <w:tcMar>
              <w:top w:w="70" w:type="dxa"/>
              <w:left w:w="110" w:type="dxa"/>
              <w:bottom w:w="70" w:type="dxa"/>
              <w:right w:w="110" w:type="dxa"/>
            </w:tcMar>
          </w:tcPr>
          <w:p w14:paraId="29E04957" w14:textId="77777777" w:rsidR="00B115F5" w:rsidRPr="00176147" w:rsidRDefault="00B115F5" w:rsidP="001A0501">
            <w:pPr>
              <w:spacing w:before="60" w:after="60"/>
              <w:jc w:val="center"/>
              <w:rPr>
                <w:rFonts w:cs="Calibri"/>
                <w:szCs w:val="22"/>
              </w:rPr>
            </w:pPr>
            <w:r w:rsidRPr="00176147">
              <w:rPr>
                <w:rFonts w:cs="Calibri"/>
                <w:sz w:val="20"/>
                <w:szCs w:val="22"/>
              </w:rPr>
              <w:t>JGAAP</w:t>
            </w:r>
          </w:p>
        </w:tc>
        <w:tc>
          <w:tcPr>
            <w:tcW w:w="3600" w:type="dxa"/>
            <w:tcMar>
              <w:top w:w="70" w:type="dxa"/>
              <w:left w:w="110" w:type="dxa"/>
              <w:bottom w:w="70" w:type="dxa"/>
              <w:right w:w="110" w:type="dxa"/>
            </w:tcMar>
          </w:tcPr>
          <w:p w14:paraId="1C6A4E4C" w14:textId="77777777" w:rsidR="00B115F5" w:rsidRPr="00176147" w:rsidRDefault="00B115F5" w:rsidP="001A0501">
            <w:pPr>
              <w:spacing w:before="60" w:after="60"/>
              <w:jc w:val="center"/>
              <w:rPr>
                <w:rFonts w:cs="Calibri"/>
                <w:szCs w:val="22"/>
              </w:rPr>
            </w:pPr>
            <w:r w:rsidRPr="00176147">
              <w:rPr>
                <w:rFonts w:cs="Calibri"/>
                <w:sz w:val="20"/>
                <w:szCs w:val="22"/>
              </w:rPr>
              <w:t xml:space="preserve">Structural peer; </w:t>
            </w:r>
            <w:proofErr w:type="spellStart"/>
            <w:r w:rsidRPr="00176147">
              <w:rPr>
                <w:rFonts w:cs="Calibri"/>
                <w:sz w:val="20"/>
                <w:szCs w:val="22"/>
              </w:rPr>
              <w:t>moulding</w:t>
            </w:r>
            <w:proofErr w:type="spellEnd"/>
            <w:r w:rsidRPr="00176147">
              <w:rPr>
                <w:rFonts w:cs="Calibri"/>
                <w:sz w:val="20"/>
                <w:szCs w:val="22"/>
              </w:rPr>
              <w:t xml:space="preserve"> and </w:t>
            </w:r>
            <w:proofErr w:type="spellStart"/>
            <w:r w:rsidRPr="00176147">
              <w:rPr>
                <w:rFonts w:cs="Calibri"/>
                <w:sz w:val="20"/>
                <w:szCs w:val="22"/>
              </w:rPr>
              <w:t>mould</w:t>
            </w:r>
            <w:proofErr w:type="spellEnd"/>
            <w:r w:rsidRPr="00176147">
              <w:rPr>
                <w:rFonts w:cs="Calibri"/>
                <w:sz w:val="20"/>
                <w:szCs w:val="22"/>
              </w:rPr>
              <w:t xml:space="preserve"> dies; no customer above 10%</w:t>
            </w:r>
          </w:p>
        </w:tc>
      </w:tr>
      <w:tr w:rsidR="00B115F5" w:rsidRPr="00176147" w14:paraId="02ABFD16" w14:textId="77777777" w:rsidTr="008D04B1">
        <w:trPr>
          <w:cantSplit/>
        </w:trPr>
        <w:tc>
          <w:tcPr>
            <w:tcW w:w="1760" w:type="dxa"/>
            <w:tcMar>
              <w:top w:w="70" w:type="dxa"/>
              <w:left w:w="110" w:type="dxa"/>
              <w:bottom w:w="70" w:type="dxa"/>
              <w:right w:w="110" w:type="dxa"/>
            </w:tcMar>
          </w:tcPr>
          <w:p w14:paraId="058C5C8B" w14:textId="77777777" w:rsidR="00B115F5" w:rsidRPr="00176147" w:rsidRDefault="00B115F5" w:rsidP="001A0501">
            <w:pPr>
              <w:spacing w:before="60" w:after="60"/>
              <w:jc w:val="left"/>
              <w:rPr>
                <w:rFonts w:cs="Calibri"/>
                <w:szCs w:val="22"/>
              </w:rPr>
            </w:pPr>
            <w:proofErr w:type="spellStart"/>
            <w:r w:rsidRPr="00176147">
              <w:rPr>
                <w:rFonts w:cs="Calibri"/>
                <w:sz w:val="20"/>
                <w:szCs w:val="22"/>
              </w:rPr>
              <w:t>Nolato</w:t>
            </w:r>
            <w:proofErr w:type="spellEnd"/>
            <w:r w:rsidRPr="00176147">
              <w:rPr>
                <w:rFonts w:cs="Calibri"/>
                <w:sz w:val="20"/>
                <w:szCs w:val="22"/>
              </w:rPr>
              <w:t xml:space="preserve"> AB</w:t>
            </w:r>
          </w:p>
        </w:tc>
        <w:tc>
          <w:tcPr>
            <w:tcW w:w="1300" w:type="dxa"/>
            <w:tcMar>
              <w:top w:w="70" w:type="dxa"/>
              <w:left w:w="110" w:type="dxa"/>
              <w:bottom w:w="70" w:type="dxa"/>
              <w:right w:w="110" w:type="dxa"/>
            </w:tcMar>
          </w:tcPr>
          <w:p w14:paraId="74C6FF0F" w14:textId="77777777" w:rsidR="00B115F5" w:rsidRPr="00176147" w:rsidRDefault="00B115F5" w:rsidP="001A0501">
            <w:pPr>
              <w:spacing w:before="60" w:after="60"/>
              <w:jc w:val="center"/>
              <w:rPr>
                <w:rFonts w:cs="Calibri"/>
                <w:szCs w:val="22"/>
              </w:rPr>
            </w:pPr>
            <w:r w:rsidRPr="00176147">
              <w:rPr>
                <w:rFonts w:cs="Calibri"/>
                <w:sz w:val="20"/>
                <w:szCs w:val="22"/>
              </w:rPr>
              <w:t>STO: NOLA-B</w:t>
            </w:r>
          </w:p>
        </w:tc>
        <w:tc>
          <w:tcPr>
            <w:tcW w:w="900" w:type="dxa"/>
            <w:tcMar>
              <w:top w:w="70" w:type="dxa"/>
              <w:left w:w="110" w:type="dxa"/>
              <w:bottom w:w="70" w:type="dxa"/>
              <w:right w:w="110" w:type="dxa"/>
            </w:tcMar>
          </w:tcPr>
          <w:p w14:paraId="1133D5FE" w14:textId="77777777" w:rsidR="00B115F5" w:rsidRPr="00176147" w:rsidRDefault="00B115F5" w:rsidP="001A0501">
            <w:pPr>
              <w:spacing w:before="60" w:after="60"/>
              <w:jc w:val="center"/>
              <w:rPr>
                <w:rFonts w:cs="Calibri"/>
                <w:szCs w:val="22"/>
              </w:rPr>
            </w:pPr>
            <w:r w:rsidRPr="00176147">
              <w:rPr>
                <w:rFonts w:cs="Calibri"/>
                <w:sz w:val="20"/>
                <w:szCs w:val="22"/>
              </w:rPr>
              <w:t>SEK</w:t>
            </w:r>
          </w:p>
        </w:tc>
        <w:tc>
          <w:tcPr>
            <w:tcW w:w="900" w:type="dxa"/>
            <w:tcMar>
              <w:top w:w="70" w:type="dxa"/>
              <w:left w:w="110" w:type="dxa"/>
              <w:bottom w:w="70" w:type="dxa"/>
              <w:right w:w="110" w:type="dxa"/>
            </w:tcMar>
          </w:tcPr>
          <w:p w14:paraId="0CA52859" w14:textId="77777777" w:rsidR="00B115F5" w:rsidRPr="00176147" w:rsidRDefault="00B115F5" w:rsidP="001A0501">
            <w:pPr>
              <w:spacing w:before="60" w:after="60"/>
              <w:jc w:val="center"/>
              <w:rPr>
                <w:rFonts w:cs="Calibri"/>
                <w:szCs w:val="22"/>
              </w:rPr>
            </w:pPr>
            <w:r w:rsidRPr="00176147">
              <w:rPr>
                <w:rFonts w:cs="Calibri"/>
                <w:sz w:val="20"/>
                <w:szCs w:val="22"/>
              </w:rPr>
              <w:t>31 Dec</w:t>
            </w:r>
          </w:p>
        </w:tc>
        <w:tc>
          <w:tcPr>
            <w:tcW w:w="900" w:type="dxa"/>
            <w:tcMar>
              <w:top w:w="70" w:type="dxa"/>
              <w:left w:w="110" w:type="dxa"/>
              <w:bottom w:w="70" w:type="dxa"/>
              <w:right w:w="110" w:type="dxa"/>
            </w:tcMar>
          </w:tcPr>
          <w:p w14:paraId="3709A537" w14:textId="77777777" w:rsidR="00B115F5" w:rsidRPr="00176147" w:rsidRDefault="00B115F5" w:rsidP="001A0501">
            <w:pPr>
              <w:spacing w:before="60" w:after="60"/>
              <w:jc w:val="center"/>
              <w:rPr>
                <w:rFonts w:cs="Calibri"/>
                <w:szCs w:val="22"/>
              </w:rPr>
            </w:pPr>
            <w:r w:rsidRPr="00176147">
              <w:rPr>
                <w:rFonts w:cs="Calibri"/>
                <w:sz w:val="20"/>
                <w:szCs w:val="22"/>
              </w:rPr>
              <w:t>IFRS</w:t>
            </w:r>
          </w:p>
        </w:tc>
        <w:tc>
          <w:tcPr>
            <w:tcW w:w="3600" w:type="dxa"/>
            <w:tcMar>
              <w:top w:w="70" w:type="dxa"/>
              <w:left w:w="110" w:type="dxa"/>
              <w:bottom w:w="70" w:type="dxa"/>
              <w:right w:w="110" w:type="dxa"/>
            </w:tcMar>
          </w:tcPr>
          <w:p w14:paraId="08140261" w14:textId="77777777" w:rsidR="00B115F5" w:rsidRPr="00176147" w:rsidRDefault="00B115F5" w:rsidP="001A0501">
            <w:pPr>
              <w:spacing w:before="60" w:after="60"/>
              <w:jc w:val="center"/>
              <w:rPr>
                <w:rFonts w:cs="Calibri"/>
                <w:szCs w:val="22"/>
              </w:rPr>
            </w:pPr>
            <w:r w:rsidRPr="00176147">
              <w:rPr>
                <w:rFonts w:cs="Calibri"/>
                <w:sz w:val="20"/>
                <w:szCs w:val="22"/>
              </w:rPr>
              <w:t>Global best-practice reference</w:t>
            </w:r>
          </w:p>
        </w:tc>
      </w:tr>
      <w:tr w:rsidR="00B115F5" w:rsidRPr="00176147" w14:paraId="2CC4942A" w14:textId="77777777" w:rsidTr="008D04B1">
        <w:trPr>
          <w:cantSplit/>
        </w:trPr>
        <w:tc>
          <w:tcPr>
            <w:tcW w:w="1760" w:type="dxa"/>
            <w:tcMar>
              <w:top w:w="70" w:type="dxa"/>
              <w:left w:w="110" w:type="dxa"/>
              <w:bottom w:w="70" w:type="dxa"/>
              <w:right w:w="110" w:type="dxa"/>
            </w:tcMar>
          </w:tcPr>
          <w:p w14:paraId="1B18F12A" w14:textId="77777777" w:rsidR="00B115F5" w:rsidRPr="00176147" w:rsidRDefault="00B115F5" w:rsidP="001A0501">
            <w:pPr>
              <w:spacing w:before="60" w:after="60"/>
              <w:jc w:val="left"/>
              <w:rPr>
                <w:rFonts w:cs="Calibri"/>
                <w:szCs w:val="22"/>
              </w:rPr>
            </w:pPr>
            <w:proofErr w:type="spellStart"/>
            <w:r w:rsidRPr="00176147">
              <w:rPr>
                <w:rFonts w:cs="Calibri"/>
                <w:sz w:val="20"/>
                <w:szCs w:val="22"/>
              </w:rPr>
              <w:t>Nhựa</w:t>
            </w:r>
            <w:proofErr w:type="spellEnd"/>
            <w:r w:rsidRPr="00176147">
              <w:rPr>
                <w:rFonts w:cs="Calibri"/>
                <w:sz w:val="20"/>
                <w:szCs w:val="22"/>
              </w:rPr>
              <w:t xml:space="preserve"> </w:t>
            </w:r>
            <w:proofErr w:type="spellStart"/>
            <w:r w:rsidRPr="00176147">
              <w:rPr>
                <w:rFonts w:cs="Calibri"/>
                <w:sz w:val="20"/>
                <w:szCs w:val="22"/>
              </w:rPr>
              <w:t>Tiền</w:t>
            </w:r>
            <w:proofErr w:type="spellEnd"/>
            <w:r w:rsidRPr="00176147">
              <w:rPr>
                <w:rFonts w:cs="Calibri"/>
                <w:sz w:val="20"/>
                <w:szCs w:val="22"/>
              </w:rPr>
              <w:t xml:space="preserve"> Phong</w:t>
            </w:r>
          </w:p>
        </w:tc>
        <w:tc>
          <w:tcPr>
            <w:tcW w:w="1300" w:type="dxa"/>
            <w:tcMar>
              <w:top w:w="70" w:type="dxa"/>
              <w:left w:w="110" w:type="dxa"/>
              <w:bottom w:w="70" w:type="dxa"/>
              <w:right w:w="110" w:type="dxa"/>
            </w:tcMar>
          </w:tcPr>
          <w:p w14:paraId="26E88645" w14:textId="77777777" w:rsidR="00B115F5" w:rsidRPr="00176147" w:rsidRDefault="00B115F5" w:rsidP="001A0501">
            <w:pPr>
              <w:spacing w:before="60" w:after="60"/>
              <w:jc w:val="center"/>
              <w:rPr>
                <w:rFonts w:cs="Calibri"/>
                <w:szCs w:val="22"/>
              </w:rPr>
            </w:pPr>
            <w:r w:rsidRPr="00176147">
              <w:rPr>
                <w:rFonts w:cs="Calibri"/>
                <w:sz w:val="20"/>
                <w:szCs w:val="22"/>
              </w:rPr>
              <w:t>HNX: NTP</w:t>
            </w:r>
          </w:p>
        </w:tc>
        <w:tc>
          <w:tcPr>
            <w:tcW w:w="900" w:type="dxa"/>
            <w:tcMar>
              <w:top w:w="70" w:type="dxa"/>
              <w:left w:w="110" w:type="dxa"/>
              <w:bottom w:w="70" w:type="dxa"/>
              <w:right w:w="110" w:type="dxa"/>
            </w:tcMar>
          </w:tcPr>
          <w:p w14:paraId="4173BD6A" w14:textId="77777777" w:rsidR="00B115F5" w:rsidRPr="00176147" w:rsidRDefault="00B115F5" w:rsidP="001A0501">
            <w:pPr>
              <w:spacing w:before="60" w:after="60"/>
              <w:jc w:val="center"/>
              <w:rPr>
                <w:rFonts w:cs="Calibri"/>
                <w:szCs w:val="22"/>
              </w:rPr>
            </w:pPr>
            <w:r w:rsidRPr="00176147">
              <w:rPr>
                <w:rFonts w:cs="Calibri"/>
                <w:sz w:val="20"/>
                <w:szCs w:val="22"/>
              </w:rPr>
              <w:t>VND</w:t>
            </w:r>
          </w:p>
        </w:tc>
        <w:tc>
          <w:tcPr>
            <w:tcW w:w="900" w:type="dxa"/>
            <w:tcMar>
              <w:top w:w="70" w:type="dxa"/>
              <w:left w:w="110" w:type="dxa"/>
              <w:bottom w:w="70" w:type="dxa"/>
              <w:right w:w="110" w:type="dxa"/>
            </w:tcMar>
          </w:tcPr>
          <w:p w14:paraId="103655C4" w14:textId="77777777" w:rsidR="00B115F5" w:rsidRPr="00176147" w:rsidRDefault="00B115F5" w:rsidP="001A0501">
            <w:pPr>
              <w:spacing w:before="60" w:after="60"/>
              <w:jc w:val="center"/>
              <w:rPr>
                <w:rFonts w:cs="Calibri"/>
                <w:szCs w:val="22"/>
              </w:rPr>
            </w:pPr>
            <w:r w:rsidRPr="00176147">
              <w:rPr>
                <w:rFonts w:cs="Calibri"/>
                <w:sz w:val="20"/>
                <w:szCs w:val="22"/>
              </w:rPr>
              <w:t>31 Dec</w:t>
            </w:r>
          </w:p>
        </w:tc>
        <w:tc>
          <w:tcPr>
            <w:tcW w:w="900" w:type="dxa"/>
            <w:tcMar>
              <w:top w:w="70" w:type="dxa"/>
              <w:left w:w="110" w:type="dxa"/>
              <w:bottom w:w="70" w:type="dxa"/>
              <w:right w:w="110" w:type="dxa"/>
            </w:tcMar>
          </w:tcPr>
          <w:p w14:paraId="0F84F3E8" w14:textId="77777777" w:rsidR="00B115F5" w:rsidRPr="00176147" w:rsidRDefault="00B115F5" w:rsidP="001A0501">
            <w:pPr>
              <w:spacing w:before="60" w:after="60"/>
              <w:jc w:val="center"/>
              <w:rPr>
                <w:rFonts w:cs="Calibri"/>
                <w:szCs w:val="22"/>
              </w:rPr>
            </w:pPr>
            <w:r w:rsidRPr="00176147">
              <w:rPr>
                <w:rFonts w:cs="Calibri"/>
                <w:sz w:val="20"/>
                <w:szCs w:val="22"/>
              </w:rPr>
              <w:t>VAS</w:t>
            </w:r>
          </w:p>
        </w:tc>
        <w:tc>
          <w:tcPr>
            <w:tcW w:w="3600" w:type="dxa"/>
            <w:tcMar>
              <w:top w:w="70" w:type="dxa"/>
              <w:left w:w="110" w:type="dxa"/>
              <w:bottom w:w="70" w:type="dxa"/>
              <w:right w:w="110" w:type="dxa"/>
            </w:tcMar>
          </w:tcPr>
          <w:p w14:paraId="7A8DCB7E" w14:textId="77777777" w:rsidR="00B115F5" w:rsidRPr="00176147" w:rsidRDefault="00B115F5" w:rsidP="001A0501">
            <w:pPr>
              <w:spacing w:before="60" w:after="60"/>
              <w:jc w:val="center"/>
              <w:rPr>
                <w:rFonts w:cs="Calibri"/>
                <w:szCs w:val="22"/>
              </w:rPr>
            </w:pPr>
            <w:r w:rsidRPr="00176147">
              <w:rPr>
                <w:rFonts w:cs="Calibri"/>
                <w:sz w:val="20"/>
                <w:szCs w:val="22"/>
              </w:rPr>
              <w:t>Domestic control; distribution model</w:t>
            </w:r>
          </w:p>
        </w:tc>
      </w:tr>
      <w:tr w:rsidR="00B115F5" w:rsidRPr="00176147" w14:paraId="1A925645" w14:textId="77777777" w:rsidTr="008D04B1">
        <w:trPr>
          <w:cantSplit/>
        </w:trPr>
        <w:tc>
          <w:tcPr>
            <w:tcW w:w="1760" w:type="dxa"/>
            <w:tcBorders>
              <w:bottom w:val="single" w:sz="8" w:space="0" w:color="000000"/>
            </w:tcBorders>
            <w:tcMar>
              <w:top w:w="70" w:type="dxa"/>
              <w:left w:w="110" w:type="dxa"/>
              <w:bottom w:w="70" w:type="dxa"/>
              <w:right w:w="110" w:type="dxa"/>
            </w:tcMar>
          </w:tcPr>
          <w:p w14:paraId="0C74DE9C" w14:textId="77777777" w:rsidR="00B115F5" w:rsidRPr="00176147" w:rsidRDefault="00B115F5" w:rsidP="001A0501">
            <w:pPr>
              <w:spacing w:before="60" w:after="60"/>
              <w:jc w:val="left"/>
              <w:rPr>
                <w:rFonts w:cs="Calibri"/>
                <w:szCs w:val="22"/>
              </w:rPr>
            </w:pPr>
            <w:r w:rsidRPr="00176147">
              <w:rPr>
                <w:rFonts w:cs="Calibri"/>
                <w:sz w:val="20"/>
                <w:szCs w:val="22"/>
              </w:rPr>
              <w:t xml:space="preserve">An </w:t>
            </w:r>
            <w:proofErr w:type="spellStart"/>
            <w:r w:rsidRPr="00176147">
              <w:rPr>
                <w:rFonts w:cs="Calibri"/>
                <w:sz w:val="20"/>
                <w:szCs w:val="22"/>
              </w:rPr>
              <w:t>Phát</w:t>
            </w:r>
            <w:proofErr w:type="spellEnd"/>
            <w:r w:rsidRPr="00176147">
              <w:rPr>
                <w:rFonts w:cs="Calibri"/>
                <w:sz w:val="20"/>
                <w:szCs w:val="22"/>
              </w:rPr>
              <w:t xml:space="preserve"> Bioplastics</w:t>
            </w:r>
          </w:p>
        </w:tc>
        <w:tc>
          <w:tcPr>
            <w:tcW w:w="1300" w:type="dxa"/>
            <w:tcBorders>
              <w:bottom w:val="single" w:sz="8" w:space="0" w:color="000000"/>
            </w:tcBorders>
            <w:tcMar>
              <w:top w:w="70" w:type="dxa"/>
              <w:left w:w="110" w:type="dxa"/>
              <w:bottom w:w="70" w:type="dxa"/>
              <w:right w:w="110" w:type="dxa"/>
            </w:tcMar>
          </w:tcPr>
          <w:p w14:paraId="7A8CC7DB" w14:textId="77777777" w:rsidR="00B115F5" w:rsidRPr="00176147" w:rsidRDefault="00B115F5" w:rsidP="001A0501">
            <w:pPr>
              <w:spacing w:before="60" w:after="60"/>
              <w:jc w:val="center"/>
              <w:rPr>
                <w:rFonts w:cs="Calibri"/>
                <w:szCs w:val="22"/>
              </w:rPr>
            </w:pPr>
            <w:r w:rsidRPr="00176147">
              <w:rPr>
                <w:rFonts w:cs="Calibri"/>
                <w:sz w:val="20"/>
                <w:szCs w:val="22"/>
              </w:rPr>
              <w:t>HOSE: AAA</w:t>
            </w:r>
          </w:p>
        </w:tc>
        <w:tc>
          <w:tcPr>
            <w:tcW w:w="900" w:type="dxa"/>
            <w:tcBorders>
              <w:bottom w:val="single" w:sz="8" w:space="0" w:color="000000"/>
            </w:tcBorders>
            <w:tcMar>
              <w:top w:w="70" w:type="dxa"/>
              <w:left w:w="110" w:type="dxa"/>
              <w:bottom w:w="70" w:type="dxa"/>
              <w:right w:w="110" w:type="dxa"/>
            </w:tcMar>
          </w:tcPr>
          <w:p w14:paraId="05DC1DD0" w14:textId="77777777" w:rsidR="00B115F5" w:rsidRPr="00176147" w:rsidRDefault="00B115F5" w:rsidP="001A0501">
            <w:pPr>
              <w:spacing w:before="60" w:after="60"/>
              <w:jc w:val="center"/>
              <w:rPr>
                <w:rFonts w:cs="Calibri"/>
                <w:szCs w:val="22"/>
              </w:rPr>
            </w:pPr>
            <w:r w:rsidRPr="00176147">
              <w:rPr>
                <w:rFonts w:cs="Calibri"/>
                <w:sz w:val="20"/>
                <w:szCs w:val="22"/>
              </w:rPr>
              <w:t>VND</w:t>
            </w:r>
          </w:p>
        </w:tc>
        <w:tc>
          <w:tcPr>
            <w:tcW w:w="900" w:type="dxa"/>
            <w:tcBorders>
              <w:bottom w:val="single" w:sz="8" w:space="0" w:color="000000"/>
            </w:tcBorders>
            <w:tcMar>
              <w:top w:w="70" w:type="dxa"/>
              <w:left w:w="110" w:type="dxa"/>
              <w:bottom w:w="70" w:type="dxa"/>
              <w:right w:w="110" w:type="dxa"/>
            </w:tcMar>
          </w:tcPr>
          <w:p w14:paraId="687074C6" w14:textId="77777777" w:rsidR="00B115F5" w:rsidRPr="00176147" w:rsidRDefault="00B115F5" w:rsidP="001A0501">
            <w:pPr>
              <w:spacing w:before="60" w:after="60"/>
              <w:jc w:val="center"/>
              <w:rPr>
                <w:rFonts w:cs="Calibri"/>
                <w:szCs w:val="22"/>
              </w:rPr>
            </w:pPr>
            <w:r w:rsidRPr="00176147">
              <w:rPr>
                <w:rFonts w:cs="Calibri"/>
                <w:sz w:val="20"/>
                <w:szCs w:val="22"/>
              </w:rPr>
              <w:t>31 Dec</w:t>
            </w:r>
          </w:p>
        </w:tc>
        <w:tc>
          <w:tcPr>
            <w:tcW w:w="900" w:type="dxa"/>
            <w:tcBorders>
              <w:bottom w:val="single" w:sz="8" w:space="0" w:color="000000"/>
            </w:tcBorders>
            <w:tcMar>
              <w:top w:w="70" w:type="dxa"/>
              <w:left w:w="110" w:type="dxa"/>
              <w:bottom w:w="70" w:type="dxa"/>
              <w:right w:w="110" w:type="dxa"/>
            </w:tcMar>
          </w:tcPr>
          <w:p w14:paraId="3D3CC352" w14:textId="77777777" w:rsidR="00B115F5" w:rsidRPr="00176147" w:rsidRDefault="00B115F5" w:rsidP="001A0501">
            <w:pPr>
              <w:spacing w:before="60" w:after="60"/>
              <w:jc w:val="center"/>
              <w:rPr>
                <w:rFonts w:cs="Calibri"/>
                <w:szCs w:val="22"/>
              </w:rPr>
            </w:pPr>
            <w:r w:rsidRPr="00176147">
              <w:rPr>
                <w:rFonts w:cs="Calibri"/>
                <w:sz w:val="20"/>
                <w:szCs w:val="22"/>
              </w:rPr>
              <w:t>VAS</w:t>
            </w:r>
          </w:p>
        </w:tc>
        <w:tc>
          <w:tcPr>
            <w:tcW w:w="3600" w:type="dxa"/>
            <w:tcBorders>
              <w:bottom w:val="single" w:sz="8" w:space="0" w:color="000000"/>
            </w:tcBorders>
            <w:tcMar>
              <w:top w:w="70" w:type="dxa"/>
              <w:left w:w="110" w:type="dxa"/>
              <w:bottom w:w="70" w:type="dxa"/>
              <w:right w:w="110" w:type="dxa"/>
            </w:tcMar>
          </w:tcPr>
          <w:p w14:paraId="5F1DF023" w14:textId="77777777" w:rsidR="00B115F5" w:rsidRPr="00176147" w:rsidRDefault="00B115F5" w:rsidP="001A0501">
            <w:pPr>
              <w:spacing w:before="60" w:after="60"/>
              <w:jc w:val="center"/>
              <w:rPr>
                <w:rFonts w:cs="Calibri"/>
                <w:szCs w:val="22"/>
              </w:rPr>
            </w:pPr>
            <w:r w:rsidRPr="00176147">
              <w:rPr>
                <w:rFonts w:cs="Calibri"/>
                <w:sz w:val="20"/>
                <w:szCs w:val="22"/>
              </w:rPr>
              <w:t>Excluded — parent of NHH since 26 Sep 2024</w:t>
            </w:r>
          </w:p>
        </w:tc>
      </w:tr>
    </w:tbl>
    <w:p w14:paraId="7B044996" w14:textId="77777777" w:rsidR="00320537" w:rsidRPr="00176147" w:rsidRDefault="00320537" w:rsidP="001A0501">
      <w:pPr>
        <w:rPr>
          <w:rFonts w:cs="Calibri"/>
          <w:szCs w:val="22"/>
        </w:rPr>
      </w:pPr>
    </w:p>
    <w:p w14:paraId="6E880C5B" w14:textId="77777777" w:rsidR="009C3279" w:rsidRDefault="002825F9" w:rsidP="001A0501">
      <w:r>
        <w:t xml:space="preserve">An </w:t>
      </w:r>
      <w:proofErr w:type="spellStart"/>
      <w:r>
        <w:t>Phát</w:t>
      </w:r>
      <w:proofErr w:type="spellEnd"/>
      <w:r>
        <w:t xml:space="preserve"> Bioplastics (HOSE: AAA) meets every screening criterion for inclusion — same sector, same exchange, comparable scale — but was excluded on inspection of the ownership disclosures. It raised its holding in NHH from 47.44% to 62.75% on 26 September 2024 and has consolidated NHH as a subsidiary since that date, so its consolidated accounts contain the subject company in full. It is retained in the underlying model for completeness but excluded from every peer average in this report.</w:t>
      </w:r>
    </w:p>
    <w:p w14:paraId="12ACA13B" w14:textId="35107357" w:rsidR="00320537" w:rsidRPr="001A0501" w:rsidRDefault="00914B86"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Appendix B. Restatement of Vietnamese Accounting Standards to an Analytical Format</w:t>
      </w:r>
    </w:p>
    <w:p w14:paraId="03B21C4B" w14:textId="0A731E22" w:rsidR="009C3279" w:rsidRDefault="002825F9" w:rsidP="001A0501">
      <w:r>
        <w:t>NHH, NTP and AAA prepare their accounts under Vietnamese Accounting Standards, principally Circular 200/2014/TT-BTC. The statutory presentation differs from the format used by the international peers, so the following mapping was applied before any ratio was computed. The restatement is presentational</w:t>
      </w:r>
      <w:r w:rsidR="001A0501">
        <w:t>,</w:t>
      </w:r>
      <w:r>
        <w:t xml:space="preserve"> it re-groups disclosed line items and does not adjust any recognition or measurement.</w:t>
      </w:r>
    </w:p>
    <w:p w14:paraId="62F42423" w14:textId="77777777" w:rsidR="009C3279" w:rsidRDefault="002825F9" w:rsidP="001A0501">
      <w:pPr>
        <w:keepNext/>
        <w:spacing w:before="240" w:after="0"/>
        <w:jc w:val="left"/>
      </w:pPr>
      <w:r>
        <w:rPr>
          <w:b/>
          <w:sz w:val="20"/>
        </w:rPr>
        <w:t>Table B1</w:t>
      </w:r>
    </w:p>
    <w:p w14:paraId="4B1B4A13" w14:textId="77777777" w:rsidR="009C3279" w:rsidRDefault="002825F9" w:rsidP="001A0501">
      <w:pPr>
        <w:keepNext/>
        <w:spacing w:after="80"/>
        <w:jc w:val="left"/>
      </w:pPr>
      <w:r>
        <w:rPr>
          <w:i/>
          <w:sz w:val="20"/>
        </w:rPr>
        <w:t>Mapping of Vietnamese Statutory Line Items to the Analytical Format</w:t>
      </w:r>
    </w:p>
    <w:tbl>
      <w:tblPr>
        <w:tblW w:w="0" w:type="auto"/>
        <w:tblLook w:val="04A0" w:firstRow="1" w:lastRow="0" w:firstColumn="1" w:lastColumn="0" w:noHBand="0" w:noVBand="1"/>
      </w:tblPr>
      <w:tblGrid>
        <w:gridCol w:w="3120"/>
        <w:gridCol w:w="3120"/>
        <w:gridCol w:w="3120"/>
      </w:tblGrid>
      <w:tr w:rsidR="009C3279" w14:paraId="3CBF27E2" w14:textId="77777777">
        <w:trPr>
          <w:cantSplit/>
          <w:tblHeader/>
        </w:trPr>
        <w:tc>
          <w:tcPr>
            <w:tcW w:w="3120" w:type="dxa"/>
            <w:tcBorders>
              <w:top w:val="single" w:sz="8" w:space="0" w:color="000000"/>
              <w:bottom w:val="single" w:sz="6" w:space="0" w:color="000000"/>
            </w:tcBorders>
          </w:tcPr>
          <w:p w14:paraId="70F5A24D" w14:textId="77777777" w:rsidR="009C3279" w:rsidRDefault="002825F9" w:rsidP="001A0501">
            <w:pPr>
              <w:spacing w:before="60" w:after="60"/>
              <w:jc w:val="left"/>
            </w:pPr>
            <w:r>
              <w:rPr>
                <w:b/>
                <w:sz w:val="20"/>
              </w:rPr>
              <w:t>Analytical line</w:t>
            </w:r>
          </w:p>
        </w:tc>
        <w:tc>
          <w:tcPr>
            <w:tcW w:w="3120" w:type="dxa"/>
            <w:tcBorders>
              <w:top w:val="single" w:sz="8" w:space="0" w:color="000000"/>
              <w:bottom w:val="single" w:sz="6" w:space="0" w:color="000000"/>
            </w:tcBorders>
          </w:tcPr>
          <w:p w14:paraId="1A60574A" w14:textId="77777777" w:rsidR="009C3279" w:rsidRDefault="002825F9" w:rsidP="001A0501">
            <w:pPr>
              <w:spacing w:before="60" w:after="60"/>
              <w:jc w:val="center"/>
            </w:pPr>
            <w:r>
              <w:rPr>
                <w:b/>
                <w:sz w:val="20"/>
              </w:rPr>
              <w:t>VAS source (statement code)</w:t>
            </w:r>
          </w:p>
        </w:tc>
        <w:tc>
          <w:tcPr>
            <w:tcW w:w="3120" w:type="dxa"/>
            <w:tcBorders>
              <w:top w:val="single" w:sz="8" w:space="0" w:color="000000"/>
              <w:bottom w:val="single" w:sz="6" w:space="0" w:color="000000"/>
            </w:tcBorders>
          </w:tcPr>
          <w:p w14:paraId="7D017A56" w14:textId="77777777" w:rsidR="009C3279" w:rsidRDefault="002825F9" w:rsidP="001A0501">
            <w:pPr>
              <w:spacing w:before="60" w:after="60"/>
              <w:jc w:val="center"/>
            </w:pPr>
            <w:r>
              <w:rPr>
                <w:b/>
                <w:sz w:val="20"/>
              </w:rPr>
              <w:t>Treatment applied</w:t>
            </w:r>
          </w:p>
        </w:tc>
      </w:tr>
      <w:tr w:rsidR="009C3279" w14:paraId="15102963" w14:textId="77777777">
        <w:trPr>
          <w:cantSplit/>
        </w:trPr>
        <w:tc>
          <w:tcPr>
            <w:tcW w:w="3120" w:type="dxa"/>
          </w:tcPr>
          <w:p w14:paraId="0C69DFA6" w14:textId="77777777" w:rsidR="009C3279" w:rsidRDefault="002825F9" w:rsidP="001A0501">
            <w:pPr>
              <w:spacing w:before="60" w:after="60"/>
              <w:jc w:val="left"/>
            </w:pPr>
            <w:r>
              <w:rPr>
                <w:sz w:val="20"/>
              </w:rPr>
              <w:t>Trade receivables</w:t>
            </w:r>
          </w:p>
        </w:tc>
        <w:tc>
          <w:tcPr>
            <w:tcW w:w="3120" w:type="dxa"/>
          </w:tcPr>
          <w:p w14:paraId="54B58EE9" w14:textId="77777777" w:rsidR="009C3279" w:rsidRDefault="002825F9" w:rsidP="001A0501">
            <w:pPr>
              <w:spacing w:before="60" w:after="60"/>
              <w:jc w:val="center"/>
            </w:pPr>
            <w:r>
              <w:rPr>
                <w:sz w:val="20"/>
              </w:rPr>
              <w:t xml:space="preserve">TK 131 — </w:t>
            </w:r>
            <w:proofErr w:type="spellStart"/>
            <w:r>
              <w:rPr>
                <w:sz w:val="20"/>
              </w:rPr>
              <w:t>Phải</w:t>
            </w:r>
            <w:proofErr w:type="spellEnd"/>
            <w:r>
              <w:rPr>
                <w:sz w:val="20"/>
              </w:rPr>
              <w:t xml:space="preserve"> </w:t>
            </w:r>
            <w:proofErr w:type="spellStart"/>
            <w:r>
              <w:rPr>
                <w:sz w:val="20"/>
              </w:rPr>
              <w:t>thu</w:t>
            </w:r>
            <w:proofErr w:type="spellEnd"/>
            <w:r>
              <w:rPr>
                <w:sz w:val="20"/>
              </w:rPr>
              <w:t xml:space="preserve"> </w:t>
            </w:r>
            <w:proofErr w:type="spellStart"/>
            <w:r>
              <w:rPr>
                <w:sz w:val="20"/>
              </w:rPr>
              <w:t>khách</w:t>
            </w:r>
            <w:proofErr w:type="spellEnd"/>
            <w:r>
              <w:rPr>
                <w:sz w:val="20"/>
              </w:rPr>
              <w:t xml:space="preserve"> </w:t>
            </w:r>
            <w:proofErr w:type="spellStart"/>
            <w:r>
              <w:rPr>
                <w:sz w:val="20"/>
              </w:rPr>
              <w:t>hàng</w:t>
            </w:r>
            <w:proofErr w:type="spellEnd"/>
            <w:r>
              <w:rPr>
                <w:sz w:val="20"/>
              </w:rPr>
              <w:t xml:space="preserve"> (short term)</w:t>
            </w:r>
          </w:p>
        </w:tc>
        <w:tc>
          <w:tcPr>
            <w:tcW w:w="3120" w:type="dxa"/>
          </w:tcPr>
          <w:p w14:paraId="543875E8" w14:textId="77777777" w:rsidR="009C3279" w:rsidRDefault="002825F9" w:rsidP="001A0501">
            <w:pPr>
              <w:spacing w:before="60" w:after="60"/>
              <w:jc w:val="center"/>
            </w:pPr>
            <w:r>
              <w:rPr>
                <w:sz w:val="20"/>
              </w:rPr>
              <w:t>TK 131 only. The aggregate short-term receivables line (MS 130) includes prepayments to suppliers and other non-trade items and is not used for DSO.</w:t>
            </w:r>
          </w:p>
        </w:tc>
      </w:tr>
      <w:tr w:rsidR="009C3279" w14:paraId="3676718F" w14:textId="77777777">
        <w:trPr>
          <w:cantSplit/>
        </w:trPr>
        <w:tc>
          <w:tcPr>
            <w:tcW w:w="3120" w:type="dxa"/>
          </w:tcPr>
          <w:p w14:paraId="28108838" w14:textId="77777777" w:rsidR="009C3279" w:rsidRDefault="002825F9" w:rsidP="001A0501">
            <w:pPr>
              <w:spacing w:before="60" w:after="60"/>
              <w:jc w:val="left"/>
            </w:pPr>
            <w:r>
              <w:rPr>
                <w:sz w:val="20"/>
              </w:rPr>
              <w:lastRenderedPageBreak/>
              <w:t>Inventory</w:t>
            </w:r>
          </w:p>
        </w:tc>
        <w:tc>
          <w:tcPr>
            <w:tcW w:w="3120" w:type="dxa"/>
          </w:tcPr>
          <w:p w14:paraId="1D468A3D" w14:textId="77777777" w:rsidR="009C3279" w:rsidRDefault="002825F9" w:rsidP="001A0501">
            <w:pPr>
              <w:spacing w:before="60" w:after="60"/>
              <w:jc w:val="center"/>
            </w:pPr>
            <w:r>
              <w:rPr>
                <w:sz w:val="20"/>
              </w:rPr>
              <w:t xml:space="preserve">MS 140 — </w:t>
            </w:r>
            <w:proofErr w:type="spellStart"/>
            <w:r>
              <w:rPr>
                <w:sz w:val="20"/>
              </w:rPr>
              <w:t>Hàng</w:t>
            </w:r>
            <w:proofErr w:type="spellEnd"/>
            <w:r>
              <w:rPr>
                <w:sz w:val="20"/>
              </w:rPr>
              <w:t xml:space="preserve"> </w:t>
            </w:r>
            <w:proofErr w:type="spellStart"/>
            <w:r>
              <w:rPr>
                <w:sz w:val="20"/>
              </w:rPr>
              <w:t>tồn</w:t>
            </w:r>
            <w:proofErr w:type="spellEnd"/>
            <w:r>
              <w:rPr>
                <w:sz w:val="20"/>
              </w:rPr>
              <w:t xml:space="preserve"> </w:t>
            </w:r>
            <w:proofErr w:type="spellStart"/>
            <w:r>
              <w:rPr>
                <w:sz w:val="20"/>
              </w:rPr>
              <w:t>kho</w:t>
            </w:r>
            <w:proofErr w:type="spellEnd"/>
            <w:r>
              <w:rPr>
                <w:sz w:val="20"/>
              </w:rPr>
              <w:t>, net of TK 159</w:t>
            </w:r>
          </w:p>
        </w:tc>
        <w:tc>
          <w:tcPr>
            <w:tcW w:w="3120" w:type="dxa"/>
          </w:tcPr>
          <w:p w14:paraId="3631FAFC" w14:textId="77777777" w:rsidR="009C3279" w:rsidRDefault="002825F9" w:rsidP="001A0501">
            <w:pPr>
              <w:spacing w:before="60" w:after="60"/>
              <w:jc w:val="center"/>
            </w:pPr>
            <w:r>
              <w:rPr>
                <w:sz w:val="20"/>
              </w:rPr>
              <w:t>Net of the inventory devaluation provision, consistent with peer presentation.</w:t>
            </w:r>
          </w:p>
        </w:tc>
      </w:tr>
      <w:tr w:rsidR="009C3279" w14:paraId="63F438F6" w14:textId="77777777">
        <w:trPr>
          <w:cantSplit/>
        </w:trPr>
        <w:tc>
          <w:tcPr>
            <w:tcW w:w="3120" w:type="dxa"/>
          </w:tcPr>
          <w:p w14:paraId="78EF56E2" w14:textId="77777777" w:rsidR="009C3279" w:rsidRDefault="002825F9" w:rsidP="001A0501">
            <w:pPr>
              <w:spacing w:before="60" w:after="60"/>
              <w:jc w:val="left"/>
            </w:pPr>
            <w:r>
              <w:rPr>
                <w:sz w:val="20"/>
              </w:rPr>
              <w:t>Trade payables</w:t>
            </w:r>
          </w:p>
        </w:tc>
        <w:tc>
          <w:tcPr>
            <w:tcW w:w="3120" w:type="dxa"/>
          </w:tcPr>
          <w:p w14:paraId="10E51770" w14:textId="77777777" w:rsidR="009C3279" w:rsidRDefault="002825F9" w:rsidP="001A0501">
            <w:pPr>
              <w:spacing w:before="60" w:after="60"/>
              <w:jc w:val="center"/>
            </w:pPr>
            <w:r>
              <w:rPr>
                <w:sz w:val="20"/>
              </w:rPr>
              <w:t xml:space="preserve">MS 311 / TK 331 — </w:t>
            </w:r>
            <w:proofErr w:type="spellStart"/>
            <w:r>
              <w:rPr>
                <w:sz w:val="20"/>
              </w:rPr>
              <w:t>Phải</w:t>
            </w:r>
            <w:proofErr w:type="spellEnd"/>
            <w:r>
              <w:rPr>
                <w:sz w:val="20"/>
              </w:rPr>
              <w:t xml:space="preserve"> </w:t>
            </w:r>
            <w:proofErr w:type="spellStart"/>
            <w:r>
              <w:rPr>
                <w:sz w:val="20"/>
              </w:rPr>
              <w:t>trả</w:t>
            </w:r>
            <w:proofErr w:type="spellEnd"/>
            <w:r>
              <w:rPr>
                <w:sz w:val="20"/>
              </w:rPr>
              <w:t xml:space="preserve"> </w:t>
            </w:r>
            <w:proofErr w:type="spellStart"/>
            <w:r>
              <w:rPr>
                <w:sz w:val="20"/>
              </w:rPr>
              <w:t>người</w:t>
            </w:r>
            <w:proofErr w:type="spellEnd"/>
            <w:r>
              <w:rPr>
                <w:sz w:val="20"/>
              </w:rPr>
              <w:t xml:space="preserve"> </w:t>
            </w:r>
            <w:proofErr w:type="spellStart"/>
            <w:r>
              <w:rPr>
                <w:sz w:val="20"/>
              </w:rPr>
              <w:t>bán</w:t>
            </w:r>
            <w:proofErr w:type="spellEnd"/>
            <w:r>
              <w:rPr>
                <w:sz w:val="20"/>
              </w:rPr>
              <w:t xml:space="preserve"> (short term)</w:t>
            </w:r>
          </w:p>
        </w:tc>
        <w:tc>
          <w:tcPr>
            <w:tcW w:w="3120" w:type="dxa"/>
          </w:tcPr>
          <w:p w14:paraId="3FC0D690" w14:textId="77777777" w:rsidR="009C3279" w:rsidRDefault="002825F9" w:rsidP="001A0501">
            <w:pPr>
              <w:spacing w:before="60" w:after="60"/>
              <w:jc w:val="center"/>
            </w:pPr>
            <w:r>
              <w:rPr>
                <w:sz w:val="20"/>
              </w:rPr>
              <w:t>Short-term trade payables only. Accrued expenses and other payables are excluded.</w:t>
            </w:r>
          </w:p>
        </w:tc>
      </w:tr>
      <w:tr w:rsidR="009C3279" w14:paraId="263FE7B6" w14:textId="77777777">
        <w:trPr>
          <w:cantSplit/>
        </w:trPr>
        <w:tc>
          <w:tcPr>
            <w:tcW w:w="3120" w:type="dxa"/>
          </w:tcPr>
          <w:p w14:paraId="2B3A2FBA" w14:textId="77777777" w:rsidR="009C3279" w:rsidRDefault="002825F9" w:rsidP="001A0501">
            <w:pPr>
              <w:spacing w:before="60" w:after="60"/>
              <w:jc w:val="left"/>
            </w:pPr>
            <w:r>
              <w:rPr>
                <w:sz w:val="20"/>
              </w:rPr>
              <w:t>Other non-current assets</w:t>
            </w:r>
          </w:p>
        </w:tc>
        <w:tc>
          <w:tcPr>
            <w:tcW w:w="3120" w:type="dxa"/>
          </w:tcPr>
          <w:p w14:paraId="7245BDCC" w14:textId="77777777" w:rsidR="009C3279" w:rsidRDefault="002825F9" w:rsidP="001A0501">
            <w:pPr>
              <w:spacing w:before="60" w:after="60"/>
              <w:jc w:val="center"/>
            </w:pPr>
            <w:r>
              <w:rPr>
                <w:sz w:val="20"/>
              </w:rPr>
              <w:t>MS 210/240 + MS 250 + MS 260</w:t>
            </w:r>
          </w:p>
        </w:tc>
        <w:tc>
          <w:tcPr>
            <w:tcW w:w="3120" w:type="dxa"/>
          </w:tcPr>
          <w:p w14:paraId="788F2308" w14:textId="77777777" w:rsidR="009C3279" w:rsidRDefault="002825F9" w:rsidP="001A0501">
            <w:pPr>
              <w:spacing w:before="60" w:after="60"/>
              <w:jc w:val="center"/>
            </w:pPr>
            <w:r>
              <w:rPr>
                <w:sz w:val="20"/>
              </w:rPr>
              <w:t>Aggregated into a single analytical line so that current assets, net fixed assets and other non-current assets reconcile exactly to total assets (MS 270).</w:t>
            </w:r>
          </w:p>
        </w:tc>
      </w:tr>
      <w:tr w:rsidR="009C3279" w14:paraId="326AD7C5" w14:textId="77777777">
        <w:trPr>
          <w:cantSplit/>
        </w:trPr>
        <w:tc>
          <w:tcPr>
            <w:tcW w:w="3120" w:type="dxa"/>
          </w:tcPr>
          <w:p w14:paraId="7CA90A0E" w14:textId="77777777" w:rsidR="009C3279" w:rsidRDefault="002825F9" w:rsidP="001A0501">
            <w:pPr>
              <w:spacing w:before="60" w:after="60"/>
              <w:jc w:val="left"/>
            </w:pPr>
            <w:r>
              <w:rPr>
                <w:sz w:val="20"/>
              </w:rPr>
              <w:t>Total equity</w:t>
            </w:r>
          </w:p>
        </w:tc>
        <w:tc>
          <w:tcPr>
            <w:tcW w:w="3120" w:type="dxa"/>
          </w:tcPr>
          <w:p w14:paraId="7BF3AC39" w14:textId="77777777" w:rsidR="009C3279" w:rsidRDefault="002825F9" w:rsidP="001A0501">
            <w:pPr>
              <w:spacing w:before="60" w:after="60"/>
              <w:jc w:val="center"/>
            </w:pPr>
            <w:r>
              <w:rPr>
                <w:sz w:val="20"/>
              </w:rPr>
              <w:t xml:space="preserve">MS 400 — </w:t>
            </w:r>
            <w:proofErr w:type="spellStart"/>
            <w:r>
              <w:rPr>
                <w:sz w:val="20"/>
              </w:rPr>
              <w:t>Vốn</w:t>
            </w:r>
            <w:proofErr w:type="spellEnd"/>
            <w:r>
              <w:rPr>
                <w:sz w:val="20"/>
              </w:rPr>
              <w:t xml:space="preserve"> </w:t>
            </w:r>
            <w:proofErr w:type="spellStart"/>
            <w:r>
              <w:rPr>
                <w:sz w:val="20"/>
              </w:rPr>
              <w:t>chủ</w:t>
            </w:r>
            <w:proofErr w:type="spellEnd"/>
            <w:r>
              <w:rPr>
                <w:sz w:val="20"/>
              </w:rPr>
              <w:t xml:space="preserve"> </w:t>
            </w:r>
            <w:proofErr w:type="spellStart"/>
            <w:r>
              <w:rPr>
                <w:sz w:val="20"/>
              </w:rPr>
              <w:t>sở</w:t>
            </w:r>
            <w:proofErr w:type="spellEnd"/>
            <w:r>
              <w:rPr>
                <w:sz w:val="20"/>
              </w:rPr>
              <w:t xml:space="preserve"> </w:t>
            </w:r>
            <w:proofErr w:type="spellStart"/>
            <w:r>
              <w:rPr>
                <w:sz w:val="20"/>
              </w:rPr>
              <w:t>hữu</w:t>
            </w:r>
            <w:proofErr w:type="spellEnd"/>
          </w:p>
        </w:tc>
        <w:tc>
          <w:tcPr>
            <w:tcW w:w="3120" w:type="dxa"/>
          </w:tcPr>
          <w:p w14:paraId="4E2311B3" w14:textId="77777777" w:rsidR="009C3279" w:rsidRDefault="002825F9" w:rsidP="001A0501">
            <w:pPr>
              <w:spacing w:before="60" w:after="60"/>
              <w:jc w:val="center"/>
            </w:pPr>
            <w:r>
              <w:rPr>
                <w:sz w:val="20"/>
              </w:rPr>
              <w:t>Includes non-controlling interests (MS 429), consistent with the total equity measure reported by the peers.</w:t>
            </w:r>
          </w:p>
        </w:tc>
      </w:tr>
      <w:tr w:rsidR="009C3279" w14:paraId="0860F09D" w14:textId="77777777">
        <w:trPr>
          <w:cantSplit/>
        </w:trPr>
        <w:tc>
          <w:tcPr>
            <w:tcW w:w="3120" w:type="dxa"/>
          </w:tcPr>
          <w:p w14:paraId="47E46EF1" w14:textId="77777777" w:rsidR="009C3279" w:rsidRDefault="002825F9" w:rsidP="001A0501">
            <w:pPr>
              <w:spacing w:before="60" w:after="60"/>
              <w:jc w:val="left"/>
            </w:pPr>
            <w:r>
              <w:rPr>
                <w:sz w:val="20"/>
              </w:rPr>
              <w:t>Revenue</w:t>
            </w:r>
          </w:p>
        </w:tc>
        <w:tc>
          <w:tcPr>
            <w:tcW w:w="3120" w:type="dxa"/>
          </w:tcPr>
          <w:p w14:paraId="2180ED3E" w14:textId="77777777" w:rsidR="009C3279" w:rsidRDefault="002825F9" w:rsidP="001A0501">
            <w:pPr>
              <w:spacing w:before="60" w:after="60"/>
              <w:jc w:val="center"/>
            </w:pPr>
            <w:r>
              <w:rPr>
                <w:sz w:val="20"/>
              </w:rPr>
              <w:t xml:space="preserve">MS 10 — Doanh </w:t>
            </w:r>
            <w:proofErr w:type="spellStart"/>
            <w:r>
              <w:rPr>
                <w:sz w:val="20"/>
              </w:rPr>
              <w:t>thu</w:t>
            </w:r>
            <w:proofErr w:type="spellEnd"/>
            <w:r>
              <w:rPr>
                <w:sz w:val="20"/>
              </w:rPr>
              <w:t xml:space="preserve"> </w:t>
            </w:r>
            <w:proofErr w:type="spellStart"/>
            <w:r>
              <w:rPr>
                <w:sz w:val="20"/>
              </w:rPr>
              <w:t>thuần</w:t>
            </w:r>
            <w:proofErr w:type="spellEnd"/>
          </w:p>
        </w:tc>
        <w:tc>
          <w:tcPr>
            <w:tcW w:w="3120" w:type="dxa"/>
          </w:tcPr>
          <w:p w14:paraId="6A1A2742" w14:textId="77777777" w:rsidR="009C3279" w:rsidRDefault="002825F9" w:rsidP="001A0501">
            <w:pPr>
              <w:spacing w:before="60" w:after="60"/>
              <w:jc w:val="center"/>
            </w:pPr>
            <w:r>
              <w:rPr>
                <w:sz w:val="20"/>
              </w:rPr>
              <w:t>Net of deductions.</w:t>
            </w:r>
          </w:p>
        </w:tc>
      </w:tr>
      <w:tr w:rsidR="009C3279" w14:paraId="4115F6B4" w14:textId="77777777">
        <w:trPr>
          <w:cantSplit/>
        </w:trPr>
        <w:tc>
          <w:tcPr>
            <w:tcW w:w="3120" w:type="dxa"/>
            <w:tcBorders>
              <w:bottom w:val="single" w:sz="8" w:space="0" w:color="000000"/>
            </w:tcBorders>
          </w:tcPr>
          <w:p w14:paraId="09FB5E27" w14:textId="77777777" w:rsidR="009C3279" w:rsidRDefault="002825F9" w:rsidP="001A0501">
            <w:pPr>
              <w:spacing w:before="60" w:after="60"/>
              <w:jc w:val="left"/>
            </w:pPr>
            <w:r>
              <w:rPr>
                <w:sz w:val="20"/>
              </w:rPr>
              <w:t>Cost of goods sold</w:t>
            </w:r>
          </w:p>
        </w:tc>
        <w:tc>
          <w:tcPr>
            <w:tcW w:w="3120" w:type="dxa"/>
            <w:tcBorders>
              <w:bottom w:val="single" w:sz="8" w:space="0" w:color="000000"/>
            </w:tcBorders>
          </w:tcPr>
          <w:p w14:paraId="0B57AA9B" w14:textId="77777777" w:rsidR="009C3279" w:rsidRDefault="002825F9" w:rsidP="001A0501">
            <w:pPr>
              <w:spacing w:before="60" w:after="60"/>
              <w:jc w:val="center"/>
            </w:pPr>
            <w:r>
              <w:rPr>
                <w:sz w:val="20"/>
              </w:rPr>
              <w:t xml:space="preserve">MS 11 — </w:t>
            </w:r>
            <w:proofErr w:type="spellStart"/>
            <w:r>
              <w:rPr>
                <w:sz w:val="20"/>
              </w:rPr>
              <w:t>Giá</w:t>
            </w:r>
            <w:proofErr w:type="spellEnd"/>
            <w:r>
              <w:rPr>
                <w:sz w:val="20"/>
              </w:rPr>
              <w:t xml:space="preserve"> </w:t>
            </w:r>
            <w:proofErr w:type="spellStart"/>
            <w:r>
              <w:rPr>
                <w:sz w:val="20"/>
              </w:rPr>
              <w:t>vốn</w:t>
            </w:r>
            <w:proofErr w:type="spellEnd"/>
            <w:r>
              <w:rPr>
                <w:sz w:val="20"/>
              </w:rPr>
              <w:t xml:space="preserve"> </w:t>
            </w:r>
            <w:proofErr w:type="spellStart"/>
            <w:r>
              <w:rPr>
                <w:sz w:val="20"/>
              </w:rPr>
              <w:t>hàng</w:t>
            </w:r>
            <w:proofErr w:type="spellEnd"/>
            <w:r>
              <w:rPr>
                <w:sz w:val="20"/>
              </w:rPr>
              <w:t xml:space="preserve"> </w:t>
            </w:r>
            <w:proofErr w:type="spellStart"/>
            <w:r>
              <w:rPr>
                <w:sz w:val="20"/>
              </w:rPr>
              <w:t>bán</w:t>
            </w:r>
            <w:proofErr w:type="spellEnd"/>
          </w:p>
        </w:tc>
        <w:tc>
          <w:tcPr>
            <w:tcW w:w="3120" w:type="dxa"/>
            <w:tcBorders>
              <w:bottom w:val="single" w:sz="8" w:space="0" w:color="000000"/>
            </w:tcBorders>
          </w:tcPr>
          <w:p w14:paraId="3D38A4C5" w14:textId="77777777" w:rsidR="009C3279" w:rsidRDefault="002825F9" w:rsidP="001A0501">
            <w:pPr>
              <w:spacing w:before="60" w:after="60"/>
              <w:jc w:val="center"/>
            </w:pPr>
            <w:r>
              <w:rPr>
                <w:sz w:val="20"/>
              </w:rPr>
              <w:t>As reported.</w:t>
            </w:r>
          </w:p>
        </w:tc>
      </w:tr>
    </w:tbl>
    <w:p w14:paraId="02A628C4" w14:textId="77777777" w:rsidR="009C3279" w:rsidRDefault="002825F9" w:rsidP="001A0501">
      <w:pPr>
        <w:spacing w:before="80" w:after="240"/>
        <w:jc w:val="left"/>
      </w:pPr>
      <w:r>
        <w:rPr>
          <w:i/>
          <w:sz w:val="18"/>
        </w:rPr>
        <w:t xml:space="preserve">Note. </w:t>
      </w:r>
      <w:r>
        <w:rPr>
          <w:sz w:val="18"/>
        </w:rPr>
        <w:t>Line references follow the statement codes prescribed by Circular 200/2014/TT-BTC. The full mapping is implemented in sheet 03_FS_Restated of the supporting model, which carries a reconciliation check to total assets and to total liabilities and equity.</w:t>
      </w:r>
    </w:p>
    <w:p w14:paraId="3B76A4B8" w14:textId="77777777" w:rsidR="009C3279" w:rsidRDefault="002825F9" w:rsidP="001A0501">
      <w:r>
        <w:rPr>
          <w:b/>
        </w:rPr>
        <w:t>Two points on provisions.</w:t>
      </w:r>
    </w:p>
    <w:p w14:paraId="519A058E" w14:textId="77777777" w:rsidR="009C3279" w:rsidRDefault="002825F9" w:rsidP="001A0501">
      <w:r>
        <w:t xml:space="preserve">NHH does </w:t>
      </w:r>
      <w:proofErr w:type="spellStart"/>
      <w:r>
        <w:t>recognise</w:t>
      </w:r>
      <w:proofErr w:type="spellEnd"/>
      <w:r>
        <w:t xml:space="preserve"> provisions against both receivables and inventory, and both are small relative to the gross balances. The doubtful-debt provision (TK 139) stood at VND 1.60 billion, 3.64 billion and 3.64 billion across FY2023 to FY2025, equivalent to between 0.7% and 1.2% of gross trade receivables. The inventory devaluation provision (TK 159) stood at VND 2.66 billion, 1.54 billion and 2.15 billion, equivalent to between 0.6% and 1.2% of gross inventory. Because the amounts are immaterial at this scale, the choice between a gross and a net presentation moves the cycle by well under one day and does not affect any conclusion in this report. Inventory is nonetheless taken net throughout, for consistency with the peers.</w:t>
      </w:r>
    </w:p>
    <w:p w14:paraId="1CD3F9D8" w14:textId="77777777" w:rsidR="009C3279" w:rsidRDefault="002825F9" w:rsidP="001A0501">
      <w:r>
        <w:lastRenderedPageBreak/>
        <w:t>The peer statements required two comparable definitional decisions, recorded here because they materially affect the benchmark. For Sanko Gosei, trade receivables are the sum of notes receivable, electronically recorded monetary claims and accounts receivable, with the mirror treatment on the payables side; using accounts receivable alone would have understated both its DSO and its DPO by a wide margin. For SKP Resources, trade and other payables are disclosed as a single line in every annual report, so its DPO is an upper bound and its cycle a lower bound.</w:t>
      </w:r>
    </w:p>
    <w:p w14:paraId="17C650A2" w14:textId="295785A0" w:rsidR="00320537" w:rsidRPr="001A0501" w:rsidRDefault="00914B86"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t>Appendix C. Ratio Tables and DuPont Decomposition</w:t>
      </w:r>
    </w:p>
    <w:p w14:paraId="2E1023CE" w14:textId="77777777" w:rsidR="009C3279" w:rsidRDefault="002825F9" w:rsidP="001A0501">
      <w:r>
        <w:t>The ratios below are computed from the restated statements described in Appendix B and are reproduced from sheet 04_Ratios of the supporting model. FY2024 and FY2025 use average balance sheet values; FY2023 uses closing values, because the FY2022 balance sheet was obtained for receivables, inventory and payables but not for total assets and fixed assets. FY2023 return and turnover measures are therefore indicative rather than strictly comparable, and are marked as such. The cash conversion cycle is not affected by this limitation.</w:t>
      </w:r>
    </w:p>
    <w:p w14:paraId="3C3A5E38" w14:textId="77777777" w:rsidR="009C3279" w:rsidRDefault="002825F9" w:rsidP="001A0501">
      <w:pPr>
        <w:keepNext/>
        <w:spacing w:before="240" w:after="0"/>
        <w:jc w:val="left"/>
      </w:pPr>
      <w:r>
        <w:rPr>
          <w:b/>
          <w:sz w:val="20"/>
        </w:rPr>
        <w:t>Table C1</w:t>
      </w:r>
    </w:p>
    <w:p w14:paraId="263D4FA8" w14:textId="77777777" w:rsidR="009C3279" w:rsidRDefault="002825F9" w:rsidP="001A0501">
      <w:pPr>
        <w:keepNext/>
        <w:spacing w:after="80"/>
        <w:jc w:val="left"/>
      </w:pPr>
      <w:r>
        <w:rPr>
          <w:i/>
          <w:sz w:val="20"/>
        </w:rPr>
        <w:t>Selected Financial Ratios, NHH, FY2023–FY2025</w:t>
      </w:r>
    </w:p>
    <w:tbl>
      <w:tblPr>
        <w:tblW w:w="0" w:type="auto"/>
        <w:tblLook w:val="04A0" w:firstRow="1" w:lastRow="0" w:firstColumn="1" w:lastColumn="0" w:noHBand="0" w:noVBand="1"/>
      </w:tblPr>
      <w:tblGrid>
        <w:gridCol w:w="2340"/>
        <w:gridCol w:w="2340"/>
        <w:gridCol w:w="2340"/>
        <w:gridCol w:w="2340"/>
      </w:tblGrid>
      <w:tr w:rsidR="009C3279" w14:paraId="63429C26" w14:textId="77777777">
        <w:trPr>
          <w:cantSplit/>
          <w:tblHeader/>
        </w:trPr>
        <w:tc>
          <w:tcPr>
            <w:tcW w:w="2340" w:type="dxa"/>
            <w:tcBorders>
              <w:top w:val="single" w:sz="8" w:space="0" w:color="000000"/>
              <w:bottom w:val="single" w:sz="6" w:space="0" w:color="000000"/>
            </w:tcBorders>
          </w:tcPr>
          <w:p w14:paraId="1925942F" w14:textId="77777777" w:rsidR="009C3279" w:rsidRDefault="002825F9" w:rsidP="001A0501">
            <w:pPr>
              <w:spacing w:before="60" w:after="60"/>
              <w:jc w:val="left"/>
            </w:pPr>
            <w:r>
              <w:rPr>
                <w:b/>
                <w:sz w:val="20"/>
              </w:rPr>
              <w:t>Ratio</w:t>
            </w:r>
          </w:p>
        </w:tc>
        <w:tc>
          <w:tcPr>
            <w:tcW w:w="2340" w:type="dxa"/>
            <w:tcBorders>
              <w:top w:val="single" w:sz="8" w:space="0" w:color="000000"/>
              <w:bottom w:val="single" w:sz="6" w:space="0" w:color="000000"/>
            </w:tcBorders>
          </w:tcPr>
          <w:p w14:paraId="51B292BC" w14:textId="77777777" w:rsidR="009C3279" w:rsidRDefault="002825F9" w:rsidP="001A0501">
            <w:pPr>
              <w:spacing w:before="60" w:after="60"/>
              <w:jc w:val="center"/>
            </w:pPr>
            <w:r>
              <w:rPr>
                <w:b/>
                <w:sz w:val="20"/>
              </w:rPr>
              <w:t>FY2023</w:t>
            </w:r>
          </w:p>
        </w:tc>
        <w:tc>
          <w:tcPr>
            <w:tcW w:w="2340" w:type="dxa"/>
            <w:tcBorders>
              <w:top w:val="single" w:sz="8" w:space="0" w:color="000000"/>
              <w:bottom w:val="single" w:sz="6" w:space="0" w:color="000000"/>
            </w:tcBorders>
          </w:tcPr>
          <w:p w14:paraId="4AB410F6" w14:textId="77777777" w:rsidR="009C3279" w:rsidRDefault="002825F9" w:rsidP="001A0501">
            <w:pPr>
              <w:spacing w:before="60" w:after="60"/>
              <w:jc w:val="center"/>
            </w:pPr>
            <w:r>
              <w:rPr>
                <w:b/>
                <w:sz w:val="20"/>
              </w:rPr>
              <w:t>FY2024</w:t>
            </w:r>
          </w:p>
        </w:tc>
        <w:tc>
          <w:tcPr>
            <w:tcW w:w="2340" w:type="dxa"/>
            <w:tcBorders>
              <w:top w:val="single" w:sz="8" w:space="0" w:color="000000"/>
              <w:bottom w:val="single" w:sz="6" w:space="0" w:color="000000"/>
            </w:tcBorders>
          </w:tcPr>
          <w:p w14:paraId="78FB7EF6" w14:textId="77777777" w:rsidR="009C3279" w:rsidRDefault="002825F9" w:rsidP="001A0501">
            <w:pPr>
              <w:spacing w:before="60" w:after="60"/>
              <w:jc w:val="center"/>
            </w:pPr>
            <w:r>
              <w:rPr>
                <w:b/>
                <w:sz w:val="20"/>
              </w:rPr>
              <w:t>FY2025</w:t>
            </w:r>
          </w:p>
        </w:tc>
      </w:tr>
      <w:tr w:rsidR="009C3279" w14:paraId="71DCBB6E" w14:textId="77777777">
        <w:trPr>
          <w:cantSplit/>
        </w:trPr>
        <w:tc>
          <w:tcPr>
            <w:tcW w:w="2340" w:type="dxa"/>
          </w:tcPr>
          <w:p w14:paraId="0D6D5684" w14:textId="77777777" w:rsidR="009C3279" w:rsidRDefault="002825F9" w:rsidP="001A0501">
            <w:pPr>
              <w:spacing w:before="60" w:after="60"/>
              <w:jc w:val="left"/>
            </w:pPr>
            <w:r>
              <w:rPr>
                <w:sz w:val="20"/>
              </w:rPr>
              <w:t>Current ratio</w:t>
            </w:r>
          </w:p>
        </w:tc>
        <w:tc>
          <w:tcPr>
            <w:tcW w:w="2340" w:type="dxa"/>
          </w:tcPr>
          <w:p w14:paraId="369CD155" w14:textId="77777777" w:rsidR="009C3279" w:rsidRDefault="002825F9" w:rsidP="001A0501">
            <w:pPr>
              <w:spacing w:before="60" w:after="60"/>
              <w:jc w:val="center"/>
            </w:pPr>
            <w:r>
              <w:rPr>
                <w:sz w:val="20"/>
              </w:rPr>
              <w:t>1.25</w:t>
            </w:r>
          </w:p>
        </w:tc>
        <w:tc>
          <w:tcPr>
            <w:tcW w:w="2340" w:type="dxa"/>
          </w:tcPr>
          <w:p w14:paraId="39177961" w14:textId="77777777" w:rsidR="009C3279" w:rsidRDefault="002825F9" w:rsidP="001A0501">
            <w:pPr>
              <w:spacing w:before="60" w:after="60"/>
              <w:jc w:val="center"/>
            </w:pPr>
            <w:r>
              <w:rPr>
                <w:sz w:val="20"/>
              </w:rPr>
              <w:t>1.63</w:t>
            </w:r>
          </w:p>
        </w:tc>
        <w:tc>
          <w:tcPr>
            <w:tcW w:w="2340" w:type="dxa"/>
          </w:tcPr>
          <w:p w14:paraId="54984D5D" w14:textId="77777777" w:rsidR="009C3279" w:rsidRDefault="002825F9" w:rsidP="001A0501">
            <w:pPr>
              <w:spacing w:before="60" w:after="60"/>
              <w:jc w:val="center"/>
            </w:pPr>
            <w:r>
              <w:rPr>
                <w:sz w:val="20"/>
              </w:rPr>
              <w:t>1.82</w:t>
            </w:r>
          </w:p>
        </w:tc>
      </w:tr>
      <w:tr w:rsidR="009C3279" w14:paraId="2EA92C85" w14:textId="77777777">
        <w:trPr>
          <w:cantSplit/>
        </w:trPr>
        <w:tc>
          <w:tcPr>
            <w:tcW w:w="2340" w:type="dxa"/>
          </w:tcPr>
          <w:p w14:paraId="3C0F5236" w14:textId="77777777" w:rsidR="009C3279" w:rsidRDefault="002825F9" w:rsidP="001A0501">
            <w:pPr>
              <w:spacing w:before="60" w:after="60"/>
              <w:jc w:val="left"/>
            </w:pPr>
            <w:r>
              <w:rPr>
                <w:sz w:val="20"/>
              </w:rPr>
              <w:t>Quick ratio</w:t>
            </w:r>
          </w:p>
        </w:tc>
        <w:tc>
          <w:tcPr>
            <w:tcW w:w="2340" w:type="dxa"/>
          </w:tcPr>
          <w:p w14:paraId="32D1C725" w14:textId="77777777" w:rsidR="009C3279" w:rsidRDefault="002825F9" w:rsidP="001A0501">
            <w:pPr>
              <w:spacing w:before="60" w:after="60"/>
              <w:jc w:val="center"/>
            </w:pPr>
            <w:r>
              <w:rPr>
                <w:sz w:val="20"/>
              </w:rPr>
              <w:t>0.91</w:t>
            </w:r>
          </w:p>
        </w:tc>
        <w:tc>
          <w:tcPr>
            <w:tcW w:w="2340" w:type="dxa"/>
          </w:tcPr>
          <w:p w14:paraId="34D1B500" w14:textId="77777777" w:rsidR="009C3279" w:rsidRDefault="002825F9" w:rsidP="001A0501">
            <w:pPr>
              <w:spacing w:before="60" w:after="60"/>
              <w:jc w:val="center"/>
            </w:pPr>
            <w:r>
              <w:rPr>
                <w:sz w:val="20"/>
              </w:rPr>
              <w:t>1.20</w:t>
            </w:r>
          </w:p>
        </w:tc>
        <w:tc>
          <w:tcPr>
            <w:tcW w:w="2340" w:type="dxa"/>
          </w:tcPr>
          <w:p w14:paraId="6C19A3AE" w14:textId="77777777" w:rsidR="009C3279" w:rsidRDefault="002825F9" w:rsidP="001A0501">
            <w:pPr>
              <w:spacing w:before="60" w:after="60"/>
              <w:jc w:val="center"/>
            </w:pPr>
            <w:r>
              <w:rPr>
                <w:sz w:val="20"/>
              </w:rPr>
              <w:t>1.43</w:t>
            </w:r>
          </w:p>
        </w:tc>
      </w:tr>
      <w:tr w:rsidR="009C3279" w14:paraId="09656979" w14:textId="77777777">
        <w:trPr>
          <w:cantSplit/>
        </w:trPr>
        <w:tc>
          <w:tcPr>
            <w:tcW w:w="2340" w:type="dxa"/>
          </w:tcPr>
          <w:p w14:paraId="2B1DA9C8" w14:textId="77777777" w:rsidR="009C3279" w:rsidRDefault="002825F9" w:rsidP="001A0501">
            <w:pPr>
              <w:spacing w:before="60" w:after="60"/>
              <w:jc w:val="left"/>
            </w:pPr>
            <w:r>
              <w:rPr>
                <w:sz w:val="20"/>
              </w:rPr>
              <w:t>Gross margin</w:t>
            </w:r>
          </w:p>
        </w:tc>
        <w:tc>
          <w:tcPr>
            <w:tcW w:w="2340" w:type="dxa"/>
          </w:tcPr>
          <w:p w14:paraId="2C0731BA" w14:textId="77777777" w:rsidR="009C3279" w:rsidRDefault="002825F9" w:rsidP="001A0501">
            <w:pPr>
              <w:spacing w:before="60" w:after="60"/>
              <w:jc w:val="center"/>
            </w:pPr>
            <w:r>
              <w:rPr>
                <w:sz w:val="20"/>
              </w:rPr>
              <w:t>14.8%</w:t>
            </w:r>
          </w:p>
        </w:tc>
        <w:tc>
          <w:tcPr>
            <w:tcW w:w="2340" w:type="dxa"/>
          </w:tcPr>
          <w:p w14:paraId="2B0B7EC5" w14:textId="77777777" w:rsidR="009C3279" w:rsidRDefault="002825F9" w:rsidP="001A0501">
            <w:pPr>
              <w:spacing w:before="60" w:after="60"/>
              <w:jc w:val="center"/>
            </w:pPr>
            <w:r>
              <w:rPr>
                <w:sz w:val="20"/>
              </w:rPr>
              <w:t>18.6%</w:t>
            </w:r>
          </w:p>
        </w:tc>
        <w:tc>
          <w:tcPr>
            <w:tcW w:w="2340" w:type="dxa"/>
          </w:tcPr>
          <w:p w14:paraId="730B0901" w14:textId="77777777" w:rsidR="009C3279" w:rsidRDefault="002825F9" w:rsidP="001A0501">
            <w:pPr>
              <w:spacing w:before="60" w:after="60"/>
              <w:jc w:val="center"/>
            </w:pPr>
            <w:r>
              <w:rPr>
                <w:sz w:val="20"/>
              </w:rPr>
              <w:t>17.3%</w:t>
            </w:r>
          </w:p>
        </w:tc>
      </w:tr>
      <w:tr w:rsidR="009C3279" w14:paraId="143E8C3C" w14:textId="77777777">
        <w:trPr>
          <w:cantSplit/>
        </w:trPr>
        <w:tc>
          <w:tcPr>
            <w:tcW w:w="2340" w:type="dxa"/>
          </w:tcPr>
          <w:p w14:paraId="128BEF0C" w14:textId="77777777" w:rsidR="009C3279" w:rsidRDefault="002825F9" w:rsidP="001A0501">
            <w:pPr>
              <w:spacing w:before="60" w:after="60"/>
              <w:jc w:val="left"/>
            </w:pPr>
            <w:r>
              <w:rPr>
                <w:sz w:val="20"/>
              </w:rPr>
              <w:t>Operating margin</w:t>
            </w:r>
          </w:p>
        </w:tc>
        <w:tc>
          <w:tcPr>
            <w:tcW w:w="2340" w:type="dxa"/>
          </w:tcPr>
          <w:p w14:paraId="1D5E59A8" w14:textId="77777777" w:rsidR="009C3279" w:rsidRDefault="002825F9" w:rsidP="001A0501">
            <w:pPr>
              <w:spacing w:before="60" w:after="60"/>
              <w:jc w:val="center"/>
            </w:pPr>
            <w:r>
              <w:rPr>
                <w:sz w:val="20"/>
              </w:rPr>
              <w:t>5.7%</w:t>
            </w:r>
          </w:p>
        </w:tc>
        <w:tc>
          <w:tcPr>
            <w:tcW w:w="2340" w:type="dxa"/>
          </w:tcPr>
          <w:p w14:paraId="47A241A5" w14:textId="77777777" w:rsidR="009C3279" w:rsidRDefault="002825F9" w:rsidP="001A0501">
            <w:pPr>
              <w:spacing w:before="60" w:after="60"/>
              <w:jc w:val="center"/>
            </w:pPr>
            <w:r>
              <w:rPr>
                <w:sz w:val="20"/>
              </w:rPr>
              <w:t>5.4%</w:t>
            </w:r>
          </w:p>
        </w:tc>
        <w:tc>
          <w:tcPr>
            <w:tcW w:w="2340" w:type="dxa"/>
          </w:tcPr>
          <w:p w14:paraId="36BD38F3" w14:textId="77777777" w:rsidR="009C3279" w:rsidRDefault="002825F9" w:rsidP="001A0501">
            <w:pPr>
              <w:spacing w:before="60" w:after="60"/>
              <w:jc w:val="center"/>
            </w:pPr>
            <w:r>
              <w:rPr>
                <w:sz w:val="20"/>
              </w:rPr>
              <w:t>7.0%</w:t>
            </w:r>
          </w:p>
        </w:tc>
      </w:tr>
      <w:tr w:rsidR="009C3279" w14:paraId="5BAD1CB0" w14:textId="77777777">
        <w:trPr>
          <w:cantSplit/>
        </w:trPr>
        <w:tc>
          <w:tcPr>
            <w:tcW w:w="2340" w:type="dxa"/>
          </w:tcPr>
          <w:p w14:paraId="3E9697FD" w14:textId="77777777" w:rsidR="009C3279" w:rsidRDefault="002825F9" w:rsidP="001A0501">
            <w:pPr>
              <w:spacing w:before="60" w:after="60"/>
              <w:jc w:val="left"/>
            </w:pPr>
            <w:r>
              <w:rPr>
                <w:sz w:val="20"/>
              </w:rPr>
              <w:t>Net margin</w:t>
            </w:r>
          </w:p>
        </w:tc>
        <w:tc>
          <w:tcPr>
            <w:tcW w:w="2340" w:type="dxa"/>
          </w:tcPr>
          <w:p w14:paraId="3251959C" w14:textId="77777777" w:rsidR="009C3279" w:rsidRDefault="002825F9" w:rsidP="001A0501">
            <w:pPr>
              <w:spacing w:before="60" w:after="60"/>
              <w:jc w:val="center"/>
            </w:pPr>
            <w:r>
              <w:rPr>
                <w:sz w:val="20"/>
              </w:rPr>
              <w:t>4.7%</w:t>
            </w:r>
          </w:p>
        </w:tc>
        <w:tc>
          <w:tcPr>
            <w:tcW w:w="2340" w:type="dxa"/>
          </w:tcPr>
          <w:p w14:paraId="7EE54D32" w14:textId="77777777" w:rsidR="009C3279" w:rsidRDefault="002825F9" w:rsidP="001A0501">
            <w:pPr>
              <w:spacing w:before="60" w:after="60"/>
              <w:jc w:val="center"/>
            </w:pPr>
            <w:r>
              <w:rPr>
                <w:sz w:val="20"/>
              </w:rPr>
              <w:t>4.2%</w:t>
            </w:r>
          </w:p>
        </w:tc>
        <w:tc>
          <w:tcPr>
            <w:tcW w:w="2340" w:type="dxa"/>
          </w:tcPr>
          <w:p w14:paraId="3DCF7AF7" w14:textId="77777777" w:rsidR="009C3279" w:rsidRDefault="002825F9" w:rsidP="001A0501">
            <w:pPr>
              <w:spacing w:before="60" w:after="60"/>
              <w:jc w:val="center"/>
            </w:pPr>
            <w:r>
              <w:rPr>
                <w:sz w:val="20"/>
              </w:rPr>
              <w:t>5.2%</w:t>
            </w:r>
          </w:p>
        </w:tc>
      </w:tr>
      <w:tr w:rsidR="009C3279" w14:paraId="0E325AC0" w14:textId="77777777">
        <w:trPr>
          <w:cantSplit/>
        </w:trPr>
        <w:tc>
          <w:tcPr>
            <w:tcW w:w="2340" w:type="dxa"/>
          </w:tcPr>
          <w:p w14:paraId="1B32664E" w14:textId="77777777" w:rsidR="009C3279" w:rsidRDefault="002825F9" w:rsidP="001A0501">
            <w:pPr>
              <w:spacing w:before="60" w:after="60"/>
              <w:jc w:val="left"/>
            </w:pPr>
            <w:r>
              <w:rPr>
                <w:sz w:val="20"/>
              </w:rPr>
              <w:t>Return on assets</w:t>
            </w:r>
          </w:p>
        </w:tc>
        <w:tc>
          <w:tcPr>
            <w:tcW w:w="2340" w:type="dxa"/>
          </w:tcPr>
          <w:p w14:paraId="778B740E" w14:textId="77777777" w:rsidR="009C3279" w:rsidRDefault="002825F9" w:rsidP="001A0501">
            <w:pPr>
              <w:spacing w:before="60" w:after="60"/>
              <w:jc w:val="center"/>
            </w:pPr>
            <w:r>
              <w:rPr>
                <w:sz w:val="20"/>
              </w:rPr>
              <w:t>4.6%</w:t>
            </w:r>
          </w:p>
        </w:tc>
        <w:tc>
          <w:tcPr>
            <w:tcW w:w="2340" w:type="dxa"/>
          </w:tcPr>
          <w:p w14:paraId="3BF0465B" w14:textId="77777777" w:rsidR="009C3279" w:rsidRDefault="002825F9" w:rsidP="001A0501">
            <w:pPr>
              <w:spacing w:before="60" w:after="60"/>
              <w:jc w:val="center"/>
            </w:pPr>
            <w:r>
              <w:rPr>
                <w:sz w:val="20"/>
              </w:rPr>
              <w:t>4.4%</w:t>
            </w:r>
          </w:p>
        </w:tc>
        <w:tc>
          <w:tcPr>
            <w:tcW w:w="2340" w:type="dxa"/>
          </w:tcPr>
          <w:p w14:paraId="0BC7E1E9" w14:textId="77777777" w:rsidR="009C3279" w:rsidRDefault="002825F9" w:rsidP="001A0501">
            <w:pPr>
              <w:spacing w:before="60" w:after="60"/>
              <w:jc w:val="center"/>
            </w:pPr>
            <w:r>
              <w:rPr>
                <w:sz w:val="20"/>
              </w:rPr>
              <w:t>5.4%</w:t>
            </w:r>
          </w:p>
        </w:tc>
      </w:tr>
      <w:tr w:rsidR="009C3279" w14:paraId="60F7C652" w14:textId="77777777">
        <w:trPr>
          <w:cantSplit/>
        </w:trPr>
        <w:tc>
          <w:tcPr>
            <w:tcW w:w="2340" w:type="dxa"/>
          </w:tcPr>
          <w:p w14:paraId="3CD02695" w14:textId="77777777" w:rsidR="009C3279" w:rsidRDefault="002825F9" w:rsidP="001A0501">
            <w:pPr>
              <w:spacing w:before="60" w:after="60"/>
              <w:jc w:val="left"/>
            </w:pPr>
            <w:r>
              <w:rPr>
                <w:sz w:val="20"/>
              </w:rPr>
              <w:t>Return on equity</w:t>
            </w:r>
          </w:p>
        </w:tc>
        <w:tc>
          <w:tcPr>
            <w:tcW w:w="2340" w:type="dxa"/>
          </w:tcPr>
          <w:p w14:paraId="1864E9C3" w14:textId="77777777" w:rsidR="009C3279" w:rsidRDefault="002825F9" w:rsidP="001A0501">
            <w:pPr>
              <w:spacing w:before="60" w:after="60"/>
              <w:jc w:val="center"/>
            </w:pPr>
            <w:r>
              <w:rPr>
                <w:sz w:val="20"/>
              </w:rPr>
              <w:t>7.0%</w:t>
            </w:r>
          </w:p>
        </w:tc>
        <w:tc>
          <w:tcPr>
            <w:tcW w:w="2340" w:type="dxa"/>
          </w:tcPr>
          <w:p w14:paraId="7268AA30" w14:textId="77777777" w:rsidR="009C3279" w:rsidRDefault="002825F9" w:rsidP="001A0501">
            <w:pPr>
              <w:spacing w:before="60" w:after="60"/>
              <w:jc w:val="center"/>
            </w:pPr>
            <w:r>
              <w:rPr>
                <w:sz w:val="20"/>
              </w:rPr>
              <w:t>6.4%</w:t>
            </w:r>
          </w:p>
        </w:tc>
        <w:tc>
          <w:tcPr>
            <w:tcW w:w="2340" w:type="dxa"/>
          </w:tcPr>
          <w:p w14:paraId="3455F72A" w14:textId="77777777" w:rsidR="009C3279" w:rsidRDefault="002825F9" w:rsidP="001A0501">
            <w:pPr>
              <w:spacing w:before="60" w:after="60"/>
              <w:jc w:val="center"/>
            </w:pPr>
            <w:r>
              <w:rPr>
                <w:sz w:val="20"/>
              </w:rPr>
              <w:t>7.5%</w:t>
            </w:r>
          </w:p>
        </w:tc>
      </w:tr>
      <w:tr w:rsidR="009C3279" w14:paraId="0BFCE056" w14:textId="77777777">
        <w:trPr>
          <w:cantSplit/>
        </w:trPr>
        <w:tc>
          <w:tcPr>
            <w:tcW w:w="2340" w:type="dxa"/>
          </w:tcPr>
          <w:p w14:paraId="1C801D3F" w14:textId="77777777" w:rsidR="009C3279" w:rsidRDefault="002825F9" w:rsidP="001A0501">
            <w:pPr>
              <w:spacing w:before="60" w:after="60"/>
              <w:jc w:val="left"/>
            </w:pPr>
            <w:r>
              <w:rPr>
                <w:sz w:val="20"/>
              </w:rPr>
              <w:t>Return on invested capital</w:t>
            </w:r>
          </w:p>
        </w:tc>
        <w:tc>
          <w:tcPr>
            <w:tcW w:w="2340" w:type="dxa"/>
          </w:tcPr>
          <w:p w14:paraId="79EEAB1D" w14:textId="77777777" w:rsidR="009C3279" w:rsidRDefault="002825F9" w:rsidP="001A0501">
            <w:pPr>
              <w:spacing w:before="60" w:after="60"/>
              <w:jc w:val="center"/>
            </w:pPr>
            <w:r>
              <w:rPr>
                <w:sz w:val="20"/>
              </w:rPr>
              <w:t>5.0%</w:t>
            </w:r>
          </w:p>
        </w:tc>
        <w:tc>
          <w:tcPr>
            <w:tcW w:w="2340" w:type="dxa"/>
          </w:tcPr>
          <w:p w14:paraId="54275E56" w14:textId="77777777" w:rsidR="009C3279" w:rsidRDefault="002825F9" w:rsidP="001A0501">
            <w:pPr>
              <w:spacing w:before="60" w:after="60"/>
              <w:jc w:val="center"/>
            </w:pPr>
            <w:r>
              <w:rPr>
                <w:sz w:val="20"/>
              </w:rPr>
              <w:t>5.1%</w:t>
            </w:r>
          </w:p>
        </w:tc>
        <w:tc>
          <w:tcPr>
            <w:tcW w:w="2340" w:type="dxa"/>
          </w:tcPr>
          <w:p w14:paraId="055AEB2D" w14:textId="77777777" w:rsidR="009C3279" w:rsidRDefault="002825F9" w:rsidP="001A0501">
            <w:pPr>
              <w:spacing w:before="60" w:after="60"/>
              <w:jc w:val="center"/>
            </w:pPr>
            <w:r>
              <w:rPr>
                <w:sz w:val="20"/>
              </w:rPr>
              <w:t>6.8%</w:t>
            </w:r>
          </w:p>
        </w:tc>
      </w:tr>
      <w:tr w:rsidR="009C3279" w14:paraId="2CE135DA" w14:textId="77777777">
        <w:trPr>
          <w:cantSplit/>
        </w:trPr>
        <w:tc>
          <w:tcPr>
            <w:tcW w:w="2340" w:type="dxa"/>
          </w:tcPr>
          <w:p w14:paraId="7F37058D" w14:textId="77777777" w:rsidR="009C3279" w:rsidRDefault="002825F9" w:rsidP="001A0501">
            <w:pPr>
              <w:spacing w:before="60" w:after="60"/>
              <w:jc w:val="left"/>
            </w:pPr>
            <w:r>
              <w:rPr>
                <w:sz w:val="20"/>
              </w:rPr>
              <w:t>Inventory turnover</w:t>
            </w:r>
          </w:p>
        </w:tc>
        <w:tc>
          <w:tcPr>
            <w:tcW w:w="2340" w:type="dxa"/>
          </w:tcPr>
          <w:p w14:paraId="7CDCE8E8" w14:textId="77777777" w:rsidR="009C3279" w:rsidRDefault="002825F9" w:rsidP="001A0501">
            <w:pPr>
              <w:spacing w:before="60" w:after="60"/>
              <w:jc w:val="center"/>
            </w:pPr>
            <w:r>
              <w:rPr>
                <w:sz w:val="20"/>
              </w:rPr>
              <w:t>7.53x</w:t>
            </w:r>
          </w:p>
        </w:tc>
        <w:tc>
          <w:tcPr>
            <w:tcW w:w="2340" w:type="dxa"/>
          </w:tcPr>
          <w:p w14:paraId="41E001B2" w14:textId="77777777" w:rsidR="009C3279" w:rsidRDefault="002825F9" w:rsidP="001A0501">
            <w:pPr>
              <w:spacing w:before="60" w:after="60"/>
              <w:jc w:val="center"/>
            </w:pPr>
            <w:r>
              <w:rPr>
                <w:sz w:val="20"/>
              </w:rPr>
              <w:t>7.59x</w:t>
            </w:r>
          </w:p>
        </w:tc>
        <w:tc>
          <w:tcPr>
            <w:tcW w:w="2340" w:type="dxa"/>
          </w:tcPr>
          <w:p w14:paraId="49ADD56B" w14:textId="77777777" w:rsidR="009C3279" w:rsidRDefault="002825F9" w:rsidP="001A0501">
            <w:pPr>
              <w:spacing w:before="60" w:after="60"/>
              <w:jc w:val="center"/>
            </w:pPr>
            <w:r>
              <w:rPr>
                <w:sz w:val="20"/>
              </w:rPr>
              <w:t>8.35x</w:t>
            </w:r>
          </w:p>
        </w:tc>
      </w:tr>
      <w:tr w:rsidR="009C3279" w14:paraId="416EF2CE" w14:textId="77777777">
        <w:trPr>
          <w:cantSplit/>
        </w:trPr>
        <w:tc>
          <w:tcPr>
            <w:tcW w:w="2340" w:type="dxa"/>
          </w:tcPr>
          <w:p w14:paraId="56DBA6B7" w14:textId="77777777" w:rsidR="009C3279" w:rsidRDefault="002825F9" w:rsidP="001A0501">
            <w:pPr>
              <w:spacing w:before="60" w:after="60"/>
              <w:jc w:val="left"/>
            </w:pPr>
            <w:r>
              <w:rPr>
                <w:sz w:val="20"/>
              </w:rPr>
              <w:t>Receivables turnover</w:t>
            </w:r>
          </w:p>
        </w:tc>
        <w:tc>
          <w:tcPr>
            <w:tcW w:w="2340" w:type="dxa"/>
          </w:tcPr>
          <w:p w14:paraId="43978F00" w14:textId="77777777" w:rsidR="009C3279" w:rsidRDefault="002825F9" w:rsidP="001A0501">
            <w:pPr>
              <w:spacing w:before="60" w:after="60"/>
              <w:jc w:val="center"/>
            </w:pPr>
            <w:r>
              <w:rPr>
                <w:sz w:val="20"/>
              </w:rPr>
              <w:t>9.04x</w:t>
            </w:r>
          </w:p>
        </w:tc>
        <w:tc>
          <w:tcPr>
            <w:tcW w:w="2340" w:type="dxa"/>
          </w:tcPr>
          <w:p w14:paraId="2855C8A5" w14:textId="77777777" w:rsidR="009C3279" w:rsidRDefault="002825F9" w:rsidP="001A0501">
            <w:pPr>
              <w:spacing w:before="60" w:after="60"/>
              <w:jc w:val="center"/>
            </w:pPr>
            <w:r>
              <w:rPr>
                <w:sz w:val="20"/>
              </w:rPr>
              <w:t>8.00x</w:t>
            </w:r>
          </w:p>
        </w:tc>
        <w:tc>
          <w:tcPr>
            <w:tcW w:w="2340" w:type="dxa"/>
          </w:tcPr>
          <w:p w14:paraId="7DFF2D04" w14:textId="77777777" w:rsidR="009C3279" w:rsidRDefault="002825F9" w:rsidP="001A0501">
            <w:pPr>
              <w:spacing w:before="60" w:after="60"/>
              <w:jc w:val="center"/>
            </w:pPr>
            <w:r>
              <w:rPr>
                <w:sz w:val="20"/>
              </w:rPr>
              <w:t>7.97x</w:t>
            </w:r>
          </w:p>
        </w:tc>
      </w:tr>
      <w:tr w:rsidR="009C3279" w14:paraId="18E357B8" w14:textId="77777777">
        <w:trPr>
          <w:cantSplit/>
        </w:trPr>
        <w:tc>
          <w:tcPr>
            <w:tcW w:w="2340" w:type="dxa"/>
          </w:tcPr>
          <w:p w14:paraId="5865A885" w14:textId="77777777" w:rsidR="009C3279" w:rsidRDefault="002825F9" w:rsidP="001A0501">
            <w:pPr>
              <w:spacing w:before="60" w:after="60"/>
              <w:jc w:val="left"/>
            </w:pPr>
            <w:r>
              <w:rPr>
                <w:sz w:val="20"/>
              </w:rPr>
              <w:t>Payables turnover</w:t>
            </w:r>
          </w:p>
        </w:tc>
        <w:tc>
          <w:tcPr>
            <w:tcW w:w="2340" w:type="dxa"/>
          </w:tcPr>
          <w:p w14:paraId="4EFECE6E" w14:textId="77777777" w:rsidR="009C3279" w:rsidRDefault="002825F9" w:rsidP="001A0501">
            <w:pPr>
              <w:spacing w:before="60" w:after="60"/>
              <w:jc w:val="center"/>
            </w:pPr>
            <w:r>
              <w:rPr>
                <w:sz w:val="20"/>
              </w:rPr>
              <w:t>13.73x</w:t>
            </w:r>
          </w:p>
        </w:tc>
        <w:tc>
          <w:tcPr>
            <w:tcW w:w="2340" w:type="dxa"/>
          </w:tcPr>
          <w:p w14:paraId="2042432E" w14:textId="77777777" w:rsidR="009C3279" w:rsidRDefault="002825F9" w:rsidP="001A0501">
            <w:pPr>
              <w:spacing w:before="60" w:after="60"/>
              <w:jc w:val="center"/>
            </w:pPr>
            <w:r>
              <w:rPr>
                <w:sz w:val="20"/>
              </w:rPr>
              <w:t>12.28x</w:t>
            </w:r>
          </w:p>
        </w:tc>
        <w:tc>
          <w:tcPr>
            <w:tcW w:w="2340" w:type="dxa"/>
          </w:tcPr>
          <w:p w14:paraId="291800CC" w14:textId="77777777" w:rsidR="009C3279" w:rsidRDefault="002825F9" w:rsidP="001A0501">
            <w:pPr>
              <w:spacing w:before="60" w:after="60"/>
              <w:jc w:val="center"/>
            </w:pPr>
            <w:r>
              <w:rPr>
                <w:sz w:val="20"/>
              </w:rPr>
              <w:t>11.40x</w:t>
            </w:r>
          </w:p>
        </w:tc>
      </w:tr>
      <w:tr w:rsidR="009C3279" w14:paraId="217CC83C" w14:textId="77777777">
        <w:trPr>
          <w:cantSplit/>
        </w:trPr>
        <w:tc>
          <w:tcPr>
            <w:tcW w:w="2340" w:type="dxa"/>
          </w:tcPr>
          <w:p w14:paraId="64A8FDDE" w14:textId="77777777" w:rsidR="009C3279" w:rsidRDefault="002825F9" w:rsidP="001A0501">
            <w:pPr>
              <w:spacing w:before="60" w:after="60"/>
              <w:jc w:val="left"/>
            </w:pPr>
            <w:r>
              <w:rPr>
                <w:sz w:val="20"/>
              </w:rPr>
              <w:lastRenderedPageBreak/>
              <w:t>Debt to equity</w:t>
            </w:r>
          </w:p>
        </w:tc>
        <w:tc>
          <w:tcPr>
            <w:tcW w:w="2340" w:type="dxa"/>
          </w:tcPr>
          <w:p w14:paraId="42200730" w14:textId="77777777" w:rsidR="009C3279" w:rsidRDefault="002825F9" w:rsidP="001A0501">
            <w:pPr>
              <w:spacing w:before="60" w:after="60"/>
              <w:jc w:val="center"/>
            </w:pPr>
            <w:r>
              <w:rPr>
                <w:sz w:val="20"/>
              </w:rPr>
              <w:t>0.35</w:t>
            </w:r>
          </w:p>
        </w:tc>
        <w:tc>
          <w:tcPr>
            <w:tcW w:w="2340" w:type="dxa"/>
          </w:tcPr>
          <w:p w14:paraId="61C09899" w14:textId="77777777" w:rsidR="009C3279" w:rsidRDefault="002825F9" w:rsidP="001A0501">
            <w:pPr>
              <w:spacing w:before="60" w:after="60"/>
              <w:jc w:val="center"/>
            </w:pPr>
            <w:r>
              <w:rPr>
                <w:sz w:val="20"/>
              </w:rPr>
              <w:t>0.23</w:t>
            </w:r>
          </w:p>
        </w:tc>
        <w:tc>
          <w:tcPr>
            <w:tcW w:w="2340" w:type="dxa"/>
          </w:tcPr>
          <w:p w14:paraId="34AB0F75" w14:textId="77777777" w:rsidR="009C3279" w:rsidRDefault="002825F9" w:rsidP="001A0501">
            <w:pPr>
              <w:spacing w:before="60" w:after="60"/>
              <w:jc w:val="center"/>
            </w:pPr>
            <w:r>
              <w:rPr>
                <w:sz w:val="20"/>
              </w:rPr>
              <w:t>0.18</w:t>
            </w:r>
          </w:p>
        </w:tc>
      </w:tr>
      <w:tr w:rsidR="009C3279" w14:paraId="66825AD8" w14:textId="77777777">
        <w:trPr>
          <w:cantSplit/>
        </w:trPr>
        <w:tc>
          <w:tcPr>
            <w:tcW w:w="2340" w:type="dxa"/>
            <w:tcBorders>
              <w:bottom w:val="single" w:sz="8" w:space="0" w:color="000000"/>
            </w:tcBorders>
          </w:tcPr>
          <w:p w14:paraId="4B1A5946" w14:textId="77777777" w:rsidR="009C3279" w:rsidRDefault="002825F9" w:rsidP="001A0501">
            <w:pPr>
              <w:spacing w:before="60" w:after="60"/>
              <w:jc w:val="left"/>
            </w:pPr>
            <w:r>
              <w:rPr>
                <w:sz w:val="20"/>
              </w:rPr>
              <w:t>Interest coverage</w:t>
            </w:r>
          </w:p>
        </w:tc>
        <w:tc>
          <w:tcPr>
            <w:tcW w:w="2340" w:type="dxa"/>
            <w:tcBorders>
              <w:bottom w:val="single" w:sz="8" w:space="0" w:color="000000"/>
            </w:tcBorders>
          </w:tcPr>
          <w:p w14:paraId="4CDFA41A" w14:textId="77777777" w:rsidR="009C3279" w:rsidRDefault="002825F9" w:rsidP="001A0501">
            <w:pPr>
              <w:spacing w:before="60" w:after="60"/>
              <w:jc w:val="center"/>
            </w:pPr>
            <w:r>
              <w:rPr>
                <w:sz w:val="20"/>
              </w:rPr>
              <w:t>2.55x</w:t>
            </w:r>
          </w:p>
        </w:tc>
        <w:tc>
          <w:tcPr>
            <w:tcW w:w="2340" w:type="dxa"/>
            <w:tcBorders>
              <w:bottom w:val="single" w:sz="8" w:space="0" w:color="000000"/>
            </w:tcBorders>
          </w:tcPr>
          <w:p w14:paraId="3AA752D6" w14:textId="77777777" w:rsidR="009C3279" w:rsidRDefault="002825F9" w:rsidP="001A0501">
            <w:pPr>
              <w:spacing w:before="60" w:after="60"/>
              <w:jc w:val="center"/>
            </w:pPr>
            <w:r>
              <w:rPr>
                <w:sz w:val="20"/>
              </w:rPr>
              <w:t>5.30x</w:t>
            </w:r>
          </w:p>
        </w:tc>
        <w:tc>
          <w:tcPr>
            <w:tcW w:w="2340" w:type="dxa"/>
            <w:tcBorders>
              <w:bottom w:val="single" w:sz="8" w:space="0" w:color="000000"/>
            </w:tcBorders>
          </w:tcPr>
          <w:p w14:paraId="4021A9F8" w14:textId="77777777" w:rsidR="009C3279" w:rsidRDefault="002825F9" w:rsidP="001A0501">
            <w:pPr>
              <w:spacing w:before="60" w:after="60"/>
              <w:jc w:val="center"/>
            </w:pPr>
            <w:r>
              <w:rPr>
                <w:sz w:val="20"/>
              </w:rPr>
              <w:t>10.00x</w:t>
            </w:r>
          </w:p>
        </w:tc>
      </w:tr>
    </w:tbl>
    <w:p w14:paraId="31E402CF" w14:textId="77777777" w:rsidR="009C3279" w:rsidRDefault="002825F9" w:rsidP="001A0501">
      <w:pPr>
        <w:spacing w:before="80" w:after="240"/>
        <w:jc w:val="left"/>
      </w:pPr>
      <w:r>
        <w:rPr>
          <w:i/>
          <w:sz w:val="18"/>
        </w:rPr>
        <w:t xml:space="preserve">Note. </w:t>
      </w:r>
      <w:r>
        <w:rPr>
          <w:sz w:val="18"/>
        </w:rPr>
        <w:t>FY2023 return and turnover ratios use closing balance sheet values; FY2024 and FY2025 use average values.</w:t>
      </w:r>
    </w:p>
    <w:p w14:paraId="134CA016" w14:textId="77777777" w:rsidR="009C3279" w:rsidRDefault="002825F9" w:rsidP="001A0501">
      <w:r>
        <w:t>The DuPont decomposition places the working capital improvement in context. Return on equity recovered to 7.5% in FY2025 without any increase in leverage: the equity multiplier fell in each year following the share issue, so the improvement in returns came from margin and from asset efficiency rather than from balance sheet gearing.</w:t>
      </w:r>
    </w:p>
    <w:p w14:paraId="7DA61A25" w14:textId="77777777" w:rsidR="009C3279" w:rsidRDefault="002825F9" w:rsidP="001A0501">
      <w:pPr>
        <w:keepNext/>
        <w:spacing w:before="240" w:after="0"/>
        <w:jc w:val="left"/>
      </w:pPr>
      <w:r>
        <w:rPr>
          <w:b/>
          <w:sz w:val="20"/>
        </w:rPr>
        <w:t>Table C2</w:t>
      </w:r>
    </w:p>
    <w:p w14:paraId="6845F972" w14:textId="77777777" w:rsidR="009C3279" w:rsidRDefault="002825F9" w:rsidP="001A0501">
      <w:pPr>
        <w:keepNext/>
        <w:spacing w:after="80"/>
        <w:jc w:val="left"/>
      </w:pPr>
      <w:r>
        <w:rPr>
          <w:i/>
          <w:sz w:val="20"/>
        </w:rPr>
        <w:t>DuPont Decomposition of Return on Equity, NHH, FY2023–FY2025</w:t>
      </w:r>
    </w:p>
    <w:tbl>
      <w:tblPr>
        <w:tblW w:w="0" w:type="auto"/>
        <w:tblLook w:val="04A0" w:firstRow="1" w:lastRow="0" w:firstColumn="1" w:lastColumn="0" w:noHBand="0" w:noVBand="1"/>
      </w:tblPr>
      <w:tblGrid>
        <w:gridCol w:w="2340"/>
        <w:gridCol w:w="2340"/>
        <w:gridCol w:w="2340"/>
        <w:gridCol w:w="2340"/>
      </w:tblGrid>
      <w:tr w:rsidR="009C3279" w14:paraId="47D5275E" w14:textId="77777777">
        <w:trPr>
          <w:cantSplit/>
          <w:tblHeader/>
        </w:trPr>
        <w:tc>
          <w:tcPr>
            <w:tcW w:w="2340" w:type="dxa"/>
            <w:tcBorders>
              <w:top w:val="single" w:sz="8" w:space="0" w:color="000000"/>
              <w:bottom w:val="single" w:sz="6" w:space="0" w:color="000000"/>
            </w:tcBorders>
          </w:tcPr>
          <w:p w14:paraId="5F7F7BEE" w14:textId="77777777" w:rsidR="009C3279" w:rsidRDefault="002825F9" w:rsidP="001A0501">
            <w:pPr>
              <w:spacing w:before="60" w:after="60"/>
              <w:jc w:val="left"/>
            </w:pPr>
            <w:r>
              <w:rPr>
                <w:b/>
                <w:sz w:val="20"/>
              </w:rPr>
              <w:t>DuPont component</w:t>
            </w:r>
          </w:p>
        </w:tc>
        <w:tc>
          <w:tcPr>
            <w:tcW w:w="2340" w:type="dxa"/>
            <w:tcBorders>
              <w:top w:val="single" w:sz="8" w:space="0" w:color="000000"/>
              <w:bottom w:val="single" w:sz="6" w:space="0" w:color="000000"/>
            </w:tcBorders>
          </w:tcPr>
          <w:p w14:paraId="38C23A6B" w14:textId="77777777" w:rsidR="009C3279" w:rsidRDefault="002825F9" w:rsidP="001A0501">
            <w:pPr>
              <w:spacing w:before="60" w:after="60"/>
              <w:jc w:val="center"/>
            </w:pPr>
            <w:r>
              <w:rPr>
                <w:b/>
                <w:sz w:val="20"/>
              </w:rPr>
              <w:t>FY2023</w:t>
            </w:r>
          </w:p>
        </w:tc>
        <w:tc>
          <w:tcPr>
            <w:tcW w:w="2340" w:type="dxa"/>
            <w:tcBorders>
              <w:top w:val="single" w:sz="8" w:space="0" w:color="000000"/>
              <w:bottom w:val="single" w:sz="6" w:space="0" w:color="000000"/>
            </w:tcBorders>
          </w:tcPr>
          <w:p w14:paraId="0E47F65D" w14:textId="77777777" w:rsidR="009C3279" w:rsidRDefault="002825F9" w:rsidP="001A0501">
            <w:pPr>
              <w:spacing w:before="60" w:after="60"/>
              <w:jc w:val="center"/>
            </w:pPr>
            <w:r>
              <w:rPr>
                <w:b/>
                <w:sz w:val="20"/>
              </w:rPr>
              <w:t>FY2024</w:t>
            </w:r>
          </w:p>
        </w:tc>
        <w:tc>
          <w:tcPr>
            <w:tcW w:w="2340" w:type="dxa"/>
            <w:tcBorders>
              <w:top w:val="single" w:sz="8" w:space="0" w:color="000000"/>
              <w:bottom w:val="single" w:sz="6" w:space="0" w:color="000000"/>
            </w:tcBorders>
          </w:tcPr>
          <w:p w14:paraId="79C2F8F1" w14:textId="77777777" w:rsidR="009C3279" w:rsidRDefault="002825F9" w:rsidP="001A0501">
            <w:pPr>
              <w:spacing w:before="60" w:after="60"/>
              <w:jc w:val="center"/>
            </w:pPr>
            <w:r>
              <w:rPr>
                <w:b/>
                <w:sz w:val="20"/>
              </w:rPr>
              <w:t>FY2025</w:t>
            </w:r>
          </w:p>
        </w:tc>
      </w:tr>
      <w:tr w:rsidR="009C3279" w14:paraId="35551E04" w14:textId="77777777">
        <w:trPr>
          <w:cantSplit/>
        </w:trPr>
        <w:tc>
          <w:tcPr>
            <w:tcW w:w="2340" w:type="dxa"/>
          </w:tcPr>
          <w:p w14:paraId="575417B1" w14:textId="77777777" w:rsidR="009C3279" w:rsidRDefault="002825F9" w:rsidP="001A0501">
            <w:pPr>
              <w:spacing w:before="60" w:after="60"/>
              <w:jc w:val="left"/>
            </w:pPr>
            <w:r>
              <w:rPr>
                <w:sz w:val="20"/>
              </w:rPr>
              <w:t>Net margin</w:t>
            </w:r>
          </w:p>
        </w:tc>
        <w:tc>
          <w:tcPr>
            <w:tcW w:w="2340" w:type="dxa"/>
          </w:tcPr>
          <w:p w14:paraId="501DB346" w14:textId="77777777" w:rsidR="009C3279" w:rsidRDefault="002825F9" w:rsidP="001A0501">
            <w:pPr>
              <w:spacing w:before="60" w:after="60"/>
              <w:jc w:val="center"/>
            </w:pPr>
            <w:r>
              <w:rPr>
                <w:sz w:val="20"/>
              </w:rPr>
              <w:t>4.72%</w:t>
            </w:r>
          </w:p>
        </w:tc>
        <w:tc>
          <w:tcPr>
            <w:tcW w:w="2340" w:type="dxa"/>
          </w:tcPr>
          <w:p w14:paraId="1E735355" w14:textId="77777777" w:rsidR="009C3279" w:rsidRDefault="002825F9" w:rsidP="001A0501">
            <w:pPr>
              <w:spacing w:before="60" w:after="60"/>
              <w:jc w:val="center"/>
            </w:pPr>
            <w:r>
              <w:rPr>
                <w:sz w:val="20"/>
              </w:rPr>
              <w:t>4.19%</w:t>
            </w:r>
          </w:p>
        </w:tc>
        <w:tc>
          <w:tcPr>
            <w:tcW w:w="2340" w:type="dxa"/>
          </w:tcPr>
          <w:p w14:paraId="4950A19F" w14:textId="77777777" w:rsidR="009C3279" w:rsidRDefault="002825F9" w:rsidP="001A0501">
            <w:pPr>
              <w:spacing w:before="60" w:after="60"/>
              <w:jc w:val="center"/>
            </w:pPr>
            <w:r>
              <w:rPr>
                <w:sz w:val="20"/>
              </w:rPr>
              <w:t>5.18%</w:t>
            </w:r>
          </w:p>
        </w:tc>
      </w:tr>
      <w:tr w:rsidR="009C3279" w14:paraId="540DAC4C" w14:textId="77777777">
        <w:trPr>
          <w:cantSplit/>
        </w:trPr>
        <w:tc>
          <w:tcPr>
            <w:tcW w:w="2340" w:type="dxa"/>
          </w:tcPr>
          <w:p w14:paraId="1D6D3D59" w14:textId="77777777" w:rsidR="009C3279" w:rsidRDefault="002825F9" w:rsidP="001A0501">
            <w:pPr>
              <w:spacing w:before="60" w:after="60"/>
              <w:jc w:val="left"/>
            </w:pPr>
            <w:r>
              <w:rPr>
                <w:sz w:val="20"/>
              </w:rPr>
              <w:t>Asset turnover</w:t>
            </w:r>
          </w:p>
        </w:tc>
        <w:tc>
          <w:tcPr>
            <w:tcW w:w="2340" w:type="dxa"/>
          </w:tcPr>
          <w:p w14:paraId="02D73429" w14:textId="77777777" w:rsidR="009C3279" w:rsidRDefault="002825F9" w:rsidP="001A0501">
            <w:pPr>
              <w:spacing w:before="60" w:after="60"/>
              <w:jc w:val="center"/>
            </w:pPr>
            <w:r>
              <w:rPr>
                <w:sz w:val="20"/>
              </w:rPr>
              <w:t>0.98x</w:t>
            </w:r>
          </w:p>
        </w:tc>
        <w:tc>
          <w:tcPr>
            <w:tcW w:w="2340" w:type="dxa"/>
          </w:tcPr>
          <w:p w14:paraId="14F8BE8C" w14:textId="77777777" w:rsidR="009C3279" w:rsidRDefault="002825F9" w:rsidP="001A0501">
            <w:pPr>
              <w:spacing w:before="60" w:after="60"/>
              <w:jc w:val="center"/>
            </w:pPr>
            <w:r>
              <w:rPr>
                <w:sz w:val="20"/>
              </w:rPr>
              <w:t>1.05x</w:t>
            </w:r>
          </w:p>
        </w:tc>
        <w:tc>
          <w:tcPr>
            <w:tcW w:w="2340" w:type="dxa"/>
          </w:tcPr>
          <w:p w14:paraId="25B2B670" w14:textId="77777777" w:rsidR="009C3279" w:rsidRDefault="002825F9" w:rsidP="001A0501">
            <w:pPr>
              <w:spacing w:before="60" w:after="60"/>
              <w:jc w:val="center"/>
            </w:pPr>
            <w:r>
              <w:rPr>
                <w:sz w:val="20"/>
              </w:rPr>
              <w:t>1.04x</w:t>
            </w:r>
          </w:p>
        </w:tc>
      </w:tr>
      <w:tr w:rsidR="009C3279" w14:paraId="0E6784FE" w14:textId="77777777">
        <w:trPr>
          <w:cantSplit/>
        </w:trPr>
        <w:tc>
          <w:tcPr>
            <w:tcW w:w="2340" w:type="dxa"/>
          </w:tcPr>
          <w:p w14:paraId="2B97AFA2" w14:textId="77777777" w:rsidR="009C3279" w:rsidRDefault="002825F9" w:rsidP="001A0501">
            <w:pPr>
              <w:spacing w:before="60" w:after="60"/>
              <w:jc w:val="left"/>
            </w:pPr>
            <w:r>
              <w:rPr>
                <w:sz w:val="20"/>
              </w:rPr>
              <w:t>Equity multiplier</w:t>
            </w:r>
          </w:p>
        </w:tc>
        <w:tc>
          <w:tcPr>
            <w:tcW w:w="2340" w:type="dxa"/>
          </w:tcPr>
          <w:p w14:paraId="7539B363" w14:textId="77777777" w:rsidR="009C3279" w:rsidRDefault="002825F9" w:rsidP="001A0501">
            <w:pPr>
              <w:spacing w:before="60" w:after="60"/>
              <w:jc w:val="center"/>
            </w:pPr>
            <w:r>
              <w:rPr>
                <w:sz w:val="20"/>
              </w:rPr>
              <w:t>1.51x</w:t>
            </w:r>
          </w:p>
        </w:tc>
        <w:tc>
          <w:tcPr>
            <w:tcW w:w="2340" w:type="dxa"/>
          </w:tcPr>
          <w:p w14:paraId="41A3DF7D" w14:textId="77777777" w:rsidR="009C3279" w:rsidRDefault="002825F9" w:rsidP="001A0501">
            <w:pPr>
              <w:spacing w:before="60" w:after="60"/>
              <w:jc w:val="center"/>
            </w:pPr>
            <w:r>
              <w:rPr>
                <w:sz w:val="20"/>
              </w:rPr>
              <w:t>1.47x</w:t>
            </w:r>
          </w:p>
        </w:tc>
        <w:tc>
          <w:tcPr>
            <w:tcW w:w="2340" w:type="dxa"/>
          </w:tcPr>
          <w:p w14:paraId="46C1A86F" w14:textId="77777777" w:rsidR="009C3279" w:rsidRDefault="002825F9" w:rsidP="001A0501">
            <w:pPr>
              <w:spacing w:before="60" w:after="60"/>
              <w:jc w:val="center"/>
            </w:pPr>
            <w:r>
              <w:rPr>
                <w:sz w:val="20"/>
              </w:rPr>
              <w:t>1.40x</w:t>
            </w:r>
          </w:p>
        </w:tc>
      </w:tr>
      <w:tr w:rsidR="009C3279" w14:paraId="533107DC" w14:textId="77777777">
        <w:trPr>
          <w:cantSplit/>
        </w:trPr>
        <w:tc>
          <w:tcPr>
            <w:tcW w:w="2340" w:type="dxa"/>
            <w:tcBorders>
              <w:bottom w:val="single" w:sz="8" w:space="0" w:color="000000"/>
            </w:tcBorders>
          </w:tcPr>
          <w:p w14:paraId="3465AF82" w14:textId="77777777" w:rsidR="009C3279" w:rsidRDefault="002825F9" w:rsidP="001A0501">
            <w:pPr>
              <w:spacing w:before="60" w:after="60"/>
              <w:jc w:val="left"/>
            </w:pPr>
            <w:r>
              <w:rPr>
                <w:sz w:val="20"/>
              </w:rPr>
              <w:t>Return on equity (product)</w:t>
            </w:r>
          </w:p>
        </w:tc>
        <w:tc>
          <w:tcPr>
            <w:tcW w:w="2340" w:type="dxa"/>
            <w:tcBorders>
              <w:bottom w:val="single" w:sz="8" w:space="0" w:color="000000"/>
            </w:tcBorders>
          </w:tcPr>
          <w:p w14:paraId="3C0AE0A6" w14:textId="77777777" w:rsidR="009C3279" w:rsidRDefault="002825F9" w:rsidP="001A0501">
            <w:pPr>
              <w:spacing w:before="60" w:after="60"/>
              <w:jc w:val="center"/>
            </w:pPr>
            <w:r>
              <w:rPr>
                <w:sz w:val="20"/>
              </w:rPr>
              <w:t>7.01%</w:t>
            </w:r>
          </w:p>
        </w:tc>
        <w:tc>
          <w:tcPr>
            <w:tcW w:w="2340" w:type="dxa"/>
            <w:tcBorders>
              <w:bottom w:val="single" w:sz="8" w:space="0" w:color="000000"/>
            </w:tcBorders>
          </w:tcPr>
          <w:p w14:paraId="085912A8" w14:textId="77777777" w:rsidR="009C3279" w:rsidRDefault="002825F9" w:rsidP="001A0501">
            <w:pPr>
              <w:spacing w:before="60" w:after="60"/>
              <w:jc w:val="center"/>
            </w:pPr>
            <w:r>
              <w:rPr>
                <w:sz w:val="20"/>
              </w:rPr>
              <w:t>6.44%</w:t>
            </w:r>
          </w:p>
        </w:tc>
        <w:tc>
          <w:tcPr>
            <w:tcW w:w="2340" w:type="dxa"/>
            <w:tcBorders>
              <w:bottom w:val="single" w:sz="8" w:space="0" w:color="000000"/>
            </w:tcBorders>
          </w:tcPr>
          <w:p w14:paraId="5C2D5C0B" w14:textId="77777777" w:rsidR="009C3279" w:rsidRDefault="002825F9" w:rsidP="001A0501">
            <w:pPr>
              <w:spacing w:before="60" w:after="60"/>
              <w:jc w:val="center"/>
            </w:pPr>
            <w:r>
              <w:rPr>
                <w:sz w:val="20"/>
              </w:rPr>
              <w:t>7.52%</w:t>
            </w:r>
          </w:p>
        </w:tc>
      </w:tr>
    </w:tbl>
    <w:p w14:paraId="1B07520C" w14:textId="77777777" w:rsidR="009C3279" w:rsidRDefault="002825F9" w:rsidP="001A0501">
      <w:pPr>
        <w:spacing w:before="80" w:after="240"/>
        <w:jc w:val="left"/>
      </w:pPr>
      <w:r>
        <w:rPr>
          <w:i/>
          <w:sz w:val="18"/>
        </w:rPr>
        <w:t xml:space="preserve">Note. </w:t>
      </w:r>
      <w:r>
        <w:rPr>
          <w:sz w:val="18"/>
        </w:rPr>
        <w:t>Return on equity reconciles to the directly computed figure in all three years. FY2023 is computed on closing balances and is indicative.</w:t>
      </w:r>
    </w:p>
    <w:p w14:paraId="02E36902" w14:textId="77777777" w:rsidR="009C3279" w:rsidRDefault="002825F9" w:rsidP="001A0501">
      <w:r>
        <w:t>Two further measures support the discussion in Section 6. The implied cost of debt, calculated as interest expense over average gross debt, fell from 9.46% in FY2023 to 5.35% in FY2024 and 5.05% in FY2025, as gross debt was reduced from VND 486 billion to VND 330 billion. The 5.05% figure is the rate applied to the released capital in Table 5. The effective tax rate, calculated as tax expense over profit before tax, rose from 20.2% to 21.2% and then to 26.1%, moving above the statutory rate in FY2025; the company disclosed tax assessments and penalties during the period, which may account for part of this movement.</w:t>
      </w:r>
    </w:p>
    <w:p w14:paraId="2AD02B21" w14:textId="77777777" w:rsidR="00E0440B" w:rsidRDefault="00E0440B">
      <w:pPr>
        <w:spacing w:line="278" w:lineRule="auto"/>
        <w:jc w:val="left"/>
        <w:rPr>
          <w:rFonts w:cs="Calibri"/>
          <w:b/>
          <w:sz w:val="26"/>
          <w:szCs w:val="22"/>
        </w:rPr>
      </w:pPr>
      <w:r>
        <w:rPr>
          <w:rFonts w:cs="Calibri"/>
          <w:b/>
          <w:sz w:val="26"/>
          <w:szCs w:val="22"/>
        </w:rPr>
        <w:br w:type="page"/>
      </w:r>
    </w:p>
    <w:p w14:paraId="5EE2966A" w14:textId="50280838" w:rsidR="00320537" w:rsidRPr="001A0501" w:rsidRDefault="00914B86" w:rsidP="001A0501">
      <w:pPr>
        <w:pStyle w:val="Heading1"/>
        <w:spacing w:before="320" w:after="140"/>
        <w:jc w:val="left"/>
        <w:rPr>
          <w:rFonts w:ascii="Calibri" w:hAnsi="Calibri" w:cs="Calibri"/>
          <w:sz w:val="22"/>
          <w:szCs w:val="22"/>
        </w:rPr>
      </w:pPr>
      <w:r w:rsidRPr="00176147">
        <w:rPr>
          <w:rFonts w:ascii="Calibri" w:eastAsia="Calibri" w:hAnsi="Calibri" w:cs="Calibri"/>
          <w:b/>
          <w:color w:val="000000"/>
          <w:sz w:val="26"/>
          <w:szCs w:val="22"/>
        </w:rPr>
        <w:lastRenderedPageBreak/>
        <w:t>Appendix D. Source List</w:t>
      </w:r>
    </w:p>
    <w:p w14:paraId="35B14822" w14:textId="7386A126" w:rsidR="009C3279" w:rsidRDefault="00065376" w:rsidP="001A0501">
      <w:pPr>
        <w:spacing w:before="240" w:after="0"/>
      </w:pPr>
      <w:r>
        <w:rPr>
          <w:b/>
        </w:rPr>
        <w:t xml:space="preserve">Data </w:t>
      </w:r>
      <w:r w:rsidR="008469C0">
        <w:rPr>
          <w:b/>
        </w:rPr>
        <w:t xml:space="preserve">obtained and </w:t>
      </w:r>
      <w:r w:rsidR="009066EE">
        <w:rPr>
          <w:b/>
        </w:rPr>
        <w:t xml:space="preserve">saved </w:t>
      </w:r>
      <w:r w:rsidR="008469C0">
        <w:rPr>
          <w:b/>
        </w:rPr>
        <w:t xml:space="preserve">on my personal Google Drive </w:t>
      </w:r>
    </w:p>
    <w:p w14:paraId="6D292235" w14:textId="0BB0986F" w:rsidR="009C3279" w:rsidRDefault="002825F9" w:rsidP="001A0501">
      <w:pPr>
        <w:spacing w:before="240" w:after="0"/>
        <w:ind w:left="567" w:hanging="567"/>
      </w:pPr>
      <w:hyperlink r:id="rId5" w:history="1">
        <w:proofErr w:type="spellStart"/>
        <w:r w:rsidRPr="00F308E2">
          <w:rPr>
            <w:rStyle w:val="Hyperlink"/>
            <w:sz w:val="20"/>
          </w:rPr>
          <w:t>Nhựa</w:t>
        </w:r>
        <w:proofErr w:type="spellEnd"/>
        <w:r w:rsidRPr="00F308E2">
          <w:rPr>
            <w:rStyle w:val="Hyperlink"/>
            <w:sz w:val="20"/>
          </w:rPr>
          <w:t xml:space="preserve"> Hà </w:t>
        </w:r>
        <w:proofErr w:type="spellStart"/>
        <w:r w:rsidRPr="00F308E2">
          <w:rPr>
            <w:rStyle w:val="Hyperlink"/>
            <w:sz w:val="20"/>
          </w:rPr>
          <w:t>Nội</w:t>
        </w:r>
        <w:proofErr w:type="spellEnd"/>
        <w:r w:rsidRPr="00F308E2">
          <w:rPr>
            <w:rStyle w:val="Hyperlink"/>
            <w:sz w:val="20"/>
          </w:rPr>
          <w:t xml:space="preserve"> JSC. Audited consolidated financial statements, FY2022, FY2023, FY2024 and FY2025. Retrieved from the company disclosure page and the Hanoi Stock Exchange disclosure portal.</w:t>
        </w:r>
      </w:hyperlink>
      <w:r w:rsidR="000A6CFC">
        <w:rPr>
          <w:sz w:val="20"/>
        </w:rPr>
        <w:t xml:space="preserve"> </w:t>
      </w:r>
      <w:hyperlink r:id="rId6" w:history="1">
        <w:r w:rsidR="000A6CFC" w:rsidRPr="009066EE">
          <w:rPr>
            <w:rStyle w:val="Hyperlink"/>
            <w:b/>
            <w:bCs/>
            <w:color w:val="002060"/>
            <w:sz w:val="20"/>
          </w:rPr>
          <w:t>(</w:t>
        </w:r>
        <w:proofErr w:type="spellStart"/>
        <w:r w:rsidR="00065376" w:rsidRPr="009066EE">
          <w:rPr>
            <w:rStyle w:val="Hyperlink"/>
            <w:b/>
            <w:bCs/>
            <w:color w:val="002060"/>
            <w:sz w:val="20"/>
          </w:rPr>
          <w:t>Orginal</w:t>
        </w:r>
        <w:proofErr w:type="spellEnd"/>
        <w:r w:rsidR="00065376" w:rsidRPr="009066EE">
          <w:rPr>
            <w:rStyle w:val="Hyperlink"/>
            <w:b/>
            <w:bCs/>
            <w:color w:val="002060"/>
            <w:sz w:val="20"/>
          </w:rPr>
          <w:t xml:space="preserve"> source)</w:t>
        </w:r>
      </w:hyperlink>
    </w:p>
    <w:p w14:paraId="5E122DA2" w14:textId="27542AAB" w:rsidR="009C3279" w:rsidRPr="009066EE" w:rsidRDefault="002825F9" w:rsidP="008469C0">
      <w:pPr>
        <w:spacing w:before="240" w:after="0"/>
        <w:ind w:left="567" w:hanging="567"/>
        <w:rPr>
          <w:color w:val="002060"/>
        </w:rPr>
      </w:pPr>
      <w:hyperlink r:id="rId7" w:history="1">
        <w:r w:rsidRPr="00B5121B">
          <w:rPr>
            <w:rStyle w:val="Hyperlink"/>
            <w:sz w:val="20"/>
          </w:rPr>
          <w:t>Sanko Gosei Ltd. Summary of consolidated financial results for the years ended 31 May 2022, 2023, 2024 and 2025 (English reference translations, Japanese GAAP). Tokyo Stock Exchange filing, securities code 7888.</w:t>
        </w:r>
      </w:hyperlink>
      <w:r w:rsidR="008469C0">
        <w:rPr>
          <w:sz w:val="20"/>
        </w:rPr>
        <w:t xml:space="preserve"> </w:t>
      </w:r>
      <w:hyperlink r:id="rId8" w:history="1">
        <w:r w:rsidR="008469C0" w:rsidRPr="009066EE">
          <w:rPr>
            <w:rStyle w:val="Hyperlink"/>
            <w:b/>
            <w:bCs/>
            <w:color w:val="002060"/>
            <w:sz w:val="20"/>
          </w:rPr>
          <w:t>(</w:t>
        </w:r>
        <w:proofErr w:type="spellStart"/>
        <w:r w:rsidR="008469C0" w:rsidRPr="009066EE">
          <w:rPr>
            <w:rStyle w:val="Hyperlink"/>
            <w:b/>
            <w:bCs/>
            <w:color w:val="002060"/>
            <w:sz w:val="20"/>
          </w:rPr>
          <w:t>Orginal</w:t>
        </w:r>
        <w:proofErr w:type="spellEnd"/>
        <w:r w:rsidR="008469C0" w:rsidRPr="009066EE">
          <w:rPr>
            <w:rStyle w:val="Hyperlink"/>
            <w:b/>
            <w:bCs/>
            <w:color w:val="002060"/>
            <w:sz w:val="20"/>
          </w:rPr>
          <w:t xml:space="preserve"> source)</w:t>
        </w:r>
      </w:hyperlink>
    </w:p>
    <w:p w14:paraId="7A6D8CB8" w14:textId="56CE94BF" w:rsidR="009C3279" w:rsidRDefault="002825F9" w:rsidP="008469C0">
      <w:pPr>
        <w:spacing w:before="240" w:after="0"/>
        <w:ind w:left="567" w:hanging="567"/>
      </w:pPr>
      <w:hyperlink r:id="rId9" w:history="1">
        <w:r w:rsidRPr="00C52B0C">
          <w:rPr>
            <w:rStyle w:val="Hyperlink"/>
            <w:sz w:val="20"/>
          </w:rPr>
          <w:t>SKP Resources Bhd. Annual reports for the financial years ended 31 March 2023, 2024 and 2025. Bursa Malaysia disclosure portal.</w:t>
        </w:r>
      </w:hyperlink>
      <w:r w:rsidR="008469C0">
        <w:rPr>
          <w:sz w:val="20"/>
        </w:rPr>
        <w:t xml:space="preserve"> </w:t>
      </w:r>
      <w:hyperlink r:id="rId10" w:history="1">
        <w:r w:rsidR="008469C0" w:rsidRPr="00484B45">
          <w:rPr>
            <w:rStyle w:val="Hyperlink"/>
            <w:b/>
            <w:bCs/>
            <w:color w:val="002060"/>
            <w:sz w:val="20"/>
          </w:rPr>
          <w:t>(</w:t>
        </w:r>
        <w:proofErr w:type="spellStart"/>
        <w:r w:rsidR="008469C0" w:rsidRPr="00484B45">
          <w:rPr>
            <w:rStyle w:val="Hyperlink"/>
            <w:b/>
            <w:bCs/>
            <w:color w:val="002060"/>
            <w:sz w:val="20"/>
          </w:rPr>
          <w:t>Orginal</w:t>
        </w:r>
        <w:proofErr w:type="spellEnd"/>
        <w:r w:rsidR="008469C0" w:rsidRPr="00484B45">
          <w:rPr>
            <w:rStyle w:val="Hyperlink"/>
            <w:b/>
            <w:bCs/>
            <w:color w:val="002060"/>
            <w:sz w:val="20"/>
          </w:rPr>
          <w:t xml:space="preserve"> source)</w:t>
        </w:r>
      </w:hyperlink>
    </w:p>
    <w:p w14:paraId="57BC6C1F" w14:textId="577C628D" w:rsidR="009C3279" w:rsidRDefault="002825F9" w:rsidP="008469C0">
      <w:pPr>
        <w:spacing w:before="240" w:after="0"/>
        <w:ind w:left="567" w:hanging="567"/>
      </w:pPr>
      <w:hyperlink r:id="rId11" w:history="1">
        <w:proofErr w:type="spellStart"/>
        <w:r w:rsidRPr="003A1752">
          <w:rPr>
            <w:rStyle w:val="Hyperlink"/>
            <w:sz w:val="20"/>
          </w:rPr>
          <w:t>Nolato</w:t>
        </w:r>
        <w:proofErr w:type="spellEnd"/>
        <w:r w:rsidRPr="003A1752">
          <w:rPr>
            <w:rStyle w:val="Hyperlink"/>
            <w:sz w:val="20"/>
          </w:rPr>
          <w:t xml:space="preserve"> AB. Annual reports and year-end reports, FY2022 to FY2025. Company investor relations site.</w:t>
        </w:r>
      </w:hyperlink>
      <w:r w:rsidR="008469C0" w:rsidRPr="009066EE">
        <w:rPr>
          <w:color w:val="002060"/>
          <w:sz w:val="20"/>
        </w:rPr>
        <w:t xml:space="preserve"> </w:t>
      </w:r>
      <w:hyperlink r:id="rId12" w:history="1">
        <w:r w:rsidR="008469C0" w:rsidRPr="009066EE">
          <w:rPr>
            <w:rStyle w:val="Hyperlink"/>
            <w:b/>
            <w:bCs/>
            <w:color w:val="002060"/>
            <w:sz w:val="20"/>
          </w:rPr>
          <w:t>(</w:t>
        </w:r>
        <w:proofErr w:type="spellStart"/>
        <w:r w:rsidR="008469C0" w:rsidRPr="009066EE">
          <w:rPr>
            <w:rStyle w:val="Hyperlink"/>
            <w:b/>
            <w:bCs/>
            <w:color w:val="002060"/>
            <w:sz w:val="20"/>
          </w:rPr>
          <w:t>Orginal</w:t>
        </w:r>
        <w:proofErr w:type="spellEnd"/>
        <w:r w:rsidR="008469C0" w:rsidRPr="009066EE">
          <w:rPr>
            <w:rStyle w:val="Hyperlink"/>
            <w:b/>
            <w:bCs/>
            <w:color w:val="002060"/>
            <w:sz w:val="20"/>
          </w:rPr>
          <w:t xml:space="preserve"> source)</w:t>
        </w:r>
      </w:hyperlink>
    </w:p>
    <w:p w14:paraId="728CD612" w14:textId="4DDFA18E" w:rsidR="009C3279" w:rsidRDefault="002825F9" w:rsidP="008469C0">
      <w:pPr>
        <w:spacing w:before="240" w:after="0"/>
        <w:ind w:left="567" w:hanging="567"/>
      </w:pPr>
      <w:hyperlink r:id="rId13" w:history="1">
        <w:proofErr w:type="spellStart"/>
        <w:r w:rsidRPr="003A1752">
          <w:rPr>
            <w:rStyle w:val="Hyperlink"/>
            <w:sz w:val="20"/>
          </w:rPr>
          <w:t>Nhựa</w:t>
        </w:r>
        <w:proofErr w:type="spellEnd"/>
        <w:r w:rsidRPr="003A1752">
          <w:rPr>
            <w:rStyle w:val="Hyperlink"/>
            <w:sz w:val="20"/>
          </w:rPr>
          <w:t xml:space="preserve"> </w:t>
        </w:r>
        <w:proofErr w:type="spellStart"/>
        <w:r w:rsidRPr="003A1752">
          <w:rPr>
            <w:rStyle w:val="Hyperlink"/>
            <w:sz w:val="20"/>
          </w:rPr>
          <w:t>Tiền</w:t>
        </w:r>
        <w:proofErr w:type="spellEnd"/>
        <w:r w:rsidRPr="003A1752">
          <w:rPr>
            <w:rStyle w:val="Hyperlink"/>
            <w:sz w:val="20"/>
          </w:rPr>
          <w:t xml:space="preserve"> Phong JSC. Audited consolidated financial statements, FY2022 to FY2025.</w:t>
        </w:r>
      </w:hyperlink>
      <w:r w:rsidR="008469C0">
        <w:rPr>
          <w:sz w:val="20"/>
        </w:rPr>
        <w:t xml:space="preserve"> </w:t>
      </w:r>
      <w:hyperlink r:id="rId14" w:history="1">
        <w:r w:rsidR="008469C0" w:rsidRPr="009066EE">
          <w:rPr>
            <w:rStyle w:val="Hyperlink"/>
            <w:color w:val="002060"/>
            <w:sz w:val="20"/>
          </w:rPr>
          <w:t>(</w:t>
        </w:r>
        <w:proofErr w:type="spellStart"/>
        <w:r w:rsidR="008469C0" w:rsidRPr="009066EE">
          <w:rPr>
            <w:rStyle w:val="Hyperlink"/>
            <w:b/>
            <w:bCs/>
            <w:color w:val="002060"/>
            <w:sz w:val="20"/>
          </w:rPr>
          <w:t>Orginal</w:t>
        </w:r>
        <w:proofErr w:type="spellEnd"/>
        <w:r w:rsidR="008469C0" w:rsidRPr="009066EE">
          <w:rPr>
            <w:rStyle w:val="Hyperlink"/>
            <w:b/>
            <w:bCs/>
            <w:color w:val="002060"/>
            <w:sz w:val="20"/>
          </w:rPr>
          <w:t xml:space="preserve"> source)</w:t>
        </w:r>
      </w:hyperlink>
    </w:p>
    <w:p w14:paraId="1FFD7790" w14:textId="3E2C5CFA" w:rsidR="009C3279" w:rsidRDefault="002825F9" w:rsidP="008469C0">
      <w:pPr>
        <w:spacing w:before="240" w:after="0"/>
        <w:ind w:left="567" w:hanging="567"/>
      </w:pPr>
      <w:hyperlink r:id="rId15" w:history="1">
        <w:r w:rsidRPr="0040458C">
          <w:rPr>
            <w:rStyle w:val="Hyperlink"/>
            <w:sz w:val="20"/>
          </w:rPr>
          <w:t xml:space="preserve">An </w:t>
        </w:r>
        <w:proofErr w:type="spellStart"/>
        <w:r w:rsidRPr="0040458C">
          <w:rPr>
            <w:rStyle w:val="Hyperlink"/>
            <w:sz w:val="20"/>
          </w:rPr>
          <w:t>Phát</w:t>
        </w:r>
        <w:proofErr w:type="spellEnd"/>
        <w:r w:rsidRPr="0040458C">
          <w:rPr>
            <w:rStyle w:val="Hyperlink"/>
            <w:sz w:val="20"/>
          </w:rPr>
          <w:t xml:space="preserve"> Bioplastics JSC. Audited consolidated financial statements, FY2022 to FY202</w:t>
        </w:r>
        <w:r w:rsidR="0040458C">
          <w:rPr>
            <w:rStyle w:val="Hyperlink"/>
            <w:sz w:val="20"/>
          </w:rPr>
          <w:t>5</w:t>
        </w:r>
        <w:r w:rsidRPr="0040458C">
          <w:rPr>
            <w:rStyle w:val="Hyperlink"/>
            <w:sz w:val="20"/>
          </w:rPr>
          <w:t>, and ownership disclosure filings, September 2024.</w:t>
        </w:r>
      </w:hyperlink>
      <w:r w:rsidR="008469C0">
        <w:rPr>
          <w:sz w:val="20"/>
        </w:rPr>
        <w:t xml:space="preserve"> </w:t>
      </w:r>
      <w:hyperlink r:id="rId16" w:history="1">
        <w:r w:rsidR="008469C0" w:rsidRPr="009066EE">
          <w:rPr>
            <w:rStyle w:val="Hyperlink"/>
            <w:b/>
            <w:bCs/>
            <w:color w:val="002060"/>
            <w:sz w:val="20"/>
          </w:rPr>
          <w:t>(</w:t>
        </w:r>
        <w:proofErr w:type="spellStart"/>
        <w:r w:rsidR="008469C0" w:rsidRPr="009066EE">
          <w:rPr>
            <w:rStyle w:val="Hyperlink"/>
            <w:b/>
            <w:bCs/>
            <w:color w:val="002060"/>
            <w:sz w:val="20"/>
          </w:rPr>
          <w:t>Orginal</w:t>
        </w:r>
        <w:proofErr w:type="spellEnd"/>
        <w:r w:rsidR="008469C0" w:rsidRPr="009066EE">
          <w:rPr>
            <w:rStyle w:val="Hyperlink"/>
            <w:b/>
            <w:bCs/>
            <w:color w:val="002060"/>
            <w:sz w:val="20"/>
          </w:rPr>
          <w:t xml:space="preserve"> source)</w:t>
        </w:r>
      </w:hyperlink>
    </w:p>
    <w:p w14:paraId="59E08F13" w14:textId="77777777" w:rsidR="009C3279" w:rsidRDefault="002825F9" w:rsidP="001A0501">
      <w:pPr>
        <w:spacing w:before="240" w:after="0"/>
      </w:pPr>
      <w:r>
        <w:rPr>
          <w:b/>
        </w:rPr>
        <w:t>Regulatory and reference material</w:t>
      </w:r>
    </w:p>
    <w:p w14:paraId="16DDBBD9" w14:textId="1A7F16A9" w:rsidR="009C3279" w:rsidRDefault="002825F9" w:rsidP="001A0501">
      <w:pPr>
        <w:spacing w:before="240" w:after="0"/>
        <w:ind w:left="567" w:hanging="567"/>
      </w:pPr>
      <w:hyperlink r:id="rId17" w:history="1">
        <w:r w:rsidRPr="00F33D6D">
          <w:rPr>
            <w:rStyle w:val="Hyperlink"/>
            <w:sz w:val="20"/>
          </w:rPr>
          <w:t>Ministry of Finance of Vietnam. Circular 200/2014/TT-BTC guiding the corporate accounting regime.</w:t>
        </w:r>
      </w:hyperlink>
    </w:p>
    <w:p w14:paraId="537C358B" w14:textId="666C4F0A" w:rsidR="009C3279" w:rsidRDefault="002825F9" w:rsidP="001A0501">
      <w:pPr>
        <w:spacing w:before="240" w:after="0"/>
        <w:ind w:left="567" w:hanging="567"/>
      </w:pPr>
      <w:hyperlink r:id="rId18" w:history="1">
        <w:r w:rsidRPr="00E93744">
          <w:rPr>
            <w:rStyle w:val="Hyperlink"/>
            <w:sz w:val="20"/>
          </w:rPr>
          <w:t>Company disclosure announcements relating to NHH share issuance, capacity expansion and tax assessment, FY2024–FY2025.</w:t>
        </w:r>
      </w:hyperlink>
    </w:p>
    <w:p w14:paraId="5F1EFACC" w14:textId="272153C7" w:rsidR="009C3279" w:rsidRDefault="002825F9" w:rsidP="001A0501">
      <w:pPr>
        <w:spacing w:before="240" w:after="0"/>
        <w:ind w:left="567" w:hanging="567"/>
      </w:pPr>
      <w:hyperlink r:id="rId19" w:history="1">
        <w:r w:rsidRPr="00E47C98">
          <w:rPr>
            <w:rStyle w:val="Hyperlink"/>
            <w:sz w:val="20"/>
          </w:rPr>
          <w:t xml:space="preserve">Sanko Gosei Ltd. Segment information note, disclosing the split of revenue between </w:t>
        </w:r>
        <w:proofErr w:type="spellStart"/>
        <w:r w:rsidRPr="00E47C98">
          <w:rPr>
            <w:rStyle w:val="Hyperlink"/>
            <w:sz w:val="20"/>
          </w:rPr>
          <w:t>moulded</w:t>
        </w:r>
        <w:proofErr w:type="spellEnd"/>
        <w:r w:rsidRPr="00E47C98">
          <w:rPr>
            <w:rStyle w:val="Hyperlink"/>
            <w:sz w:val="20"/>
          </w:rPr>
          <w:t xml:space="preserve"> products and </w:t>
        </w:r>
        <w:proofErr w:type="spellStart"/>
        <w:r w:rsidRPr="00E47C98">
          <w:rPr>
            <w:rStyle w:val="Hyperlink"/>
            <w:sz w:val="20"/>
          </w:rPr>
          <w:t>moulds</w:t>
        </w:r>
        <w:proofErr w:type="spellEnd"/>
        <w:r w:rsidRPr="00E47C98">
          <w:rPr>
            <w:rStyle w:val="Hyperlink"/>
            <w:sz w:val="20"/>
          </w:rPr>
          <w:t xml:space="preserve"> and the absence of any customer representing 10% or more of revenue.</w:t>
        </w:r>
      </w:hyperlink>
    </w:p>
    <w:p w14:paraId="42885421" w14:textId="77777777" w:rsidR="009C3279" w:rsidRDefault="002825F9" w:rsidP="001A0501">
      <w:pPr>
        <w:spacing w:before="240" w:after="0"/>
      </w:pPr>
      <w:r>
        <w:rPr>
          <w:b/>
        </w:rPr>
        <w:t>Supporting model</w:t>
      </w:r>
    </w:p>
    <w:p w14:paraId="03103EAC" w14:textId="039778A9" w:rsidR="009C3279" w:rsidRDefault="00D61A4C" w:rsidP="001A0501">
      <w:pPr>
        <w:spacing w:before="240" w:after="0"/>
        <w:ind w:left="567" w:hanging="567"/>
      </w:pPr>
      <w:hyperlink r:id="rId20" w:history="1">
        <w:proofErr w:type="spellStart"/>
        <w:r w:rsidRPr="00D61A4C">
          <w:rPr>
            <w:rStyle w:val="Hyperlink"/>
            <w:sz w:val="20"/>
            <w:szCs w:val="20"/>
          </w:rPr>
          <w:t>Working_Capital_NHH_Model_EN</w:t>
        </w:r>
        <w:proofErr w:type="spellEnd"/>
      </w:hyperlink>
      <w:r w:rsidR="002825F9">
        <w:rPr>
          <w:sz w:val="20"/>
        </w:rPr>
        <w:t>. Ten-sheet workbook containing the input data, the restatement, the ratio calculations, the peer benchmark and the dashboard. All figures quoted in this report are traceable to that model, and the model is traceable to the statements listed above.</w:t>
      </w:r>
    </w:p>
    <w:p w14:paraId="2141074E" w14:textId="09F9D333" w:rsidR="009C3279" w:rsidRDefault="009C3279" w:rsidP="001A0501">
      <w:pPr>
        <w:spacing w:before="240" w:after="0"/>
      </w:pPr>
    </w:p>
    <w:sectPr w:rsidR="009C3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968"/>
    <w:multiLevelType w:val="hybridMultilevel"/>
    <w:tmpl w:val="361EA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25CB8"/>
    <w:multiLevelType w:val="hybridMultilevel"/>
    <w:tmpl w:val="7318F24C"/>
    <w:lvl w:ilvl="0" w:tplc="82626B7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50090"/>
    <w:multiLevelType w:val="hybridMultilevel"/>
    <w:tmpl w:val="64DCDB0A"/>
    <w:lvl w:ilvl="0" w:tplc="EBB2CC38">
      <w:start w:val="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55DB4"/>
    <w:multiLevelType w:val="hybridMultilevel"/>
    <w:tmpl w:val="2E249A94"/>
    <w:lvl w:ilvl="0" w:tplc="EBB2CC38">
      <w:start w:val="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B6C60"/>
    <w:multiLevelType w:val="hybridMultilevel"/>
    <w:tmpl w:val="00704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658C7"/>
    <w:multiLevelType w:val="hybridMultilevel"/>
    <w:tmpl w:val="1276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02A2E"/>
    <w:multiLevelType w:val="hybridMultilevel"/>
    <w:tmpl w:val="A5F89762"/>
    <w:lvl w:ilvl="0" w:tplc="82626B7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960B1"/>
    <w:multiLevelType w:val="hybridMultilevel"/>
    <w:tmpl w:val="5AE0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EA7CA0"/>
    <w:multiLevelType w:val="hybridMultilevel"/>
    <w:tmpl w:val="CF1E5468"/>
    <w:lvl w:ilvl="0" w:tplc="EBB2CC38">
      <w:start w:val="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860442">
    <w:abstractNumId w:val="4"/>
  </w:num>
  <w:num w:numId="2" w16cid:durableId="534467643">
    <w:abstractNumId w:val="7"/>
  </w:num>
  <w:num w:numId="3" w16cid:durableId="1806119735">
    <w:abstractNumId w:val="5"/>
  </w:num>
  <w:num w:numId="4" w16cid:durableId="1178084865">
    <w:abstractNumId w:val="0"/>
  </w:num>
  <w:num w:numId="5" w16cid:durableId="1746998485">
    <w:abstractNumId w:val="3"/>
  </w:num>
  <w:num w:numId="6" w16cid:durableId="28069361">
    <w:abstractNumId w:val="8"/>
  </w:num>
  <w:num w:numId="7" w16cid:durableId="593436423">
    <w:abstractNumId w:val="2"/>
  </w:num>
  <w:num w:numId="8" w16cid:durableId="695274451">
    <w:abstractNumId w:val="1"/>
  </w:num>
  <w:num w:numId="9" w16cid:durableId="10038184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33"/>
    <w:rsid w:val="00001224"/>
    <w:rsid w:val="000400E1"/>
    <w:rsid w:val="00065376"/>
    <w:rsid w:val="000A6CFC"/>
    <w:rsid w:val="000E706A"/>
    <w:rsid w:val="000F54AE"/>
    <w:rsid w:val="00176147"/>
    <w:rsid w:val="001813C1"/>
    <w:rsid w:val="00196C53"/>
    <w:rsid w:val="001A0501"/>
    <w:rsid w:val="002825F9"/>
    <w:rsid w:val="002839BF"/>
    <w:rsid w:val="00286B65"/>
    <w:rsid w:val="0029477E"/>
    <w:rsid w:val="002E0807"/>
    <w:rsid w:val="002F2C9B"/>
    <w:rsid w:val="00320537"/>
    <w:rsid w:val="003569B2"/>
    <w:rsid w:val="003A1752"/>
    <w:rsid w:val="0040458C"/>
    <w:rsid w:val="00484B45"/>
    <w:rsid w:val="004D1802"/>
    <w:rsid w:val="004D2CDF"/>
    <w:rsid w:val="004F7EF7"/>
    <w:rsid w:val="005019C9"/>
    <w:rsid w:val="00513A28"/>
    <w:rsid w:val="00562B4B"/>
    <w:rsid w:val="00571C51"/>
    <w:rsid w:val="00597841"/>
    <w:rsid w:val="005D66AD"/>
    <w:rsid w:val="00651AC5"/>
    <w:rsid w:val="0066563E"/>
    <w:rsid w:val="00685DDE"/>
    <w:rsid w:val="006B78EC"/>
    <w:rsid w:val="00776934"/>
    <w:rsid w:val="007A30A2"/>
    <w:rsid w:val="007C032D"/>
    <w:rsid w:val="007D6FD1"/>
    <w:rsid w:val="007F16D1"/>
    <w:rsid w:val="008469C0"/>
    <w:rsid w:val="008475EA"/>
    <w:rsid w:val="008968E0"/>
    <w:rsid w:val="008A78FE"/>
    <w:rsid w:val="008D32ED"/>
    <w:rsid w:val="009066EE"/>
    <w:rsid w:val="00914B86"/>
    <w:rsid w:val="00950605"/>
    <w:rsid w:val="009636A7"/>
    <w:rsid w:val="00965B60"/>
    <w:rsid w:val="00995A96"/>
    <w:rsid w:val="009C3279"/>
    <w:rsid w:val="00A77984"/>
    <w:rsid w:val="00A96E2F"/>
    <w:rsid w:val="00B115F5"/>
    <w:rsid w:val="00B5121B"/>
    <w:rsid w:val="00B57256"/>
    <w:rsid w:val="00BD1778"/>
    <w:rsid w:val="00C14F85"/>
    <w:rsid w:val="00C231AF"/>
    <w:rsid w:val="00C30461"/>
    <w:rsid w:val="00C52B0C"/>
    <w:rsid w:val="00C61ADB"/>
    <w:rsid w:val="00C95460"/>
    <w:rsid w:val="00CB4027"/>
    <w:rsid w:val="00CF5368"/>
    <w:rsid w:val="00D01033"/>
    <w:rsid w:val="00D0208A"/>
    <w:rsid w:val="00D60566"/>
    <w:rsid w:val="00D61A4C"/>
    <w:rsid w:val="00D93B09"/>
    <w:rsid w:val="00DA3B99"/>
    <w:rsid w:val="00E03DCD"/>
    <w:rsid w:val="00E0440B"/>
    <w:rsid w:val="00E30F20"/>
    <w:rsid w:val="00E47C98"/>
    <w:rsid w:val="00E93744"/>
    <w:rsid w:val="00EA2A74"/>
    <w:rsid w:val="00EB07AA"/>
    <w:rsid w:val="00F117F6"/>
    <w:rsid w:val="00F308E2"/>
    <w:rsid w:val="00F33D6D"/>
    <w:rsid w:val="00F4023F"/>
    <w:rsid w:val="00F61D5B"/>
    <w:rsid w:val="00F73B5B"/>
    <w:rsid w:val="00F757A3"/>
    <w:rsid w:val="00F75814"/>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AF34"/>
  <w15:chartTrackingRefBased/>
  <w15:docId w15:val="{47C8DE53-EA0F-41A0-BC58-FEB660AB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Calibri" w:eastAsia="Calibri" w:hAnsi="Calibri"/>
      <w:color w:val="000000"/>
      <w:sz w:val="22"/>
    </w:rPr>
  </w:style>
  <w:style w:type="paragraph" w:styleId="Heading1">
    <w:name w:val="heading 1"/>
    <w:basedOn w:val="Normal"/>
    <w:next w:val="Normal"/>
    <w:link w:val="Heading1Char"/>
    <w:uiPriority w:val="9"/>
    <w:qFormat/>
    <w:rsid w:val="00D01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33"/>
    <w:rPr>
      <w:rFonts w:eastAsiaTheme="majorEastAsia" w:cstheme="majorBidi"/>
      <w:color w:val="272727" w:themeColor="text1" w:themeTint="D8"/>
    </w:rPr>
  </w:style>
  <w:style w:type="paragraph" w:styleId="Title">
    <w:name w:val="Title"/>
    <w:basedOn w:val="Normal"/>
    <w:next w:val="Normal"/>
    <w:link w:val="TitleChar"/>
    <w:uiPriority w:val="10"/>
    <w:qFormat/>
    <w:rsid w:val="00D01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33"/>
    <w:pPr>
      <w:spacing w:before="160"/>
      <w:jc w:val="center"/>
    </w:pPr>
    <w:rPr>
      <w:i/>
      <w:iCs/>
      <w:color w:val="404040" w:themeColor="text1" w:themeTint="BF"/>
    </w:rPr>
  </w:style>
  <w:style w:type="character" w:customStyle="1" w:styleId="QuoteChar">
    <w:name w:val="Quote Char"/>
    <w:basedOn w:val="DefaultParagraphFont"/>
    <w:link w:val="Quote"/>
    <w:uiPriority w:val="29"/>
    <w:rsid w:val="00D01033"/>
    <w:rPr>
      <w:i/>
      <w:iCs/>
      <w:color w:val="404040" w:themeColor="text1" w:themeTint="BF"/>
    </w:rPr>
  </w:style>
  <w:style w:type="paragraph" w:styleId="ListParagraph">
    <w:name w:val="List Paragraph"/>
    <w:basedOn w:val="Normal"/>
    <w:uiPriority w:val="34"/>
    <w:qFormat/>
    <w:rsid w:val="00D01033"/>
    <w:pPr>
      <w:ind w:left="720"/>
      <w:contextualSpacing/>
    </w:pPr>
  </w:style>
  <w:style w:type="character" w:styleId="IntenseEmphasis">
    <w:name w:val="Intense Emphasis"/>
    <w:basedOn w:val="DefaultParagraphFont"/>
    <w:uiPriority w:val="21"/>
    <w:qFormat/>
    <w:rsid w:val="00D01033"/>
    <w:rPr>
      <w:i/>
      <w:iCs/>
      <w:color w:val="0F4761" w:themeColor="accent1" w:themeShade="BF"/>
    </w:rPr>
  </w:style>
  <w:style w:type="paragraph" w:styleId="IntenseQuote">
    <w:name w:val="Intense Quote"/>
    <w:basedOn w:val="Normal"/>
    <w:next w:val="Normal"/>
    <w:link w:val="IntenseQuoteChar"/>
    <w:uiPriority w:val="30"/>
    <w:qFormat/>
    <w:rsid w:val="00D01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33"/>
    <w:rPr>
      <w:i/>
      <w:iCs/>
      <w:color w:val="0F4761" w:themeColor="accent1" w:themeShade="BF"/>
    </w:rPr>
  </w:style>
  <w:style w:type="character" w:styleId="IntenseReference">
    <w:name w:val="Intense Reference"/>
    <w:basedOn w:val="DefaultParagraphFont"/>
    <w:uiPriority w:val="32"/>
    <w:qFormat/>
    <w:rsid w:val="00D01033"/>
    <w:rPr>
      <w:b/>
      <w:bCs/>
      <w:smallCaps/>
      <w:color w:val="0F4761" w:themeColor="accent1" w:themeShade="BF"/>
      <w:spacing w:val="5"/>
    </w:rPr>
  </w:style>
  <w:style w:type="character" w:styleId="Hyperlink">
    <w:name w:val="Hyperlink"/>
    <w:basedOn w:val="DefaultParagraphFont"/>
    <w:uiPriority w:val="99"/>
    <w:unhideWhenUsed/>
    <w:rsid w:val="007F16D1"/>
    <w:rPr>
      <w:color w:val="467886" w:themeColor="hyperlink"/>
      <w:u w:val="single"/>
    </w:rPr>
  </w:style>
  <w:style w:type="character" w:styleId="UnresolvedMention">
    <w:name w:val="Unresolved Mention"/>
    <w:basedOn w:val="DefaultParagraphFont"/>
    <w:uiPriority w:val="99"/>
    <w:semiHidden/>
    <w:unhideWhenUsed/>
    <w:rsid w:val="007F1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kogosei.co.jp/en/ir/library/result.html" TargetMode="External"/><Relationship Id="rId13" Type="http://schemas.openxmlformats.org/officeDocument/2006/relationships/hyperlink" Target="https://drive.google.com/drive/folders/1EKDQlCq68UogmlYHglrat0E-1eUg3Aqc" TargetMode="External"/><Relationship Id="rId18" Type="http://schemas.openxmlformats.org/officeDocument/2006/relationships/hyperlink" Target="https://static2.vietstock.vn/data/HOSE/2025/BCTN/VN/NHH_Baocaothuongnien_2025.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rive.google.com/drive/folders/1FJQGi42XcsoOB4-T19bPDGRdnZqHT1xU" TargetMode="External"/><Relationship Id="rId12" Type="http://schemas.openxmlformats.org/officeDocument/2006/relationships/hyperlink" Target="https://www.nolato.com/investor-relations/investor-information/financial-reports-and-presentations/" TargetMode="External"/><Relationship Id="rId17" Type="http://schemas.openxmlformats.org/officeDocument/2006/relationships/hyperlink" Target="https://thuvienphapluat.vn/van-ban/Bat-dong-san/Quyet-dinh-59-2014-QD-UBND-Bang-gia-cac-loai-dat-Binh-Thuan-2015-2019-262489.aspx" TargetMode="External"/><Relationship Id="rId2" Type="http://schemas.openxmlformats.org/officeDocument/2006/relationships/styles" Target="styles.xml"/><Relationship Id="rId16" Type="http://schemas.openxmlformats.org/officeDocument/2006/relationships/hyperlink" Target="https://finance.vietstock.vn/aaa/tai-tai-lieu.htm" TargetMode="External"/><Relationship Id="rId20" Type="http://schemas.openxmlformats.org/officeDocument/2006/relationships/hyperlink" Target="https://liveeur-my.sharepoint.com/personal/756698ac_eur_nl/Documents/CORPORATE%20FINANCE%20FP&amp;A/Project/Project%20NHH%20working%20capital%20ng&#224;nh%20gia%20c&#244;ng%20sx%20nh&#7921;a/Model%20excel/Working_Capital_NHH_Model_EN.xlsx" TargetMode="External"/><Relationship Id="rId1" Type="http://schemas.openxmlformats.org/officeDocument/2006/relationships/numbering" Target="numbering.xml"/><Relationship Id="rId6" Type="http://schemas.openxmlformats.org/officeDocument/2006/relationships/hyperlink" Target="https://finance.vietstock.vn/NHH-ctcp-nhua-ha-noi.htm" TargetMode="External"/><Relationship Id="rId11" Type="http://schemas.openxmlformats.org/officeDocument/2006/relationships/hyperlink" Target="https://drive.google.com/drive/folders/18HQmHA2k12AxcDql7n59uOxPMGO7iMGX" TargetMode="External"/><Relationship Id="rId5" Type="http://schemas.openxmlformats.org/officeDocument/2006/relationships/hyperlink" Target="https://drive.google.com/drive/folders/1TCvgGCLlFZKNUfQWVs5MYYo-Tw5TTVeu" TargetMode="External"/><Relationship Id="rId15" Type="http://schemas.openxmlformats.org/officeDocument/2006/relationships/hyperlink" Target="https://drive.google.com/drive/folders/1OG0NLSUzUjBKnooFGNi4ndrgCFraPQ_A" TargetMode="External"/><Relationship Id="rId10" Type="http://schemas.openxmlformats.org/officeDocument/2006/relationships/hyperlink" Target="https://www.bursamalaysia.com/market/listed-companies/company-announcements/subscribe/7155/option2/AR,ARCO" TargetMode="External"/><Relationship Id="rId19" Type="http://schemas.openxmlformats.org/officeDocument/2006/relationships/hyperlink" Target="https://www.sankogosei.co.jp/en/ir/library/result.html" TargetMode="External"/><Relationship Id="rId4" Type="http://schemas.openxmlformats.org/officeDocument/2006/relationships/webSettings" Target="webSettings.xml"/><Relationship Id="rId9" Type="http://schemas.openxmlformats.org/officeDocument/2006/relationships/hyperlink" Target="https://drive.google.com/drive/folders/1MYQpHYXZuueBK-VmGhSi8Nc_RntgBz4q" TargetMode="External"/><Relationship Id="rId14" Type="http://schemas.openxmlformats.org/officeDocument/2006/relationships/hyperlink" Target="https://finance.vietstock.vn/NTP-ctcp-nhua-thieu-nien-tien-phong.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16</Pages>
  <Words>4857</Words>
  <Characters>27689</Characters>
  <Application>Microsoft Office Word</Application>
  <DocSecurity>0</DocSecurity>
  <Lines>230</Lines>
  <Paragraphs>64</Paragraphs>
  <ScaleCrop>false</ScaleCrop>
  <Company/>
  <LinksUpToDate>false</LinksUpToDate>
  <CharactersWithSpaces>32482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80</cp:revision>
  <dcterms:created xsi:type="dcterms:W3CDTF">2026-08-17T07:30:00Z</dcterms:created>
  <dcterms:modified xsi:type="dcterms:W3CDTF">2026-08-17T09:30:00Z</dcterms:modified>
</cp:coreProperties>
</file>