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1: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2: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3: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4: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5: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6: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7: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8: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9: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10: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11: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12: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13: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14: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15: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16: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17: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18: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19: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20: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21: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22: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23: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24: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25: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26: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27: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28: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29: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30: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31: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32: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33: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34: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35: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36: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37: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38: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39: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40: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41: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42: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43: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44: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45: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46: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47: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48: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49: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50: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51: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52: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53: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54: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55: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56: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57: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58: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59: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60: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61: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62: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63: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64: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65: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66: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67: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68: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69: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70: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71: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72: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73: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74: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75: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76: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77: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78: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79: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80: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81: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82: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83: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84: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85: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86: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87: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88: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89: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90: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91: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92: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93: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94: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95: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96: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97: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98: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99: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pPr>
        <w:pStyle w:val="Heading1"/>
      </w:pPr>
      <w:r>
        <w:t>Chương 100: Báo cáo hệ thông và dử liệu</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