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4"/>
        </w:rPr>
        <w:t>TÀI LIỆU TEST SAI NGỮ CẢNH VÀ FORMAT CONSISTENCY</w:t>
      </w:r>
    </w:p>
    <w:p>
      <w:pPr>
        <w:jc w:val="center"/>
      </w:pPr>
      <w:r>
        <w:rPr>
          <w:i/>
          <w:sz w:val="20"/>
        </w:rPr>
        <w:t>File này cố ý tạo false positive/true positive để test semantic heading grouping, format consistency, thuật ngữ và ngữ cảnh.</w:t>
      </w:r>
    </w:p>
    <w:p/>
    <w:p>
      <w:pPr>
        <w:shd w:fill="F4C7D9"/>
      </w:pPr>
      <w:r>
        <w:rPr>
          <w:b/>
          <w:color w:val="1F4E79"/>
          <w:sz w:val="28"/>
        </w:rPr>
        <w:t>1. Giới thiệu</w:t>
      </w:r>
    </w:p>
    <w:p>
      <w:r>
        <w:t>Đây là đoạn mở đầu. Các heading mục như 1, 2, 3, 4 phải được so sánh với nhau, không được so với title chính ở đầu tài liệu.</w:t>
      </w:r>
    </w:p>
    <w:p>
      <w:r>
        <w:t>Trong tài liệu này, thuật ngữ SuperDoc được xem là thuật ngữ quan trọng. Lần đầu trong mỗi chương nên được in đậm.</w:t>
      </w:r>
    </w:p>
    <w:p>
      <w:r>
        <w:rPr>
          <w:b/>
        </w:rPr>
        <w:t>SuperDoc</w:t>
      </w:r>
      <w:r>
        <w:t xml:space="preserve"> là bộ máy tài liệu hỗ trợ chỉnh sửa DOCX và track changes.</w:t>
      </w:r>
    </w:p>
    <w:p>
      <w:pPr>
        <w:shd w:fill="F4C7D9"/>
      </w:pPr>
      <w:r>
        <w:rPr>
          <w:b/>
          <w:color w:val="1F4E79"/>
          <w:sz w:val="28"/>
        </w:rPr>
        <w:t>2. Danh sách yêu cầu kiểm thử</w:t>
      </w:r>
    </w:p>
    <w:p>
      <w:pPr>
        <w:pStyle w:val="ListBullet"/>
      </w:pPr>
      <w:r>
        <w:t>Không báo lỗi khi title chính khác style với section heading.</w:t>
      </w:r>
    </w:p>
    <w:p>
      <w:pPr>
        <w:pStyle w:val="ListBullet"/>
      </w:pPr>
      <w:r>
        <w:t>Không báo lỗi khi các section heading cùng nhóm có style giống nhau.</w:t>
      </w:r>
    </w:p>
    <w:p>
      <w:pPr>
        <w:pStyle w:val="ListBullet"/>
      </w:pPr>
      <w:r>
        <w:t>Phải báo lỗi khi một section heading cùng nhóm cố ý lệch style.</w:t>
      </w:r>
    </w:p>
    <w:p>
      <w:pPr>
        <w:pStyle w:val="ListBullet"/>
      </w:pPr>
      <w:r>
        <w:t>Phải phát hiện thuật ngữ dịch không nhất quán.</w:t>
      </w:r>
    </w:p>
    <w:p>
      <w:pPr>
        <w:pStyle w:val="ListBullet"/>
      </w:pPr>
      <w:r>
        <w:t>Phải phát hiện từ quan trọng bị thiếu bold nếu rule yêu cầu.</w:t>
      </w:r>
    </w:p>
    <w:p>
      <w:pPr>
        <w:shd w:fill="F4C7D9"/>
      </w:pPr>
      <w:r>
        <w:rPr>
          <w:b/>
          <w:color w:val="1F4E79"/>
          <w:sz w:val="28"/>
        </w:rPr>
        <w:t>3. Bảng dữ liệu mẫu</w:t>
      </w:r>
    </w:p>
    <w:p>
      <w:r>
        <w:rPr>
          <w:b/>
          <w:color w:val="1F4E79"/>
        </w:rPr>
        <w:t>Bảng 1. Danh sách thuật ngữ cần thống nhất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STT</w:t>
            </w:r>
          </w:p>
        </w:tc>
        <w:tc>
          <w:tcPr>
            <w:tcW w:type="dxa" w:w="3312"/>
            <w:shd w:fill="D9EAF7"/>
            <w:vAlign w:val="center"/>
          </w:tcPr>
          <w:p>
            <w:r>
              <w:t>Thuật ngữ</w:t>
            </w:r>
          </w:p>
        </w:tc>
        <w:tc>
          <w:tcPr>
            <w:tcW w:type="dxa" w:w="3312"/>
            <w:shd w:fill="D9EAF7"/>
            <w:vAlign w:val="center"/>
          </w:tcPr>
          <w:p>
            <w:r>
              <w:t>Cách dùng chuẩn</w:t>
            </w:r>
          </w:p>
        </w:tc>
      </w:tr>
      <w:tr>
        <w:tc>
          <w:tcPr>
            <w:tcW w:type="dxa" w:w="3312"/>
          </w:tcPr>
          <w:p>
            <w:r>
              <w:t>1</w:t>
            </w:r>
          </w:p>
        </w:tc>
        <w:tc>
          <w:tcPr>
            <w:tcW w:type="dxa" w:w="3312"/>
          </w:tcPr>
          <w:p>
            <w:r>
              <w:t>document engine</w:t>
            </w:r>
          </w:p>
        </w:tc>
        <w:tc>
          <w:tcPr>
            <w:tcW w:type="dxa" w:w="3312"/>
          </w:tcPr>
          <w:p>
            <w:r>
              <w:t>bộ máy tài liệu</w:t>
            </w:r>
          </w:p>
        </w:tc>
      </w:tr>
      <w:tr>
        <w:tc>
          <w:tcPr>
            <w:tcW w:type="dxa" w:w="3312"/>
          </w:tcPr>
          <w:p>
            <w:r>
              <w:t>2</w:t>
            </w:r>
          </w:p>
        </w:tc>
        <w:tc>
          <w:tcPr>
            <w:tcW w:type="dxa" w:w="3312"/>
          </w:tcPr>
          <w:p>
            <w:r>
              <w:t>track changes</w:t>
            </w:r>
          </w:p>
        </w:tc>
        <w:tc>
          <w:tcPr>
            <w:tcW w:type="dxa" w:w="3312"/>
          </w:tcPr>
          <w:p>
            <w:r>
              <w:t>theo dõi thay đổi</w:t>
            </w:r>
          </w:p>
        </w:tc>
      </w:tr>
      <w:tr>
        <w:tc>
          <w:tcPr>
            <w:tcW w:type="dxa" w:w="3312"/>
          </w:tcPr>
          <w:p>
            <w:r>
              <w:t>3</w:t>
            </w:r>
          </w:p>
        </w:tc>
        <w:tc>
          <w:tcPr>
            <w:tcW w:type="dxa" w:w="3312"/>
          </w:tcPr>
          <w:p>
            <w:r>
              <w:t>comment</w:t>
            </w:r>
          </w:p>
        </w:tc>
        <w:tc>
          <w:tcPr>
            <w:tcW w:type="dxa" w:w="3312"/>
          </w:tcPr>
          <w:p>
            <w:r>
              <w:t>nhận xét</w:t>
            </w:r>
          </w:p>
        </w:tc>
      </w:tr>
    </w:tbl>
    <w:p>
      <w:pPr>
        <w:shd w:fill="F4C7D9"/>
      </w:pPr>
      <w:r>
        <w:rPr>
          <w:b/>
          <w:color w:val="1F4E79"/>
          <w:sz w:val="28"/>
        </w:rPr>
        <w:t>4. Đoạn văn đúng style</w:t>
      </w:r>
    </w:p>
    <w:p>
      <w:r>
        <w:t>Heading số 4 này cùng nhóm với các heading mục bên trên và đang có style giống nhau. Không được báo lỗi cho heading này.</w:t>
      </w:r>
    </w:p>
    <w:p>
      <w:pPr/>
      <w:r>
        <w:rPr>
          <w:b w:val="0"/>
          <w:color w:val="000000"/>
          <w:sz w:val="24"/>
        </w:rPr>
        <w:t>5. Heading cố ý sai style để test</w:t>
      </w:r>
    </w:p>
    <w:p>
      <w:r>
        <w:t>Heading số 5 cố ý không bold, màu đen, font nhỏ hơn và không có nền hồng. Hệ thống phải báo lỗi cho heading này.</w:t>
      </w:r>
    </w:p>
    <w:p>
      <w:pPr>
        <w:shd w:fill="F4C7D9"/>
      </w:pPr>
      <w:r>
        <w:rPr>
          <w:b/>
          <w:color w:val="1F4E79"/>
          <w:sz w:val="28"/>
        </w:rPr>
        <w:t>6. Thuật ngữ dịch không nhất quán</w:t>
      </w:r>
    </w:p>
    <w:p>
      <w:r>
        <w:t>Ở đầu tài liệu, document engine được dịch là bộ máy tài liệu. Đây là cách dùng chuẩn cần ghi vào glossary.</w:t>
      </w:r>
    </w:p>
    <w:p>
      <w:r>
        <w:t>Ở đoạn sau, cùng khái niệm document engine lại được gọi là công cụ tài liệu. Đây là lỗi translation consistency cần báo.</w:t>
      </w:r>
    </w:p>
    <w:p>
      <w:r>
        <w:t>Từ track changes đã được dịch là theo dõi thay đổi, nhưng ở đây lại viết là theo dấu thay đổi. Đây là lỗi thuật ngữ cần phát hiện.</w:t>
      </w:r>
    </w:p>
    <w:p>
      <w:pPr>
        <w:shd w:fill="F4C7D9"/>
      </w:pPr>
      <w:r>
        <w:rPr>
          <w:b/>
          <w:color w:val="1F4E79"/>
          <w:sz w:val="28"/>
        </w:rPr>
        <w:t>7. Kiểm tra bold của thuật ngữ</w:t>
      </w:r>
    </w:p>
    <w:p>
      <w:r>
        <w:rPr>
          <w:b/>
        </w:rPr>
        <w:t>SuperDoc</w:t>
      </w:r>
      <w:r>
        <w:t xml:space="preserve"> được in đậm ở lần xuất hiện đầu của phần này.</w:t>
      </w:r>
    </w:p>
    <w:p>
      <w:r>
        <w:t xml:space="preserve">Ở đoạn này, </w:t>
      </w:r>
      <w:r>
        <w:rPr>
          <w:b w:val="0"/>
        </w:rPr>
        <w:t>SuperDoc</w:t>
      </w:r>
      <w:r>
        <w:t xml:space="preserve"> xuất hiện như thuật ngữ chính nhưng không in đậm. Đây là lỗi format consistency cần báo.</w:t>
      </w:r>
    </w:p>
    <w:p>
      <w:pPr>
        <w:shd w:fill="F4C7D9"/>
      </w:pPr>
      <w:r>
        <w:rPr>
          <w:b/>
          <w:color w:val="1F4E79"/>
          <w:sz w:val="28"/>
        </w:rPr>
        <w:t>8. Kiểm tra tên riêng</w:t>
      </w:r>
    </w:p>
    <w:p>
      <w:r>
        <w:t>Tên đúng là OpenAI và 8AM Coffee.</w:t>
      </w:r>
    </w:p>
    <w:p>
      <w:r>
        <w:t>Ở đoạn này cố ý viết sai thành Open Ai và 8AM coffee để test name/entity consistency.</w:t>
      </w:r>
    </w:p>
    <w:p>
      <w:pPr>
        <w:shd w:fill="F4C7D9"/>
      </w:pPr>
      <w:r>
        <w:rPr>
          <w:b/>
          <w:color w:val="1F4E79"/>
          <w:sz w:val="28"/>
        </w:rPr>
        <w:t>9. Kiểm tra văn phong</w:t>
      </w:r>
    </w:p>
    <w:p>
      <w:r>
        <w:t>Văn phong chuẩn của tài liệu là trang trọng: chúng tôi khuyến nghị người dùng kiểm tra tài liệu trước khi xuất bản.</w:t>
      </w:r>
    </w:p>
    <w:p>
      <w:r>
        <w:t>Đoạn này cố ý lệch tone: bọn mình thấy bạn cứ sửa đại cũng được nha. Đây là lỗi tone consistency cần báo.</w:t>
      </w:r>
    </w:p>
    <w:p>
      <w:r>
        <w:rPr>
          <w:b/>
          <w:i/>
          <w:color w:val="548235"/>
        </w:rPr>
        <w:t>Bảng 2. Ví dụ không được so table title với heading mục</w:t>
      </w:r>
    </w:p>
    <w:tbl>
      <w:tblPr>
        <w:tblStyle w:val="TableGrid"/>
        <w:tblW w:type="auto" w:w="0"/>
        <w:tblLook w:firstColumn="1" w:firstRow="1" w:lastColumn="0" w:lastRow="0" w:noHBand="0" w:noVBand="1" w:val="04A0"/>
      </w:tblPr>
      <w:tblGrid>
        <w:gridCol w:w="4968"/>
        <w:gridCol w:w="4968"/>
      </w:tblGrid>
      <w:tr>
        <w:tc>
          <w:tcPr>
            <w:tcW w:type="dxa" w:w="4968"/>
          </w:tcPr>
          <w:p>
            <w:r>
              <w:t>Loại</w:t>
            </w:r>
          </w:p>
        </w:tc>
        <w:tc>
          <w:tcPr>
            <w:tcW w:type="dxa" w:w="4968"/>
          </w:tcPr>
          <w:p>
            <w:r>
              <w:t>Ghi chú</w:t>
            </w:r>
          </w:p>
        </w:tc>
      </w:tr>
      <w:tr>
        <w:tc>
          <w:tcPr>
            <w:tcW w:type="dxa" w:w="4968"/>
          </w:tcPr>
          <w:p>
            <w:r>
              <w:t>Table title</w:t>
            </w:r>
          </w:p>
        </w:tc>
        <w:tc>
          <w:tcPr>
            <w:tcW w:type="dxa" w:w="4968"/>
          </w:tcPr>
          <w:p>
            <w:r>
              <w:t>Không so với section heading.</w:t>
            </w:r>
          </w:p>
        </w:tc>
      </w:tr>
    </w:tbl>
    <w:p>
      <w:r>
        <w:br w:type="page"/>
      </w:r>
    </w:p>
    <w:p>
      <w:pPr>
        <w:shd w:fill="F4C7D9"/>
      </w:pPr>
      <w:r>
        <w:rPr>
          <w:b/>
          <w:color w:val="1F4E79"/>
          <w:sz w:val="28"/>
        </w:rPr>
        <w:t>10. Phần kiểm thử mở rộng</w:t>
      </w:r>
    </w:p>
    <w:p>
      <w:r>
        <w:t>Phần này dùng để tạo thêm dữ liệu cho hệ thống check context. Các heading section cùng nhóm phải được so sánh với nhau theo majority visual pattern. Không được so với title chính hoặc table title.</w:t>
      </w:r>
    </w:p>
    <w:p>
      <w:r>
        <w:rPr>
          <w:b/>
        </w:rPr>
        <w:t>SuperDoc</w:t>
      </w:r>
      <w:r>
        <w:t xml:space="preserve"> xuất hiện đúng format ở đầu phần.</w:t>
      </w:r>
    </w:p>
    <w:p>
      <w:r>
        <w:br w:type="page"/>
      </w:r>
    </w:p>
    <w:p>
      <w:pPr>
        <w:shd w:fill="F4C7D9"/>
      </w:pPr>
      <w:r>
        <w:rPr>
          <w:b/>
          <w:color w:val="1F4E79"/>
          <w:sz w:val="28"/>
        </w:rPr>
        <w:t>11. Phần kiểm thử mở rộng</w:t>
      </w:r>
    </w:p>
    <w:p>
      <w:r>
        <w:t>Phần này dùng để tạo thêm dữ liệu cho hệ thống check context. Các heading section cùng nhóm phải được so sánh với nhau theo majority visual pattern. Không được so với title chính hoặc table title.</w:t>
      </w:r>
    </w:p>
    <w:p>
      <w:r>
        <w:t xml:space="preserve">Ở phần này, </w:t>
      </w:r>
      <w:r>
        <w:rPr>
          <w:b w:val="0"/>
        </w:rPr>
        <w:t>SuperDoc</w:t>
      </w:r>
      <w:r>
        <w:t xml:space="preserve"> cố ý thiếu bold để tạo lỗi format consistency.</w:t>
      </w:r>
    </w:p>
    <w:p>
      <w:r>
        <w:br w:type="page"/>
      </w:r>
    </w:p>
    <w:p>
      <w:pPr>
        <w:shd w:fill="F4C7D9"/>
      </w:pPr>
      <w:r>
        <w:rPr>
          <w:b/>
          <w:color w:val="1F4E79"/>
          <w:sz w:val="28"/>
        </w:rPr>
        <w:t>12. Phần kiểm thử mở rộng</w:t>
      </w:r>
    </w:p>
    <w:p>
      <w:r>
        <w:t>Phần này dùng để tạo thêm dữ liệu cho hệ thống check context. Các heading section cùng nhóm phải được so sánh với nhau theo majority visual pattern. Không được so với title chính hoặc table title.</w:t>
      </w:r>
    </w:p>
    <w:p>
      <w:r>
        <w:rPr>
          <w:b/>
        </w:rPr>
        <w:t>SuperDoc</w:t>
      </w:r>
      <w:r>
        <w:t xml:space="preserve"> xuất hiện đúng format ở đầu phần.</w:t>
      </w:r>
    </w:p>
    <w:p>
      <w:r>
        <w:t>document engine ở đây bị dịch thành trình xử lý tài liệu thay vì bộ máy tài liệu.</w:t>
      </w:r>
    </w:p>
    <w:p>
      <w:r>
        <w:br w:type="page"/>
      </w:r>
    </w:p>
    <w:p>
      <w:pPr>
        <w:shd w:fill="F4C7D9"/>
      </w:pPr>
      <w:r>
        <w:rPr>
          <w:b/>
          <w:color w:val="1F4E79"/>
          <w:sz w:val="28"/>
        </w:rPr>
        <w:t>13. Phần kiểm thử mở rộng</w:t>
      </w:r>
    </w:p>
    <w:p>
      <w:r>
        <w:t>Phần này dùng để tạo thêm dữ liệu cho hệ thống check context. Các heading section cùng nhóm phải được so sánh với nhau theo majority visual pattern. Không được so với title chính hoặc table title.</w:t>
      </w:r>
    </w:p>
    <w:p>
      <w:r>
        <w:t xml:space="preserve">Ở phần này, </w:t>
      </w:r>
      <w:r>
        <w:rPr>
          <w:b w:val="0"/>
        </w:rPr>
        <w:t>SuperDoc</w:t>
      </w:r>
      <w:r>
        <w:t xml:space="preserve"> cố ý thiếu bold để tạo lỗi format consistency.</w:t>
      </w:r>
    </w:p>
    <w:p>
      <w:r>
        <w:t>Tên riêng bị viết sai: Open Ai và Super Doc.</w:t>
      </w:r>
    </w:p>
    <w:p>
      <w:r>
        <w:br w:type="page"/>
      </w:r>
    </w:p>
    <w:p>
      <w:pPr>
        <w:shd w:fill="F4C7D9"/>
      </w:pPr>
      <w:r>
        <w:rPr>
          <w:b/>
          <w:color w:val="1F4E79"/>
          <w:sz w:val="28"/>
        </w:rPr>
        <w:t>14. Phần kiểm thử mở rộng</w:t>
      </w:r>
    </w:p>
    <w:p>
      <w:r>
        <w:t>Phần này dùng để tạo thêm dữ liệu cho hệ thống check context. Các heading section cùng nhóm phải được so sánh với nhau theo majority visual pattern. Không được so với title chính hoặc table title.</w:t>
      </w:r>
    </w:p>
    <w:p>
      <w:r>
        <w:rPr>
          <w:b/>
        </w:rPr>
        <w:t>SuperDoc</w:t>
      </w:r>
      <w:r>
        <w:t xml:space="preserve"> xuất hiện đúng format ở đầu phần.</w:t>
      </w:r>
    </w:p>
    <w:p>
      <w:r>
        <w:br w:type="page"/>
      </w:r>
    </w:p>
    <w:p>
      <w:pPr/>
      <w:r>
        <w:rPr>
          <w:b w:val="0"/>
          <w:color w:val="000000"/>
          <w:sz w:val="24"/>
        </w:rPr>
        <w:t>15. Phần kiểm thử mở rộng</w:t>
      </w:r>
    </w:p>
    <w:p>
      <w:r>
        <w:t>Phần này dùng để tạo thêm dữ liệu cho hệ thống check context. Các heading section cùng nhóm phải được so sánh với nhau theo majority visual pattern. Không được so với title chính hoặc table title.</w:t>
      </w:r>
    </w:p>
    <w:p>
      <w:r>
        <w:t xml:space="preserve">Ở phần này, </w:t>
      </w:r>
      <w:r>
        <w:rPr>
          <w:b w:val="0"/>
        </w:rPr>
        <w:t>SuperDoc</w:t>
      </w:r>
      <w:r>
        <w:t xml:space="preserve"> cố ý thiếu bold để tạo lỗi format consistency.</w:t>
      </w:r>
    </w:p>
    <w:p>
      <w:r>
        <w:br w:type="page"/>
      </w:r>
    </w:p>
    <w:p>
      <w:pPr>
        <w:shd w:fill="F4C7D9"/>
      </w:pPr>
      <w:r>
        <w:rPr>
          <w:b/>
          <w:color w:val="1F4E79"/>
          <w:sz w:val="28"/>
        </w:rPr>
        <w:t>16. Phần kiểm thử mở rộng</w:t>
      </w:r>
    </w:p>
    <w:p>
      <w:r>
        <w:t>Phần này dùng để tạo thêm dữ liệu cho hệ thống check context. Các heading section cùng nhóm phải được so sánh với nhau theo majority visual pattern. Không được so với title chính hoặc table title.</w:t>
      </w:r>
    </w:p>
    <w:p>
      <w:r>
        <w:rPr>
          <w:b/>
        </w:rPr>
        <w:t>SuperDoc</w:t>
      </w:r>
      <w:r>
        <w:t xml:space="preserve"> xuất hiện đúng format ở đầu phần.</w:t>
      </w:r>
    </w:p>
    <w:p>
      <w:r>
        <w:br w:type="page"/>
      </w:r>
    </w:p>
    <w:p>
      <w:pPr>
        <w:shd w:fill="F4C7D9"/>
      </w:pPr>
      <w:r>
        <w:rPr>
          <w:b/>
          <w:color w:val="1F4E79"/>
          <w:sz w:val="28"/>
        </w:rPr>
        <w:t>17. Phần kiểm thử mở rộng</w:t>
      </w:r>
    </w:p>
    <w:p>
      <w:r>
        <w:t>Phần này dùng để tạo thêm dữ liệu cho hệ thống check context. Các heading section cùng nhóm phải được so sánh với nhau theo majority visual pattern. Không được so với title chính hoặc table title.</w:t>
      </w:r>
    </w:p>
    <w:p>
      <w:r>
        <w:t xml:space="preserve">Ở phần này, </w:t>
      </w:r>
      <w:r>
        <w:rPr>
          <w:b w:val="0"/>
        </w:rPr>
        <w:t>SuperDoc</w:t>
      </w:r>
      <w:r>
        <w:t xml:space="preserve"> cố ý thiếu bold để tạo lỗi format consistency.</w:t>
      </w:r>
    </w:p>
    <w:p>
      <w:r>
        <w:br w:type="page"/>
      </w:r>
    </w:p>
    <w:p>
      <w:pPr>
        <w:shd w:fill="F4C7D9"/>
      </w:pPr>
      <w:r>
        <w:rPr>
          <w:b/>
          <w:color w:val="1F4E79"/>
          <w:sz w:val="28"/>
        </w:rPr>
        <w:t>18. Phần kiểm thử mở rộng</w:t>
      </w:r>
    </w:p>
    <w:p>
      <w:r>
        <w:t>Phần này dùng để tạo thêm dữ liệu cho hệ thống check context. Các heading section cùng nhóm phải được so sánh với nhau theo majority visual pattern. Không được so với title chính hoặc table title.</w:t>
      </w:r>
    </w:p>
    <w:p>
      <w:r>
        <w:rPr>
          <w:b/>
        </w:rPr>
        <w:t>SuperDoc</w:t>
      </w:r>
      <w:r>
        <w:t xml:space="preserve"> xuất hiện đúng format ở đầu phần.</w:t>
      </w:r>
    </w:p>
    <w:p>
      <w:r>
        <w:t>document engine ở đây bị dịch thành trình xử lý tài liệu thay vì bộ máy tài liệu.</w:t>
      </w:r>
    </w:p>
    <w:p>
      <w:r>
        <w:br w:type="page"/>
      </w:r>
    </w:p>
    <w:p>
      <w:pPr>
        <w:shd w:fill="F4C7D9"/>
      </w:pPr>
      <w:r>
        <w:rPr>
          <w:b/>
          <w:color w:val="1F4E79"/>
          <w:sz w:val="28"/>
        </w:rPr>
        <w:t>19. Phần kiểm thử mở rộng</w:t>
      </w:r>
    </w:p>
    <w:p>
      <w:r>
        <w:t>Phần này dùng để tạo thêm dữ liệu cho hệ thống check context. Các heading section cùng nhóm phải được so sánh với nhau theo majority visual pattern. Không được so với title chính hoặc table title.</w:t>
      </w:r>
    </w:p>
    <w:p>
      <w:r>
        <w:t xml:space="preserve">Ở phần này, </w:t>
      </w:r>
      <w:r>
        <w:rPr>
          <w:b w:val="0"/>
        </w:rPr>
        <w:t>SuperDoc</w:t>
      </w:r>
      <w:r>
        <w:t xml:space="preserve"> cố ý thiếu bold để tạo lỗi format consistency.</w:t>
      </w:r>
    </w:p>
    <w:p>
      <w:r>
        <w:t>Tên riêng bị viết sai: Open Ai và Super Doc.</w:t>
      </w:r>
    </w:p>
    <w:p>
      <w:r>
        <w:br w:type="page"/>
      </w:r>
    </w:p>
    <w:p>
      <w:pPr>
        <w:shd w:fill="F4C7D9"/>
      </w:pPr>
      <w:r>
        <w:rPr>
          <w:b/>
          <w:color w:val="1F4E79"/>
          <w:sz w:val="28"/>
        </w:rPr>
        <w:t>20. Phần kiểm thử mở rộng</w:t>
      </w:r>
    </w:p>
    <w:p>
      <w:r>
        <w:t>Phần này dùng để tạo thêm dữ liệu cho hệ thống check context. Các heading section cùng nhóm phải được so sánh với nhau theo majority visual pattern. Không được so với title chính hoặc table title.</w:t>
      </w:r>
    </w:p>
    <w:p>
      <w:r>
        <w:rPr>
          <w:b/>
        </w:rPr>
        <w:t>SuperDoc</w:t>
      </w:r>
      <w:r>
        <w:t xml:space="preserve"> xuất hiện đúng format ở đầu phần.</w:t>
      </w:r>
    </w:p>
    <w:p>
      <w:r>
        <w:br w:type="page"/>
      </w:r>
    </w:p>
    <w:p>
      <w:r>
        <w:rPr>
          <w:i/>
          <w:color w:val="808080"/>
        </w:rPr>
        <w:t>Hình 1. Caption minh họa không được so với section heading</w:t>
      </w:r>
    </w:p>
    <w:p>
      <w:r>
        <w:t>Caption có style riêng, không được đưa vào group section heading.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File test sai ngữ cảnh/format consistency - dùng để test SuperDoc AI Checker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