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Times New Roman" w:hAnsi="Times New Roman"/>
          <w:b/>
          <w:color w:val="000000"/>
          <w:sz w:val="32"/>
        </w:rPr>
        <w:t>SƠ ĐỒ LỚP VÀ QUY ĐỊNH KHÓA (DATABASE SCHEMA)</w:t>
      </w:r>
    </w:p>
    <w:p>
      <w:pPr>
        <w:spacing w:after="360"/>
        <w:jc w:val="left"/>
      </w:pPr>
      <w:r>
        <w:rPr>
          <w:rFonts w:ascii="Times New Roman" w:hAnsi="Times New Roman"/>
          <w:i/>
          <w:color w:val="000000"/>
          <w:sz w:val="24"/>
        </w:rPr>
        <w:t>Tài liệu biểu diễn danh sách các bảng trong hệ thống Quản Lý Thú Cưng cùng quy định định dạng Khóa chính (Primary Key) và Khóa ngoại (Foreign Key).</w:t>
      </w:r>
    </w:p>
    <w:p>
      <w:pPr>
        <w:spacing w:before="240" w:after="120"/>
      </w:pPr>
      <w:r>
        <w:rPr>
          <w:rFonts w:ascii="Times New Roman" w:hAnsi="Times New Roman"/>
          <w:b/>
          <w:color w:val="000000"/>
          <w:sz w:val="26"/>
        </w:rPr>
        <w:t>1. QUY ĐỊNH KÝ HIỆU KHÓA</w:t>
      </w:r>
    </w:p>
    <w:p>
      <w:pPr>
        <w:spacing w:after="80"/>
        <w:ind w:left="360"/>
      </w:pPr>
      <w:r>
        <w:rPr>
          <w:rFonts w:ascii="Times New Roman" w:hAnsi="Times New Roman"/>
          <w:color w:val="000000"/>
        </w:rPr>
        <w:t xml:space="preserve">• Khóa chính (Primary Key - PK): Được biểu diễn bằng </w:t>
      </w:r>
      <w:r>
        <w:rPr>
          <w:rFonts w:ascii="Times New Roman" w:hAnsi="Times New Roman"/>
          <w:b/>
          <w:color w:val="000000"/>
          <w:u w:val="single"/>
        </w:rPr>
        <w:t>MỘT NÉT GẠCH CHÂN</w:t>
      </w:r>
      <w:r>
        <w:rPr>
          <w:rFonts w:ascii="Times New Roman" w:hAnsi="Times New Roman"/>
          <w:color w:val="000000"/>
        </w:rPr>
        <w:t xml:space="preserve"> bên dưới tên thuộc tính (VD: </w:t>
      </w:r>
      <w:r>
        <w:rPr>
          <w:rFonts w:ascii="Times New Roman" w:hAnsi="Times New Roman"/>
          <w:color w:val="000000"/>
          <w:u w:val="single"/>
        </w:rPr>
        <w:t>MaKhachHang</w:t>
      </w:r>
      <w:r>
        <w:rPr>
          <w:rFonts w:ascii="Times New Roman" w:hAnsi="Times New Roman"/>
          <w:color w:val="000000"/>
        </w:rPr>
        <w:t>).</w:t>
      </w:r>
    </w:p>
    <w:p>
      <w:pPr>
        <w:spacing w:after="360"/>
        <w:ind w:left="360"/>
      </w:pPr>
      <w:r>
        <w:rPr>
          <w:rFonts w:ascii="Times New Roman" w:hAnsi="Times New Roman"/>
          <w:color w:val="000000"/>
        </w:rPr>
        <w:t xml:space="preserve">• Khóa ngoại (Foreign Key - FK): Được biểu diễn bằng </w:t>
      </w:r>
      <w:r>
        <w:rPr>
          <w:rFonts w:ascii="Times New Roman" w:hAnsi="Times New Roman"/>
          <w:b/>
          <w:color w:val="000000"/>
          <w:u w:val="double"/>
        </w:rPr>
        <w:t>HAI NÉT GẠCH CHÂN</w:t>
      </w:r>
      <w:r>
        <w:rPr>
          <w:rFonts w:ascii="Times New Roman" w:hAnsi="Times New Roman"/>
          <w:color w:val="000000"/>
        </w:rPr>
        <w:t xml:space="preserve"> bên dưới tên thuộc tính (VD: </w:t>
      </w:r>
      <w:r>
        <w:rPr>
          <w:rFonts w:ascii="Times New Roman" w:hAnsi="Times New Roman"/>
          <w:color w:val="000000"/>
          <w:u w:val="double"/>
        </w:rPr>
        <w:t>MaKhachHang</w:t>
      </w:r>
      <w:r>
        <w:rPr>
          <w:rFonts w:ascii="Times New Roman" w:hAnsi="Times New Roman"/>
          <w:color w:val="000000"/>
        </w:rPr>
        <w:t>).</w:t>
      </w:r>
    </w:p>
    <w:p>
      <w:pPr>
        <w:spacing w:before="240" w:after="120"/>
      </w:pPr>
      <w:r>
        <w:rPr>
          <w:rFonts w:ascii="Times New Roman" w:hAnsi="Times New Roman"/>
          <w:b/>
          <w:color w:val="000000"/>
          <w:sz w:val="26"/>
        </w:rPr>
        <w:t>2. DANH SÁCH BẢNG VÀ KHÓA TRONG CƠ SỞ DỮ LIỆU</w:t>
      </w:r>
    </w:p>
    <w:p>
      <w:pPr>
        <w:spacing w:before="80" w:after="40"/>
        <w:ind w:left="288"/>
      </w:pPr>
      <w:r>
        <w:rPr>
          <w:rFonts w:ascii="Times New Roman" w:hAnsi="Times New Roman"/>
          <w:b/>
          <w:color w:val="000000"/>
          <w:sz w:val="26"/>
        </w:rPr>
        <w:t>KhachHang(</w:t>
      </w:r>
      <w:r>
        <w:rPr>
          <w:rFonts w:ascii="Times New Roman" w:hAnsi="Times New Roman"/>
          <w:b/>
          <w:color w:val="000000"/>
          <w:sz w:val="26"/>
          <w:u w:val="single"/>
        </w:rPr>
        <w:t>MaKhachHang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sz w:val="26"/>
        </w:rPr>
        <w:t>HoTen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sz w:val="26"/>
        </w:rPr>
        <w:t>GioiTinh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sz w:val="26"/>
        </w:rPr>
        <w:t>SoDienThoai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sz w:val="26"/>
        </w:rPr>
        <w:t>Email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sz w:val="26"/>
        </w:rPr>
        <w:t>DiaChi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sz w:val="26"/>
        </w:rPr>
        <w:t>GhiChu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sz w:val="26"/>
        </w:rPr>
        <w:t>NgayTao</w:t>
      </w:r>
      <w:r>
        <w:rPr>
          <w:rFonts w:ascii="Times New Roman" w:hAnsi="Times New Roman"/>
          <w:b/>
          <w:color w:val="000000"/>
        </w:rPr>
        <w:t>)</w:t>
      </w:r>
    </w:p>
    <w:p>
      <w:pPr>
        <w:spacing w:before="0" w:after="120"/>
        <w:ind w:left="576"/>
      </w:pPr>
      <w:r>
        <w:rPr>
          <w:rFonts w:ascii="Times New Roman" w:hAnsi="Times New Roman"/>
          <w:i/>
          <w:color w:val="000000"/>
          <w:sz w:val="22"/>
        </w:rPr>
        <w:t>→ Ghi chú: Lưu trữ thông tin chi tiết về khách hàng.</w:t>
      </w:r>
    </w:p>
    <w:p>
      <w:pPr>
        <w:spacing w:before="80" w:after="40"/>
        <w:ind w:left="288"/>
      </w:pPr>
      <w:r>
        <w:rPr>
          <w:rFonts w:ascii="Times New Roman" w:hAnsi="Times New Roman"/>
          <w:b/>
          <w:color w:val="000000"/>
          <w:sz w:val="26"/>
        </w:rPr>
        <w:t>ThuCung(</w:t>
      </w:r>
      <w:r>
        <w:rPr>
          <w:rFonts w:ascii="Times New Roman" w:hAnsi="Times New Roman"/>
          <w:b/>
          <w:color w:val="000000"/>
          <w:sz w:val="26"/>
          <w:u w:val="single"/>
        </w:rPr>
        <w:t>MaThuCung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b/>
          <w:color w:val="000000"/>
          <w:sz w:val="26"/>
          <w:u w:val="double"/>
        </w:rPr>
        <w:t>MaKhachHang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sz w:val="26"/>
        </w:rPr>
        <w:t>TenThuCung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sz w:val="26"/>
        </w:rPr>
        <w:t>LoaiThuCung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sz w:val="26"/>
        </w:rPr>
        <w:t>GiongThuCung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sz w:val="26"/>
        </w:rPr>
        <w:t>GioiTinh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sz w:val="26"/>
        </w:rPr>
        <w:t>MauLong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sz w:val="26"/>
        </w:rPr>
        <w:t>CanNang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sz w:val="26"/>
        </w:rPr>
        <w:t>Anh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sz w:val="26"/>
        </w:rPr>
        <w:t>MoTa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sz w:val="26"/>
        </w:rPr>
        <w:t>NgayTao</w:t>
      </w:r>
      <w:r>
        <w:rPr>
          <w:rFonts w:ascii="Times New Roman" w:hAnsi="Times New Roman"/>
          <w:b/>
          <w:color w:val="000000"/>
        </w:rPr>
        <w:t>)</w:t>
      </w:r>
    </w:p>
    <w:p>
      <w:pPr>
        <w:spacing w:before="0" w:after="120"/>
        <w:ind w:left="576"/>
      </w:pPr>
      <w:r>
        <w:rPr>
          <w:rFonts w:ascii="Times New Roman" w:hAnsi="Times New Roman"/>
          <w:i/>
          <w:color w:val="000000"/>
          <w:sz w:val="22"/>
        </w:rPr>
        <w:t>→ Ghi chú: Lưu trữ thông tin thú cưng thuộc sở hữu của khách hàng.</w:t>
      </w:r>
    </w:p>
    <w:p>
      <w:pPr>
        <w:spacing w:before="80" w:after="40"/>
        <w:ind w:left="288"/>
      </w:pPr>
      <w:r>
        <w:rPr>
          <w:rFonts w:ascii="Times New Roman" w:hAnsi="Times New Roman"/>
          <w:b/>
          <w:color w:val="000000"/>
          <w:sz w:val="26"/>
        </w:rPr>
        <w:t>NhanVien(</w:t>
      </w:r>
      <w:r>
        <w:rPr>
          <w:rFonts w:ascii="Times New Roman" w:hAnsi="Times New Roman"/>
          <w:b/>
          <w:color w:val="000000"/>
          <w:sz w:val="26"/>
          <w:u w:val="single"/>
        </w:rPr>
        <w:t>MaNhanVien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sz w:val="26"/>
        </w:rPr>
        <w:t>HoTen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sz w:val="26"/>
        </w:rPr>
        <w:t>NgaySinh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sz w:val="26"/>
        </w:rPr>
        <w:t>GioiTinh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sz w:val="26"/>
        </w:rPr>
        <w:t>SoDienThoai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sz w:val="26"/>
        </w:rPr>
        <w:t>Email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sz w:val="26"/>
        </w:rPr>
        <w:t>DiaChi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sz w:val="26"/>
        </w:rPr>
        <w:t>ChuyenMon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sz w:val="26"/>
        </w:rPr>
        <w:t>BangCap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sz w:val="26"/>
        </w:rPr>
        <w:t>NgayVaoLam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sz w:val="26"/>
        </w:rPr>
        <w:t>Anh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sz w:val="26"/>
        </w:rPr>
        <w:t>MoTa</w:t>
      </w:r>
      <w:r>
        <w:rPr>
          <w:rFonts w:ascii="Times New Roman" w:hAnsi="Times New Roman"/>
          <w:b/>
          <w:color w:val="000000"/>
        </w:rPr>
        <w:t>)</w:t>
      </w:r>
    </w:p>
    <w:p>
      <w:pPr>
        <w:spacing w:before="0" w:after="120"/>
        <w:ind w:left="576"/>
      </w:pPr>
      <w:r>
        <w:rPr>
          <w:rFonts w:ascii="Times New Roman" w:hAnsi="Times New Roman"/>
          <w:i/>
          <w:color w:val="000000"/>
          <w:sz w:val="22"/>
        </w:rPr>
        <w:t>→ Ghi chú: Lưu trữ thông tin đội ngũ bác sĩ và nhân viên phòng khám.</w:t>
      </w:r>
    </w:p>
    <w:p>
      <w:pPr>
        <w:spacing w:before="80" w:after="40"/>
        <w:ind w:left="288"/>
      </w:pPr>
      <w:r>
        <w:rPr>
          <w:rFonts w:ascii="Times New Roman" w:hAnsi="Times New Roman"/>
          <w:b/>
          <w:color w:val="000000"/>
          <w:sz w:val="26"/>
        </w:rPr>
        <w:t>PhieuKham(</w:t>
      </w:r>
      <w:r>
        <w:rPr>
          <w:rFonts w:ascii="Times New Roman" w:hAnsi="Times New Roman"/>
          <w:b/>
          <w:color w:val="000000"/>
          <w:sz w:val="26"/>
          <w:u w:val="single"/>
        </w:rPr>
        <w:t>MaPhieuKham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b/>
          <w:color w:val="000000"/>
          <w:sz w:val="26"/>
          <w:u w:val="double"/>
        </w:rPr>
        <w:t>MaKhachHang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b/>
          <w:color w:val="000000"/>
          <w:sz w:val="26"/>
          <w:u w:val="double"/>
        </w:rPr>
        <w:t>MaThuCung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b/>
          <w:color w:val="000000"/>
          <w:sz w:val="26"/>
          <w:u w:val="double"/>
        </w:rPr>
        <w:t>MaNhanVien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sz w:val="26"/>
        </w:rPr>
        <w:t>NgayKham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sz w:val="26"/>
        </w:rPr>
        <w:t>MoTaTrieuChung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sz w:val="26"/>
        </w:rPr>
        <w:t>KetQuaKham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sz w:val="26"/>
        </w:rPr>
        <w:t>BenhTinh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sz w:val="26"/>
        </w:rPr>
        <w:t>ThongTinThuoc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sz w:val="26"/>
        </w:rPr>
        <w:t>MoTaSuDungDichVu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sz w:val="26"/>
        </w:rPr>
        <w:t>SoTien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sz w:val="26"/>
        </w:rPr>
        <w:t>NgayLap</w:t>
      </w:r>
      <w:r>
        <w:rPr>
          <w:rFonts w:ascii="Times New Roman" w:hAnsi="Times New Roman"/>
          <w:b/>
          <w:color w:val="000000"/>
        </w:rPr>
        <w:t>)</w:t>
      </w:r>
    </w:p>
    <w:p>
      <w:pPr>
        <w:spacing w:before="0" w:after="120"/>
        <w:ind w:left="576"/>
      </w:pPr>
      <w:r>
        <w:rPr>
          <w:rFonts w:ascii="Times New Roman" w:hAnsi="Times New Roman"/>
          <w:i/>
          <w:color w:val="000000"/>
          <w:sz w:val="22"/>
        </w:rPr>
        <w:t>→ Ghi chú: Ghi nhận phiếu khám bệnh, điều trị dịch vụ cho thú cưng.</w:t>
      </w:r>
    </w:p>
    <w:p>
      <w:pPr>
        <w:spacing w:before="80" w:after="40"/>
        <w:ind w:left="288"/>
      </w:pPr>
      <w:r>
        <w:rPr>
          <w:rFonts w:ascii="Times New Roman" w:hAnsi="Times New Roman"/>
          <w:b/>
          <w:color w:val="000000"/>
          <w:sz w:val="26"/>
        </w:rPr>
        <w:t>TaiKhoan(</w:t>
      </w:r>
      <w:r>
        <w:rPr>
          <w:rFonts w:ascii="Times New Roman" w:hAnsi="Times New Roman"/>
          <w:b/>
          <w:color w:val="000000"/>
          <w:sz w:val="26"/>
          <w:u w:val="single"/>
        </w:rPr>
        <w:t>MaTaiKhoan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sz w:val="26"/>
        </w:rPr>
        <w:t>TenDangNhap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sz w:val="26"/>
        </w:rPr>
        <w:t>MatKhau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sz w:val="26"/>
        </w:rPr>
        <w:t>Email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sz w:val="26"/>
        </w:rPr>
        <w:t>NgayTao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sz w:val="26"/>
        </w:rPr>
        <w:t>PhanQuyen</w:t>
      </w:r>
      <w:r>
        <w:rPr>
          <w:rFonts w:ascii="Times New Roman" w:hAnsi="Times New Roman"/>
          <w:b/>
          <w:color w:val="000000"/>
        </w:rPr>
        <w:t>)</w:t>
      </w:r>
    </w:p>
    <w:p>
      <w:pPr>
        <w:spacing w:before="0" w:after="120"/>
        <w:ind w:left="576"/>
      </w:pPr>
      <w:r>
        <w:rPr>
          <w:rFonts w:ascii="Times New Roman" w:hAnsi="Times New Roman"/>
          <w:i/>
          <w:color w:val="000000"/>
          <w:sz w:val="22"/>
        </w:rPr>
        <w:t>→ Ghi chú: Lưu trữ thông tin tài khoản người dùng và phân quyền.</w:t>
      </w:r>
    </w:p>
    <w:p>
      <w:pPr>
        <w:spacing w:before="80" w:after="40"/>
        <w:ind w:left="288"/>
      </w:pPr>
      <w:r>
        <w:rPr>
          <w:rFonts w:ascii="Times New Roman" w:hAnsi="Times New Roman"/>
          <w:b/>
          <w:color w:val="000000"/>
          <w:sz w:val="26"/>
        </w:rPr>
        <w:t>Thuoc(</w:t>
      </w:r>
      <w:r>
        <w:rPr>
          <w:rFonts w:ascii="Times New Roman" w:hAnsi="Times New Roman"/>
          <w:b/>
          <w:color w:val="000000"/>
          <w:sz w:val="26"/>
          <w:u w:val="single"/>
        </w:rPr>
        <w:t>MaThuoc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sz w:val="26"/>
        </w:rPr>
        <w:t>TenThuoc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sz w:val="26"/>
        </w:rPr>
        <w:t>DonViTinh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sz w:val="26"/>
        </w:rPr>
        <w:t>SoLuongTon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sz w:val="26"/>
        </w:rPr>
        <w:t>Gia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sz w:val="26"/>
        </w:rPr>
        <w:t>MoTa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sz w:val="26"/>
        </w:rPr>
        <w:t>TrangThai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sz w:val="26"/>
        </w:rPr>
        <w:t>HanSuDung</w:t>
      </w:r>
      <w:r>
        <w:rPr>
          <w:rFonts w:ascii="Times New Roman" w:hAnsi="Times New Roman"/>
          <w:b/>
          <w:color w:val="000000"/>
        </w:rPr>
        <w:t>)</w:t>
      </w:r>
    </w:p>
    <w:p>
      <w:pPr>
        <w:spacing w:before="0" w:after="120"/>
        <w:ind w:left="576"/>
      </w:pPr>
      <w:r>
        <w:rPr>
          <w:rFonts w:ascii="Times New Roman" w:hAnsi="Times New Roman"/>
          <w:i/>
          <w:color w:val="000000"/>
          <w:sz w:val="22"/>
        </w:rPr>
        <w:t>→ Ghi chú: Danh mục thuốc, kho dược phẩm sử dụng cho điều trị.</w:t>
      </w:r>
    </w:p>
    <w:p>
      <w:pPr>
        <w:spacing w:before="240" w:after="120"/>
      </w:pPr>
      <w:r>
        <w:rPr>
          <w:rFonts w:ascii="Times New Roman" w:hAnsi="Times New Roman"/>
          <w:b/>
          <w:color w:val="000000"/>
          <w:sz w:val="26"/>
        </w:rPr>
        <w:t>3. BẢNG TỔNG HỢP MỐI QUAN HỆ KHÓA (RELATIONSHIPS)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Bảng (Table)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Khóa chính (PK - 1 gạch)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Khóa ngoại (FK - 2 gạch)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Tham chiếu đến Bảng (FK Reference)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>KhachHang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>MaKhachHang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>-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>ThuCung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>MaThuCung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>MaKhachHang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>KhachHang(MaKhachHang)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>NhanVien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>MaNhanVien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>-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>PhieuKham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>MaPhieuKham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>MaKhachHang</w:t>
              <w:br/>
              <w:t>MaThuCung</w:t>
              <w:br/>
              <w:t>MaNhanVien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>KhachHang(MaKhachHang)</w:t>
              <w:br/>
              <w:t>ThuCung(MaThuCung)</w:t>
              <w:br/>
              <w:t>NhanVien(MaNhanVien)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>TaiKhoan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>MaTaiKhoan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>-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>Thuoc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>MaThuoc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>-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>-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