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Hệ phương trình </w:t>
      </w:r>
      <m:oMath>
        <m:d>
          <m:dPr>
            <m:begChr m:val="{"/>
            <m:endChr m:val=""/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b w:val="0"/>
          <w:i w:val="0"/>
          <w:sz w:val="24"/>
          <w:u w:val="none"/>
        </w:rPr>
        <w:t xml:space="preserve"> và </w:t>
      </w:r>
      <m:oMath>
        <m:d>
          <m:dPr>
            <m:begChr m:val="{"/>
            <m:endChr m:val="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/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i w:val="0"/>
                    </w:rPr>
                    <m:t>≥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/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i w:val="0"/>
                    </w:rPr>
                    <m:t>≤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rPr>
          <w:b w:val="0"/>
          <w:i w:val="0"/>
          <w:sz w:val="24"/>
          <w:u w:val="none"/>
        </w:rPr>
        <w:t xml:space="preserve">, </w:t>
      </w:r>
      <m:oMath>
        <m:d>
          <m:dPr>
            <m:begChr m:val="["/>
            <m:endChr m:val="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/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/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Ma trận </w:t>
      </w:r>
      <m:oMath>
        <m:r>
          <w:rPr>
            <w:rFonts w:ascii="Cambria Math" w:hAnsi="Cambria Math"/>
          </w:rPr>
          <m:t>A</m:t>
        </m:r>
        <m:r>
          <m:rPr>
            <m:nor/>
          </m:rPr>
          <w:rPr>
            <w:rFonts w:ascii="Cambria Math" w:hAnsi="Cambria Math"/>
          </w:rPr>
          <m:t>=</m:t>
        </m:r>
        <m:d>
          <m:dPr>
            <m:begChr m:val="("/>
            <m:endChr m:val=")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rPr>
          <w:b w:val="0"/>
          <w:i w:val="0"/>
          <w:sz w:val="24"/>
          <w:u w:val="none"/>
        </w:rPr>
        <w:t xml:space="preserve">, định thức 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</m:m>
          </m:e>
        </m:d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c</m:t>
        </m:r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Phân số lồng </w:t>
      </w:r>
      <m:oMath>
        <m:f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+</m:t>
            </m:r>
            <m:f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den>
        </m:f>
      </m:oMath>
      <w:r>
        <w:rPr>
          <w:b w:val="0"/>
          <w:i w:val="0"/>
          <w:sz w:val="24"/>
          <w:u w:val="none"/>
        </w:rPr>
        <w:t xml:space="preserve">, căn bậc ba </w:t>
      </w:r>
      <m:oMath>
        <m:rad>
          <m:radPr>
            <m:degHide m:val="0"/>
          </m:radPr>
          <m:deg>
            <m:r>
              <w:rPr>
                <w:rFonts w:ascii="Cambria Math" w:hAnsi="Cambria Math"/>
              </w:rPr>
              <m:t>3</m:t>
            </m:r>
          </m:deg>
          <m:e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  <w:r>
        <w:rPr>
          <w:b w:val="0"/>
          <w:i w:val="0"/>
          <w:sz w:val="24"/>
          <w:u w:val="none"/>
        </w:rPr>
        <w:t xml:space="preserve">, tích phân </w:t>
      </w:r>
      <m:oMath>
        <m:nary>
          <m:naryPr>
            <m:chr m:val="∫"/>
            <m:limLoc m:val="subSup"/>
            <m:subHide m:val="0"/>
            <m:supHide m:val="0"/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x</m:t>
            </m:r>
          </m:e>
        </m:nary>
        <m:r>
          <m:rPr>
            <m:nor/>
          </m:rPr>
          <w:rPr>
            <w:rFonts w:ascii="Cambria Math" w:hAnsi="Cambria Math"/>
          </w:rPr>
          <m:t>=</m:t>
        </m:r>
        <m:f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Tổng </w:t>
      </w:r>
      <m:oMath>
        <m:nary>
          <m:naryPr>
            <m:chr m:val="∑"/>
            <m:limLoc m:val="subSup"/>
            <m:subHide m:val="0"/>
            <m:supHide m:val="0"/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nor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d>
              <m:dPr>
                <m:begChr m:val="("/>
                <m:endChr m:val=")"/>
              </m:dPr>
              <m:e>
                <m:f>
                  <m:fPr>
                    <m:type m:val="noBar"/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</m:den>
                </m:f>
              </m:e>
            </m:d>
          </m:e>
        </m:nary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</m:oMath>
      <w:r>
        <w:rPr>
          <w:b w:val="0"/>
          <w:i w:val="0"/>
          <w:sz w:val="24"/>
          <w:u w:val="none"/>
        </w:rPr>
        <w:t xml:space="preserve"> và </w:t>
      </w:r>
      <m:oMath>
        <m:sSubSup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m:rPr>
            <m:nor/>
          </m:rPr>
          <w:rPr>
            <w:rFonts w:ascii="Cambria Math" w:hAnsi="Cambria Math"/>
          </w:rPr>
          <m:t>=</m:t>
        </m:r>
        <m:f>
          <m:num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!</m:t>
            </m:r>
          </m:num>
          <m:den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!</m:t>
            </m:r>
            <m:r>
              <m:rPr>
                <m:nor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k</m:t>
            </m:r>
            <m:r>
              <m:rPr>
                <m:nor/>
              </m:rP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!</m:t>
            </m:r>
          </m:den>
        </m:f>
      </m:oMath>
      <w:r>
        <w:rPr>
          <w:b w:val="0"/>
          <w:i w:val="0"/>
          <w:sz w:val="24"/>
          <w:u w:val="none"/>
        </w:rPr>
        <w:t xml:space="preserve">, giới hạn </w:t>
      </w:r>
      <m:oMath>
        <m:limLow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lim</m:t>
            </m:r>
          </m:e>
          <m:li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i w:val="0"/>
              </w:rPr>
              <m:t>→</m:t>
            </m:r>
            <m:r>
              <m:rPr>
                <m:sty m:val="p"/>
              </m:rPr>
              <w:rPr>
                <w:rFonts w:ascii="Cambria Math" w:hAnsi="Cambria Math"/>
                <w:i w:val="0"/>
              </w:rPr>
              <m:t>∞</m:t>
            </m:r>
          </m:lim>
        </m:limLow>
        <m:sSup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+</m:t>
                </m:r>
                <m:f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Vectơ </w:t>
      </w:r>
      <m:oMath>
        <m:acc>
          <m:accPr>
            <m:chr m:val="⃗"/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b w:val="0"/>
          <w:i w:val="0"/>
          <w:sz w:val="24"/>
          <w:u w:val="none"/>
        </w:rPr>
        <w:t xml:space="preserve">, </w:t>
      </w:r>
      <m:oMath>
        <m:acc>
          <m:accPr>
            <m:chr m:val="⃗"/>
          </m:acc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B</m:t>
            </m:r>
          </m:e>
        </m:acc>
      </m:oMath>
      <w:r>
        <w:rPr>
          <w:b w:val="0"/>
          <w:i w:val="0"/>
          <w:sz w:val="24"/>
          <w:u w:val="none"/>
        </w:rPr>
        <w:t xml:space="preserve">, </w:t>
      </w:r>
      <m:oMath>
        <m:acc>
          <m:accPr>
            <m:chr m:val="⃖"/>
          </m:accPr>
          <m:e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D</m:t>
            </m:r>
          </m:e>
        </m:acc>
      </m:oMath>
      <w:r>
        <w:rPr>
          <w:b w:val="0"/>
          <w:i w:val="0"/>
          <w:sz w:val="24"/>
          <w:u w:val="none"/>
        </w:rPr>
        <w:t xml:space="preserve">, </w:t>
      </w:r>
      <m:oMath>
        <m:acc>
          <m:accPr>
            <m:chr m:val="⃡"/>
          </m:accPr>
          <m:e>
            <m: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</w:rPr>
              <m:t>F</m:t>
            </m:r>
          </m:e>
        </m:acc>
      </m:oMath>
      <w:r>
        <w:rPr>
          <w:b w:val="0"/>
          <w:i w:val="0"/>
          <w:sz w:val="24"/>
          <w:u w:val="none"/>
        </w:rPr>
        <w:t xml:space="preserve">, </w:t>
      </w:r>
      <m:oMath>
        <m:acc>
          <m:accPr>
            <m:chr m:val="̂"/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rPr>
          <w:b w:val="0"/>
          <w:i w:val="0"/>
          <w:sz w:val="24"/>
          <w:u w:val="none"/>
        </w:rPr>
        <w:t xml:space="preserve">, </w:t>
      </w:r>
      <m:oMath>
        <m:acc>
          <m:accPr>
            <m:chr m:val="̄"/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rPr>
          <w:b w:val="0"/>
          <w:i w:val="0"/>
          <w:sz w:val="24"/>
          <w:u w:val="none"/>
        </w:rPr>
        <w:t xml:space="preserve">, </w:t>
      </w:r>
      <m:oMath>
        <m:acc>
          <m:accPr>
            <m:chr m:val="̃"/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>
        <w:rPr>
          <w:b w:val="0"/>
          <w:i w:val="0"/>
          <w:sz w:val="24"/>
          <w:u w:val="none"/>
        </w:rPr>
        <w:t xml:space="preserve">, </w:t>
      </w:r>
      <m:oMath>
        <m:acc>
          <m:accPr>
            <m:chr m:val="̇"/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>
        <w:rPr>
          <w:b w:val="0"/>
          <w:i w:val="0"/>
          <w:sz w:val="24"/>
          <w:u w:val="none"/>
        </w:rPr>
        <w:t xml:space="preserve">, </w:t>
      </w:r>
      <m:oMath>
        <m:acc>
          <m:accPr>
            <m:chr m:val="̈"/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rPr>
          <w:b w:val="0"/>
          <w:i w:val="0"/>
          <w:sz w:val="24"/>
          <w:u w:val="none"/>
        </w:rPr>
        <w:t xml:space="preserve">, </w:t>
      </w:r>
      <m:oMath>
        <m:acc>
          <m:accPr>
            <m:chr m:val="̂"/>
          </m:acc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C</m:t>
            </m:r>
          </m:e>
        </m:acc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Mũi tên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i w:val="0"/>
          </w:rPr>
          <m:t>→</m:t>
        </m:r>
        <m:r>
          <w:rPr>
            <w:rFonts w:ascii="Cambria Math" w:hAnsi="Cambria Math"/>
          </w:rPr>
          <m:t>b</m:t>
        </m:r>
      </m:oMath>
      <w:r>
        <w:rPr>
          <w:b w:val="0"/>
          <w:i w:val="0"/>
          <w:sz w:val="24"/>
          <w:u w:val="none"/>
        </w:rPr>
        <w:t xml:space="preserve">, </w:t>
      </w:r>
      <m:oMath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y</m:t>
        </m:r>
      </m:oMath>
      <w:r>
        <w:rPr>
          <w:b w:val="0"/>
          <w:i w:val="0"/>
          <w:sz w:val="24"/>
          <w:u w:val="none"/>
        </w:rPr>
        <w:t xml:space="preserve">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i w:val="0"/>
          </w:rPr>
          <m:t>⇌</m:t>
        </m:r>
        <m:r>
          <w:rPr>
            <w:rFonts w:ascii="Cambria Math" w:hAnsi="Cambria Math"/>
          </w:rPr>
          <m:t>q</m:t>
        </m:r>
      </m:oMath>
      <w:r>
        <w:rPr>
          <w:b w:val="0"/>
          <w:i w:val="0"/>
          <w:sz w:val="24"/>
          <w:u w:val="none"/>
        </w:rPr>
        <w:t xml:space="preserve">, trần </w:t>
      </w:r>
      <m:oMath>
        <m:d>
          <m:dPr>
            <m:begChr m:val="⌈"/>
            <m:endChr m:val="⌉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b w:val="0"/>
          <w:i w:val="0"/>
          <w:sz w:val="24"/>
          <w:u w:val="none"/>
        </w:rPr>
        <w:t xml:space="preserve">, sàn </w:t>
      </w:r>
      <m:oMath>
        <m:r>
          <m:rPr>
            <m:sty m:val="p"/>
          </m:rPr>
          <w:rPr>
            <w:rFonts w:ascii="Cambria Math" w:hAnsi="Cambria Math"/>
            <w:i w:val="0"/>
          </w:rPr>
          <m:t>⌊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i w:val="0"/>
          </w:rPr>
          <m:t>⌋</m:t>
        </m:r>
      </m:oMath>
      <w:r>
        <w:rPr>
          <w:b w:val="0"/>
          <w:i w:val="0"/>
          <w:sz w:val="24"/>
          <w:u w:val="none"/>
        </w:rPr>
        <w:t xml:space="preserve">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i w:val="0"/>
          </w:rPr>
          <m:t>≡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 xml:space="preserve"> (mod </m:t>
        </m:r>
        <m:r>
          <w:rPr>
            <w:rFonts w:ascii="Cambria Math" w:hAnsi="Cambria Math"/>
          </w:rPr>
          <m:t>3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120"/>
        <w:jc w:val="center"/>
      </w:pPr>
      <m:oMathPara>
        <m:oMath>
          <m:m>
            <m:mPr>
              <m:mcs>
                <m:mc>
                  <m:mcPr>
                    <m:count m:val="2"/>
                    <m:mcJc m:val="left"/>
                  </m:mcPr>
                </m:mc>
              </m:mcs>
            </m:mPr>
            <m:mr>
              <m:e>
                <m:r>
                  <w:rPr>
                    <w:rFonts w:ascii="Cambria Math" w:hAnsi="Cambria Math"/>
                  </w:rPr>
                  <m:t>I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∫"/>
                    <m:limLoc m:val="subSup"/>
                    <m:subHide m:val="0"/>
                    <m:supHide m:val="0"/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nary>
              </m:e>
            </m:mr>
            <m:mr>
              <m:e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x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sSubSup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  <m:r>
                  <w:rPr>
                    <w:rFonts w:ascii="Cambria Math" w:hAnsi="Cambria Math"/>
                  </w:rPr>
                  <m:t>−</m:t>
                </m:r>
                <m:nary>
                  <m:naryPr>
                    <m:chr m:val="∫"/>
                    <m:limLoc m:val="subSup"/>
                    <m:subHide m:val="0"/>
                    <m:supHide m:val="0"/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nary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