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i w:val="0"/>
          <w:sz w:val="28"/>
          <w:u w:val="none"/>
        </w:rPr>
        <w:t>Đề kiểm tra nhanh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b w:val="0"/>
          <w:i w:val="0"/>
          <w:sz w:val="24"/>
          <w:u w:val="none"/>
        </w:rPr>
        <w:t xml:space="preserve"> với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i w:val="0"/>
          </w:rPr>
          <m:t>≠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 xml:space="preserve">. Tính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→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∞</m:t>
            </m:r>
          </m:lim>
        </m:limLow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</w:t>
        <w:br/>
        <w:t xml:space="preserve">Giá trị của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>+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i w:val="0"/>
          </w:rPr>
          <m:t>⋅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b w:val="0"/>
          <w:i w:val="0"/>
          <w:sz w:val="24"/>
          <w:u w:val="none"/>
        </w:rPr>
        <w:t xml:space="preserve"> khi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i w:val="0"/>
          </w:rPr>
          <m:t>⊥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b w:val="0"/>
          <w:i w:val="0"/>
          <w:sz w:val="24"/>
          <w:u w:val="none"/>
        </w:rPr>
        <w:t xml:space="preserve"> là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hidden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6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8</m:t>
              </m:r>
            </m:oMath>
          </w:p>
        </w:tc>
      </w:tr>
    </w:tbl>
    <w:tbl>
      <w:tblPr>
        <w:tblW w:type="pct" w:w="4800"/>
        <w:jc w:val="center"/>
        <w:tblLook w:firstColumn="1" w:firstRow="1" w:lastColumn="0" w:lastRow="0" w:noHBand="0" w:noVBand="1" w:val="04A0"/>
        <w:tblDescription w:val="l2w:role=data;rows=2;cols=3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5</m:t>
              </m:r>
            </m:oMath>
          </w:p>
        </w:tc>
      </w:tr>
    </w:tbl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Kết thúc đề với dòng chữ có dấu: Trường học, người thầy, ước mơ.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