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Câu 1. Giá trị của biểu thức hai cộng ba bằng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-mcq1;cols=2;answer_key=unknown"/>
      </w:tblPr>
      <w:tblGrid>
        <w:gridCol w:w="4593"/>
        <w:gridCol w:w="4593"/>
      </w:tblGrid>
      <w:tr>
        <w:tc>
          <w:tcPr>
            <w:tcW w:type="dxa" w:w="4593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4.</w:t>
            </w:r>
          </w:p>
        </w:tc>
        <w:tc>
          <w:tcPr>
            <w:tcW w:type="dxa" w:w="4593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5.</w:t>
            </w:r>
          </w:p>
        </w:tc>
      </w:tr>
      <w:tr>
        <w:tc>
          <w:tcPr>
            <w:tcW w:type="dxa" w:w="4593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6.</w:t>
            </w:r>
          </w:p>
        </w:tc>
        <w:tc>
          <w:tcPr>
            <w:tcW w:type="dxa" w:w="4593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7.</w:t>
            </w:r>
          </w:p>
        </w:tc>
      </w:tr>
    </w:tbl>
    <w:p>
      <w:r>
        <w:rPr>
          <w:sz w:val="24"/>
        </w:rPr>
        <w:t>Câu 2. Thủ đô của Việt Nam là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1-mcq2;cols=1;answer_key=unknown"/>
      </w:tblPr>
      <w:tblGrid>
        <w:gridCol w:w="9186"/>
      </w:tblGrid>
      <w:tr>
        <w:tc>
          <w:tcPr>
            <w:tcW w:type="dxa" w:w="9186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Hà Nội.</w:t>
            </w:r>
          </w:p>
        </w:tc>
      </w:tr>
      <w:tr>
        <w:tc>
          <w:tcPr>
            <w:tcW w:type="dxa" w:w="9186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Huế.</w:t>
            </w:r>
          </w:p>
        </w:tc>
      </w:tr>
      <w:tr>
        <w:tc>
          <w:tcPr>
            <w:tcW w:type="dxa" w:w="9186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Đà Nẵng.</w:t>
            </w:r>
          </w:p>
        </w:tc>
      </w:tr>
      <w:tr>
        <w:tc>
          <w:tcPr>
            <w:tcW w:type="dxa" w:w="9186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Cần Thơ.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70" w:right="1800" w:bottom="1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