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>Xét tính đúng sai của các mệnh đề sau.</w:t>
      </w:r>
    </w:p>
    <w:tbl>
      <w:tblPr>
        <w:tblW w:type="pct" w:w="5000"/>
        <w:jc w:val="center"/>
        <w:tblLook w:firstColumn="1" w:firstRow="1" w:lastColumn="0" w:lastRow="0" w:noHBand="0" w:noVBand="1" w:val="04A0"/>
        <w:tblDescription w:val="l2w:role=true_false;answer_key=unknown;answer_display=hidden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Mệnh đề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Đúng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a) </w:t>
            </w:r>
            <w:r>
              <w:rPr>
                <w:b w:val="0"/>
                <w:i w:val="0"/>
                <w:sz w:val="23"/>
                <w:u w:val="none"/>
              </w:rPr>
              <w:t xml:space="preserve">Hàm số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b w:val="0"/>
                <w:i w:val="0"/>
                <w:sz w:val="23"/>
                <w:u w:val="none"/>
              </w:rPr>
              <w:t xml:space="preserve"> đồng biến trên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ℝ</m:t>
              </m:r>
            </m:oMath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b) </w:t>
            </w:r>
            <w:r>
              <w:rPr>
                <w:b w:val="0"/>
                <w:i w:val="0"/>
                <w:sz w:val="23"/>
                <w:u w:val="none"/>
              </w:rPr>
              <w:t xml:space="preserve">Phương trình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 w:val="0"/>
                <w:i w:val="0"/>
                <w:sz w:val="23"/>
                <w:u w:val="none"/>
              </w:rPr>
              <w:t xml:space="preserve"> có nghiệm thực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c)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b/>
                <w:sz w:val="23"/>
              </w:rPr>
              <w:t xml:space="preserve">d)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π</m:t>
              </m:r>
            </m:oMath>
            <w:r>
              <w:rPr>
                <w:b w:val="0"/>
                <w:i w:val="0"/>
                <w:sz w:val="23"/>
                <w:u w:val="none"/>
              </w:rPr>
              <w:t xml:space="preserve"> là số hữu tỉ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/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