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example"/>
      <w:r>
        <w:t xml:space="preserve">Example</w:t>
      </w:r>
      <w:bookmarkEnd w:id="9"/>
    </w:p>
    <w:p>
      <w:pPr>
        <w:pStyle w:val="FirstParagraph"/>
      </w:pPr>
      <w:r>
        <w:t xml:space="preserve">Text and integers 12345; decimal 3.14159; Vietnamese Unicode: Toán học.</w:t>
      </w:r>
      <w:r>
        <w:t xml:space="preserve"> </w:t>
      </w:r>
      <w:r>
        <w:t xml:space="preserve">Inline math: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/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84456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generated_figures/graphic_00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Illustrative plot generated with PGFPlots.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2026-10-19T03:25:28Z</dcterms:created>
  <dcterms:modified xsi:type="dcterms:W3CDTF">2026-10-19T03:25:28Z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