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AGT 009 Actor Evidence and Fabric Privacy Review</w:t>
      </w:r>
    </w:p>
    <w:p>
      <w:r>
        <w:rPr>
          <w:i/>
        </w:rPr>
        <w:t>Gửi Phát và Phi  |  13 tháng 10 năm 2026  |  Căn cứ main a450ca2 và thay đổi local chưa commit</w:t>
      </w:r>
    </w:p>
    <w:p>
      <w:r>
        <w:t>Kết luận: đường ghi Fabric hiện chỉ nhận envelope công khai và không đưa businessData hoặc actorAuthProof vào transaction argument. API lịch sử trace đã được thu hẹp trường trả về; lỗi worker được che nội dung thô. Chưa thể nghiệm thu actor authentication evidence: giá trị hiện tại là SHA-256 của userId và role do server chọn, không ràng buộc phiên đăng nhập và không phải chữ ký người dùng.</w:t>
      </w:r>
    </w:p>
    <w:p>
      <w:pPr>
        <w:pStyle w:val="Heading1"/>
      </w:pPr>
      <w:r>
        <w:t>Ma trận dữ liệu</w:t>
      </w:r>
    </w:p>
    <w:tbl>
      <w:tblPr>
        <w:tblW w:type="auto" w:w="0"/>
        <w:tblLayout w:type="fixed"/>
        <w:tblLook w:firstColumn="1" w:firstRow="1" w:lastColumn="0" w:lastRow="0" w:noHBand="0" w:noVBand="1" w:val="04A0"/>
      </w:tblPr>
      <w:tblGrid>
        <w:gridCol w:w="3264"/>
        <w:gridCol w:w="3264"/>
        <w:gridCol w:w="3264"/>
      </w:tblGrid>
      <w:tr>
        <w:trPr>
          <w:tblHeader/>
        </w:trPr>
        <w:tc>
          <w:tcPr>
            <w:tcW w:type="dxa" w:w="1872"/>
            <w:shd w:fill="E8EDF3"/>
            <w:tcBorders>
              <w:top w:val="single" w:sz="4" w:color="D9D9D9"/>
              <w:left w:val="single" w:sz="4" w:color="D9D9D9"/>
              <w:bottom w:val="single" w:sz="4" w:color="D9D9D9"/>
              <w:right w:val="single" w:sz="4" w:color="D9D9D9"/>
            </w:tcBorders>
          </w:tcPr>
          <w:p>
            <w:r>
              <w:rPr>
                <w:b/>
                <w:sz w:val="18"/>
              </w:rPr>
              <w:t>Bề mặt</w:t>
            </w:r>
          </w:p>
        </w:tc>
        <w:tc>
          <w:tcPr>
            <w:tcW w:type="dxa" w:w="4003"/>
            <w:shd w:fill="E8EDF3"/>
            <w:tcBorders>
              <w:top w:val="single" w:sz="4" w:color="D9D9D9"/>
              <w:left w:val="single" w:sz="4" w:color="D9D9D9"/>
              <w:bottom w:val="single" w:sz="4" w:color="D9D9D9"/>
              <w:right w:val="single" w:sz="4" w:color="D9D9D9"/>
            </w:tcBorders>
          </w:tcPr>
          <w:p>
            <w:r>
              <w:rPr>
                <w:b/>
                <w:sz w:val="18"/>
              </w:rPr>
              <w:t>Trường được dùng</w:t>
            </w:r>
          </w:p>
        </w:tc>
        <w:tc>
          <w:tcPr>
            <w:tcW w:type="dxa" w:w="3917"/>
            <w:shd w:fill="E8EDF3"/>
            <w:tcBorders>
              <w:top w:val="single" w:sz="4" w:color="D9D9D9"/>
              <w:left w:val="single" w:sz="4" w:color="D9D9D9"/>
              <w:bottom w:val="single" w:sz="4" w:color="D9D9D9"/>
              <w:right w:val="single" w:sz="4" w:color="D9D9D9"/>
            </w:tcBorders>
          </w:tcPr>
          <w:p>
            <w:r>
              <w:rPr>
                <w:b/>
                <w:sz w:val="18"/>
              </w:rPr>
              <w:t>Không đưa ra</w:t>
            </w:r>
          </w:p>
        </w:tc>
      </w:tr>
      <w:tr>
        <w:tc>
          <w:tcPr>
            <w:tcW w:type="dxa" w:w="1872"/>
            <w:vAlign w:val="center"/>
            <w:tcBorders>
              <w:top w:val="single" w:sz="4" w:color="D9D9D9"/>
              <w:left w:val="single" w:sz="4" w:color="D9D9D9"/>
              <w:bottom w:val="single" w:sz="4" w:color="D9D9D9"/>
              <w:right w:val="single" w:sz="4" w:color="D9D9D9"/>
            </w:tcBorders>
          </w:tcPr>
          <w:p>
            <w:pPr>
              <w:spacing w:after="0" w:line="254" w:lineRule="auto"/>
            </w:pPr>
            <w:r>
              <w:rPr>
                <w:sz w:val="17"/>
              </w:rPr>
              <w:t>PostgreSQL nội bộ</w:t>
            </w:r>
          </w:p>
        </w:tc>
        <w:tc>
          <w:tcPr>
            <w:tcW w:type="dxa" w:w="4003"/>
            <w:vAlign w:val="center"/>
            <w:tcBorders>
              <w:top w:val="single" w:sz="4" w:color="D9D9D9"/>
              <w:left w:val="single" w:sz="4" w:color="D9D9D9"/>
              <w:bottom w:val="single" w:sz="4" w:color="D9D9D9"/>
              <w:right w:val="single" w:sz="4" w:color="D9D9D9"/>
            </w:tcBorders>
          </w:tcPr>
          <w:p>
            <w:pPr>
              <w:spacing w:after="0" w:line="254" w:lineRule="auto"/>
            </w:pPr>
            <w:r>
              <w:rPr>
                <w:sz w:val="17"/>
              </w:rPr>
              <w:t>TraceEvent lưu actor ID, tổ chức, role, actorAuthProof, businessData, version và hash để kiểm tra toàn vẹn.</w:t>
            </w:r>
          </w:p>
        </w:tc>
        <w:tc>
          <w:tcPr>
            <w:tcW w:type="dxa" w:w="3917"/>
            <w:vAlign w:val="center"/>
            <w:tcBorders>
              <w:top w:val="single" w:sz="4" w:color="D9D9D9"/>
              <w:left w:val="single" w:sz="4" w:color="D9D9D9"/>
              <w:bottom w:val="single" w:sz="4" w:color="D9D9D9"/>
              <w:right w:val="single" w:sz="4" w:color="D9D9D9"/>
            </w:tcBorders>
          </w:tcPr>
          <w:p>
            <w:pPr>
              <w:spacing w:after="0" w:line="254" w:lineRule="auto"/>
            </w:pPr>
            <w:r>
              <w:rPr>
                <w:sz w:val="17"/>
              </w:rPr>
              <w:t>Không lưu raw JWT, mật khẩu, private key hoặc session secret trong actorAuthProof.</w:t>
            </w:r>
          </w:p>
        </w:tc>
      </w:tr>
      <w:tr>
        <w:tc>
          <w:tcPr>
            <w:tcW w:type="dxa" w:w="1872"/>
            <w:vAlign w:val="center"/>
            <w:tcBorders>
              <w:top w:val="single" w:sz="4" w:color="D9D9D9"/>
              <w:left w:val="single" w:sz="4" w:color="D9D9D9"/>
              <w:bottom w:val="single" w:sz="4" w:color="D9D9D9"/>
              <w:right w:val="single" w:sz="4" w:color="D9D9D9"/>
            </w:tcBorders>
            <w:shd w:fill="F8FAFC"/>
          </w:tcPr>
          <w:p>
            <w:pPr>
              <w:spacing w:after="0" w:line="254" w:lineRule="auto"/>
            </w:pPr>
            <w:r>
              <w:rPr>
                <w:sz w:val="17"/>
              </w:rPr>
              <w:t>API lịch sử và proof</w:t>
            </w:r>
          </w:p>
        </w:tc>
        <w:tc>
          <w:tcPr>
            <w:tcW w:type="dxa" w:w="4003"/>
            <w:vAlign w:val="center"/>
            <w:tcBorders>
              <w:top w:val="single" w:sz="4" w:color="D9D9D9"/>
              <w:left w:val="single" w:sz="4" w:color="D9D9D9"/>
              <w:bottom w:val="single" w:sz="4" w:color="D9D9D9"/>
              <w:right w:val="single" w:sz="4" w:color="D9D9D9"/>
            </w:tcBorders>
            <w:shd w:fill="F8FAFC"/>
          </w:tcPr>
          <w:p>
            <w:pPr>
              <w:spacing w:after="0" w:line="254" w:lineRule="auto"/>
            </w:pPr>
            <w:r>
              <w:rPr>
                <w:sz w:val="17"/>
              </w:rPr>
              <w:t>ID, loại, thời gian, phiên bản, hash, trạng thái giao nhận và proof cần cho FE.</w:t>
            </w:r>
          </w:p>
        </w:tc>
        <w:tc>
          <w:tcPr>
            <w:tcW w:type="dxa" w:w="3917"/>
            <w:vAlign w:val="center"/>
            <w:tcBorders>
              <w:top w:val="single" w:sz="4" w:color="D9D9D9"/>
              <w:left w:val="single" w:sz="4" w:color="D9D9D9"/>
              <w:bottom w:val="single" w:sz="4" w:color="D9D9D9"/>
              <w:right w:val="single" w:sz="4" w:color="D9D9D9"/>
            </w:tcBorders>
            <w:shd w:fill="F8FAFC"/>
          </w:tcPr>
          <w:p>
            <w:pPr>
              <w:spacing w:after="0" w:line="254" w:lineRule="auto"/>
            </w:pPr>
            <w:r>
              <w:rPr>
                <w:sz w:val="17"/>
              </w:rPr>
              <w:t>Không trả businessData, actorAuthProof, actorUserId hay nội dung lỗi worker thô.</w:t>
            </w:r>
          </w:p>
        </w:tc>
      </w:tr>
      <w:tr>
        <w:tc>
          <w:tcPr>
            <w:tcW w:type="dxa" w:w="1872"/>
            <w:vAlign w:val="center"/>
            <w:tcBorders>
              <w:top w:val="single" w:sz="4" w:color="D9D9D9"/>
              <w:left w:val="single" w:sz="4" w:color="D9D9D9"/>
              <w:bottom w:val="single" w:sz="4" w:color="D9D9D9"/>
              <w:right w:val="single" w:sz="4" w:color="D9D9D9"/>
            </w:tcBorders>
          </w:tcPr>
          <w:p>
            <w:pPr>
              <w:spacing w:after="0" w:line="254" w:lineRule="auto"/>
            </w:pPr>
            <w:r>
              <w:rPr>
                <w:sz w:val="17"/>
              </w:rPr>
              <w:t>QR công khai</w:t>
            </w:r>
          </w:p>
        </w:tc>
        <w:tc>
          <w:tcPr>
            <w:tcW w:type="dxa" w:w="4003"/>
            <w:vAlign w:val="center"/>
            <w:tcBorders>
              <w:top w:val="single" w:sz="4" w:color="D9D9D9"/>
              <w:left w:val="single" w:sz="4" w:color="D9D9D9"/>
              <w:bottom w:val="single" w:sz="4" w:color="D9D9D9"/>
              <w:right w:val="single" w:sz="4" w:color="D9D9D9"/>
            </w:tcBorders>
          </w:tcPr>
          <w:p>
            <w:pPr>
              <w:spacing w:after="0" w:line="254" w:lineRule="auto"/>
            </w:pPr>
            <w:r>
              <w:rPr>
                <w:sz w:val="17"/>
              </w:rPr>
              <w:t>Thông tin lô và timeline tóm tắt, hash/proof, chứng chỉ được duyệt và cho công khai.</w:t>
            </w:r>
          </w:p>
        </w:tc>
        <w:tc>
          <w:tcPr>
            <w:tcW w:type="dxa" w:w="3917"/>
            <w:vAlign w:val="center"/>
            <w:tcBorders>
              <w:top w:val="single" w:sz="4" w:color="D9D9D9"/>
              <w:left w:val="single" w:sz="4" w:color="D9D9D9"/>
              <w:bottom w:val="single" w:sz="4" w:color="D9D9D9"/>
              <w:right w:val="single" w:sz="4" w:color="D9D9D9"/>
            </w:tcBorders>
          </w:tcPr>
          <w:p>
            <w:pPr>
              <w:spacing w:after="0" w:line="254" w:lineRule="auto"/>
            </w:pPr>
            <w:r>
              <w:rPr>
                <w:sz w:val="17"/>
              </w:rPr>
              <w:t>Không trả actor ID, authentication evidence hoặc private payload.</w:t>
            </w:r>
          </w:p>
        </w:tc>
      </w:tr>
      <w:tr>
        <w:tc>
          <w:tcPr>
            <w:tcW w:type="dxa" w:w="1872"/>
            <w:vAlign w:val="center"/>
            <w:tcBorders>
              <w:top w:val="single" w:sz="4" w:color="D9D9D9"/>
              <w:left w:val="single" w:sz="4" w:color="D9D9D9"/>
              <w:bottom w:val="single" w:sz="4" w:color="D9D9D9"/>
              <w:right w:val="single" w:sz="4" w:color="D9D9D9"/>
            </w:tcBorders>
            <w:shd w:fill="F8FAFC"/>
          </w:tcPr>
          <w:p>
            <w:pPr>
              <w:spacing w:after="0" w:line="254" w:lineRule="auto"/>
            </w:pPr>
            <w:r>
              <w:rPr>
                <w:sz w:val="17"/>
              </w:rPr>
              <w:t>Fabric v3</w:t>
            </w:r>
          </w:p>
        </w:tc>
        <w:tc>
          <w:tcPr>
            <w:tcW w:type="dxa" w:w="4003"/>
            <w:vAlign w:val="center"/>
            <w:tcBorders>
              <w:top w:val="single" w:sz="4" w:color="D9D9D9"/>
              <w:left w:val="single" w:sz="4" w:color="D9D9D9"/>
              <w:bottom w:val="single" w:sz="4" w:color="D9D9D9"/>
              <w:right w:val="single" w:sz="4" w:color="D9D9D9"/>
            </w:tcBorders>
            <w:shd w:fill="F8FAFC"/>
          </w:tcPr>
          <w:p>
            <w:pPr>
              <w:spacing w:after="0" w:line="254" w:lineRule="auto"/>
            </w:pPr>
            <w:r>
              <w:rPr>
                <w:sz w:val="17"/>
              </w:rPr>
              <w:t>eventId, nonce, entity/cycle/lot ID, type, time, dataHash, previousEventHash, schemaVersion, canonicalizationVersion và envelopeVersion.</w:t>
            </w:r>
          </w:p>
        </w:tc>
        <w:tc>
          <w:tcPr>
            <w:tcW w:type="dxa" w:w="3917"/>
            <w:vAlign w:val="center"/>
            <w:tcBorders>
              <w:top w:val="single" w:sz="4" w:color="D9D9D9"/>
              <w:left w:val="single" w:sz="4" w:color="D9D9D9"/>
              <w:bottom w:val="single" w:sz="4" w:color="D9D9D9"/>
              <w:right w:val="single" w:sz="4" w:color="D9D9D9"/>
            </w:tcBorders>
            <w:shd w:fill="F8FAFC"/>
          </w:tcPr>
          <w:p>
            <w:pPr>
              <w:spacing w:after="0" w:line="254" w:lineRule="auto"/>
            </w:pPr>
            <w:r>
              <w:rPr>
                <w:sz w:val="17"/>
              </w:rPr>
              <w:t>Không có actorContext, payloadMetadata, giá, PII, token, key hoặc raw sensor stream.</w:t>
            </w:r>
          </w:p>
        </w:tc>
      </w:tr>
    </w:tbl>
    <w:p>
      <w:pPr>
        <w:spacing w:after="0"/>
      </w:pPr>
    </w:p>
    <w:p>
      <w:pPr>
        <w:pStyle w:val="Heading1"/>
      </w:pPr>
      <w:r>
        <w:t>Bằng chứng kỹ thuật và giới hạn</w:t>
      </w:r>
    </w:p>
    <w:p>
      <w:r>
        <w:t>trace-hash.ts băm actorContext, businessData, schemaVersion và canonicalizationVersion bằng canonical SHA-256. Nếu một trường trong các nhóm này thay đổi nhưng dataHash không đổi, privateTraceEvidenceMatches trả false và projection hiển thị INTEGRITY_WARNING. Các test mới kiểm thay đổi actor, version và payload; test public lot kiểm actor/payload bị sửa không còn VERIFIED.</w:t>
      </w:r>
    </w:p>
    <w:p>
      <w:r>
        <w:t>Worker tạo envelope v3, gateway kiểm allowlist trước submitTransaction và chaincode từ chối trường lạ trong JSON argument. Chaincode chỉ chấp nhận Fabric identity có thuộc tính app.role=relayer. Danh tính relayer là người gửi giao dịch kỹ thuật, không phải chữ ký của actor nghiệp vụ. Bản ghi ledger v2 cũ có thể vẫn chứa actorContext; cơ chế đọc legacy không xoá dữ liệu đã ghi trước đây.</w:t>
      </w:r>
    </w:p>
    <w:p>
      <w:r>
        <w:t>Tên TOKEN_FINGERPRINT hiện dễ bị hiểu sai: code tạo SHA-256(userId:role), không đọc JWT hoặc session ID. Cùng một user và role sẽ tạo cùng fingerprint giữa nhiều phiên. Đây là định danh actor do server tính, không phải bằng chứng xác thực phiên hoặc non-repudiation ở mức chữ ký cá nhân.</w:t>
      </w:r>
    </w:p>
    <w:p>
      <w:pPr>
        <w:pStyle w:val="Heading1"/>
      </w:pPr>
      <w:r>
        <w:t>Các quyết định cần Phát duyệt</w:t>
      </w:r>
    </w:p>
    <w:p>
      <w:pPr>
        <w:pStyle w:val="ListBullet"/>
      </w:pPr>
      <w:r>
        <w:t>Chọn loại evidence server-generated cho event mới và cách ràng buộc với phiên xác thực mà không lưu raw token hoặc session secret. Xác định cách đọc event cũ, không sửa lại hash lịch sử.</w:t>
      </w:r>
    </w:p>
    <w:p>
      <w:pPr>
        <w:pStyle w:val="ListBullet"/>
      </w:pPr>
      <w:r>
        <w:t>Chốt tên authProofType và phát biểu chính thức về mức bảo đảm: relayer ký giao dịch Fabric; actor nghiệp vụ được server xác thực, không tự ký bằng private key.</w:t>
      </w:r>
    </w:p>
    <w:p>
      <w:pPr>
        <w:pStyle w:val="ListBullet"/>
      </w:pPr>
      <w:r>
        <w:t>Chốt có cần hashVersion riêng hay dùng cặp schemaVersion 2.0.0 và canonicalizationVersion RFC8785 hiện tại. Nonce và envelope tiếp tục theo AGT-012.</w:t>
      </w:r>
    </w:p>
    <w:p>
      <w:pPr>
        <w:pStyle w:val="ListBullet"/>
      </w:pPr>
      <w:r>
        <w:t>Rà chính sách truy cập dữ liệu legacy v2 trên Fabric, vì bản ghi cũ có thể chứa actorContext và không thể xoá khỏi ledger.</w:t>
      </w:r>
    </w:p>
    <w:p>
      <w:pPr>
        <w:pStyle w:val="Heading1"/>
      </w:pPr>
      <w:r>
        <w:t>Kiểm chứng và trạng thái nghiệm thu</w:t>
      </w:r>
    </w:p>
    <w:p>
      <w:r>
        <w:t>Ở máy local: 102 test API, 16 test gateway adapter và 34 test chaincode validation đạt; API và Web typecheck đạt. OpenAPI đã được sinh lại và contract check đạt. Node 24.20.0 và npm 11.19.0 không đúng engine repo yêu cầu npm từ 12.1.0; chưa chạy Fabric network thật hoặc kiểm privacy trên deployment. Thay đổi code hiện chưa commit nên chưa có SHA của bản sửa. Trạng thái đề xuất: cần review, chưa Accepted.</w:t>
      </w:r>
    </w:p>
    <w:p>
      <w:r>
        <w:t>Đường dẫn đối chiếu: apps/api/src/modules/trace/trace.service.ts; trace-hash.ts; trace-evidence.ts; apps/api/src/modules/lots/lot.presenter.ts; lot-query.service.ts; blockchain/gateway/src/adapter.ts; blockchain/chaincode/src/types.ts; validation.ts.</w:t>
      </w:r>
    </w:p>
    <w:sectPr w:rsidR="00FC693F" w:rsidRPr="0006063C" w:rsidSect="00034616">
      <w:pgSz w:w="12240" w:h="15840"/>
      <w:pgMar w:top="893" w:right="1224" w:bottom="835"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rial" w:hAnsi="Arial"/>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Arial" w:hAnsi="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