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Plus Jakarta Sans" w:cs="Plus Jakarta Sans" w:eastAsia="Plus Jakarta Sans" w:hAnsi="Plus Jakarta Sans"/>
          <w:b/>
          <w:bCs/>
          <w:i w:val="false"/>
          <w:iCs w:val="false"/>
          <w:color w:val="1E293B"/>
          <w:sz w:val="40"/>
          <w:szCs w:val="40"/>
        </w:rPr>
        <w:t xml:space="preserve">When Women Rise</w:t>
      </w:r>
    </w:p>
    <w:p>
      <w:pPr>
        <w:spacing w:after="20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64748B"/>
          <w:sz w:val="17"/>
          <w:szCs w:val="17"/>
        </w:rPr>
        <w:t xml:space="preserve">At what age do women reach leadership? A SQL analysis of Wikidata — MySQL star schema, ~24,000 milestones · Kifah Owda</w:t>
      </w:r>
    </w:p>
    <w:p>
      <w:pPr>
        <w:pBdr>
          <w:bottom w:val="single" w:color="E0E7FF" w:sz="6" w:space="4"/>
        </w:pBdr>
        <w:spacing w:after="90" w:before="260"/>
      </w:pPr>
      <w:r>
        <w:rPr>
          <w:rFonts w:ascii="Plus Jakarta Sans" w:cs="Plus Jakarta Sans" w:eastAsia="Plus Jakarta Sans" w:hAnsi="Plus Jakarta Sans"/>
          <w:b/>
          <w:bCs/>
          <w:i w:val="false"/>
          <w:iCs w:val="false"/>
          <w:color w:val="4338CA"/>
          <w:sz w:val="24"/>
          <w:szCs w:val="24"/>
        </w:rPr>
        <w:t xml:space="preserve">Question</w:t>
      </w:r>
    </w:p>
    <w:p>
      <w:pPr>
        <w:spacing w:after="11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Does the common claim that most women succeed in their late 40s to 50s hold across business, entrepreneurship and politics, and does it differ by sector and region?</w:t>
      </w:r>
    </w:p>
    <w:p>
      <w:pPr>
        <w:pBdr>
          <w:bottom w:val="single" w:color="E0E7FF" w:sz="6" w:space="4"/>
        </w:pBdr>
        <w:spacing w:after="90" w:before="260"/>
      </w:pPr>
      <w:r>
        <w:rPr>
          <w:rFonts w:ascii="Plus Jakarta Sans" w:cs="Plus Jakarta Sans" w:eastAsia="Plus Jakarta Sans" w:hAnsi="Plus Jakarta Sans"/>
          <w:b/>
          <w:bCs/>
          <w:i w:val="false"/>
          <w:iCs w:val="false"/>
          <w:color w:val="4338CA"/>
          <w:sz w:val="24"/>
          <w:szCs w:val="24"/>
        </w:rPr>
        <w:t xml:space="preserve">Main findings</w:t>
      </w:r>
    </w:p>
    <w:tbl>
      <w:tblPr>
        <w:tblW w:type="dxa" w:w="8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950"/>
        <w:gridCol w:w="1000"/>
        <w:gridCol w:w="1050"/>
        <w:gridCol w:w="1150"/>
        <w:gridCol w:w="1050"/>
        <w:gridCol w:w="920"/>
      </w:tblGrid>
      <w:tr>
        <w:trPr>
          <w:tblHeader/>
        </w:trPr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Leadership type</w:t>
            </w:r>
          </w:p>
        </w:tc>
        <w:tc>
          <w:tcPr>
            <w:tcW w:type="dxa" w:w="9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Women</w:t>
            </w:r>
          </w:p>
        </w:tc>
        <w:tc>
          <w:tcPr>
            <w:tcW w:type="dxa" w:w="10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Mean</w:t>
            </w:r>
          </w:p>
        </w:tc>
        <w:tc>
          <w:tcPr>
            <w:tcW w:type="dxa" w:w="10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Median</w:t>
            </w:r>
          </w:p>
        </w:tc>
        <w:tc>
          <w:tcPr>
            <w:tcW w:type="dxa" w:w="11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Under 40</w:t>
            </w:r>
          </w:p>
        </w:tc>
        <w:tc>
          <w:tcPr>
            <w:tcW w:type="dxa" w:w="10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40–59</w:t>
            </w:r>
          </w:p>
        </w:tc>
        <w:tc>
          <w:tcPr>
            <w:tcW w:type="dxa" w:w="9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60+</w:t>
            </w:r>
          </w:p>
        </w:tc>
      </w:tr>
      <w:tr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Business founder</w:t>
            </w:r>
          </w:p>
        </w:tc>
        <w:tc>
          <w:tcPr>
            <w:tcW w:type="dxa" w:w="9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911</w:t>
            </w:r>
          </w:p>
        </w:tc>
        <w:tc>
          <w:tcPr>
            <w:tcW w:type="dxa" w:w="10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34.3</w:t>
            </w:r>
          </w:p>
        </w:tc>
        <w:tc>
          <w:tcPr>
            <w:tcW w:type="dxa" w:w="10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32.0</w:t>
            </w:r>
          </w:p>
        </w:tc>
        <w:tc>
          <w:tcPr>
            <w:tcW w:type="dxa" w:w="11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74.0%</w:t>
            </w:r>
          </w:p>
        </w:tc>
        <w:tc>
          <w:tcPr>
            <w:tcW w:type="dxa" w:w="10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24.0%</w:t>
            </w:r>
          </w:p>
        </w:tc>
        <w:tc>
          <w:tcPr>
            <w:tcW w:type="dxa" w:w="9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2.0%</w:t>
            </w:r>
          </w:p>
        </w:tc>
      </w:tr>
      <w:tr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CEO</w:t>
            </w:r>
          </w:p>
        </w:tc>
        <w:tc>
          <w:tcPr>
            <w:tcW w:type="dxa" w:w="9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603</w:t>
            </w:r>
          </w:p>
        </w:tc>
        <w:tc>
          <w:tcPr>
            <w:tcW w:type="dxa" w:w="10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45.9</w:t>
            </w:r>
          </w:p>
        </w:tc>
        <w:tc>
          <w:tcPr>
            <w:tcW w:type="dxa" w:w="10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47.0</w:t>
            </w:r>
          </w:p>
        </w:tc>
        <w:tc>
          <w:tcPr>
            <w:tcW w:type="dxa" w:w="11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25.7%</w:t>
            </w:r>
          </w:p>
        </w:tc>
        <w:tc>
          <w:tcPr>
            <w:tcW w:type="dxa" w:w="10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66.2%</w:t>
            </w:r>
          </w:p>
        </w:tc>
        <w:tc>
          <w:tcPr>
            <w:tcW w:type="dxa" w:w="9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8.1%</w:t>
            </w:r>
          </w:p>
        </w:tc>
      </w:tr>
      <w:tr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Head of government</w:t>
            </w:r>
          </w:p>
        </w:tc>
        <w:tc>
          <w:tcPr>
            <w:tcW w:type="dxa" w:w="9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129</w:t>
            </w:r>
          </w:p>
        </w:tc>
        <w:tc>
          <w:tcPr>
            <w:tcW w:type="dxa" w:w="10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52.3</w:t>
            </w:r>
          </w:p>
        </w:tc>
        <w:tc>
          <w:tcPr>
            <w:tcW w:type="dxa" w:w="10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52.0</w:t>
            </w:r>
          </w:p>
        </w:tc>
        <w:tc>
          <w:tcPr>
            <w:tcW w:type="dxa" w:w="11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6.2%</w:t>
            </w:r>
          </w:p>
        </w:tc>
        <w:tc>
          <w:tcPr>
            <w:tcW w:type="dxa" w:w="10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66.7%</w:t>
            </w:r>
          </w:p>
        </w:tc>
        <w:tc>
          <w:tcPr>
            <w:tcW w:type="dxa" w:w="9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27.1%</w:t>
            </w:r>
          </w:p>
        </w:tc>
      </w:tr>
      <w:tr>
        <w:tc>
          <w:tcPr>
            <w:tcW w:type="dxa" w:w="2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Head of state</w:t>
            </w:r>
          </w:p>
        </w:tc>
        <w:tc>
          <w:tcPr>
            <w:tcW w:type="dxa" w:w="9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116</w:t>
            </w:r>
          </w:p>
        </w:tc>
        <w:tc>
          <w:tcPr>
            <w:tcW w:type="dxa" w:w="10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52.6</w:t>
            </w:r>
          </w:p>
        </w:tc>
        <w:tc>
          <w:tcPr>
            <w:tcW w:type="dxa" w:w="10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54.0</w:t>
            </w:r>
          </w:p>
        </w:tc>
        <w:tc>
          <w:tcPr>
            <w:tcW w:type="dxa" w:w="11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16.4%</w:t>
            </w:r>
          </w:p>
        </w:tc>
        <w:tc>
          <w:tcPr>
            <w:tcW w:type="dxa" w:w="105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54.3%</w:t>
            </w:r>
          </w:p>
        </w:tc>
        <w:tc>
          <w:tcPr>
            <w:tcW w:type="dxa" w:w="9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29.3%</w:t>
            </w:r>
          </w:p>
        </w:tc>
      </w:tr>
    </w:tbl>
    <w:p>
      <w:pPr>
        <w:spacing w:after="12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/>
          <w:bCs/>
          <w:i w:val="false"/>
          <w:iCs w:val="false"/>
          <w:color w:val="4338CA"/>
          <w:sz w:val="18"/>
          <w:szCs w:val="18"/>
        </w:rPr>
        <w:t xml:space="preserve">The claim holds everywhere except entrepreneurship. </w:t>
      </w: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A majority of women reach CEO, head of government and head of state roles between 40 and 59 (66%, 67% and 54%). Founders are the opposite: 74% were under 40, median age at founding 32. The claim’s error is treating founding a company and reaching the top of an institution as one milestone.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/>
          <w:bCs/>
          <w:i w:val="false"/>
          <w:iCs w:val="false"/>
          <w:color w:val="4338CA"/>
          <w:sz w:val="18"/>
          <w:szCs w:val="18"/>
        </w:rPr>
        <w:t xml:space="preserve">Sector explains age far more than gender. </w:t>
      </w: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The spread between sectors is about 18 years. Within a sector the women–men gap is under one year in every case. Women and men arrive at the same age; the difference is how few women arrive at all.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/>
          <w:bCs/>
          <w:i w:val="false"/>
          <w:iCs w:val="false"/>
          <w:color w:val="4338CA"/>
          <w:sz w:val="18"/>
          <w:szCs w:val="18"/>
        </w:rPr>
        <w:t xml:space="preserve">Women are a small minority, scarcest in politics: </w:t>
      </w: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14.2% of CEOs in the data, 7.1% of founders, 4.5% of heads of state, 3.2% of heads of government.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/>
          <w:bCs/>
          <w:i w:val="false"/>
          <w:iCs w:val="false"/>
          <w:color w:val="4338CA"/>
          <w:sz w:val="18"/>
          <w:szCs w:val="18"/>
        </w:rPr>
        <w:t xml:space="preserve">The near-zero global gap hides regional differences. </w:t>
      </w: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In the Americas women reached political leadership 5 to 6 years later than men (n=26–27); in Europe slightly earlier; in Asia women CEOs were 4.5 years younger (n=38). These cells hold 24 to 54 women each, so they are suggestive, not established.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/>
          <w:bCs/>
          <w:i w:val="false"/>
          <w:iCs w:val="false"/>
          <w:color w:val="4338CA"/>
          <w:sz w:val="18"/>
          <w:szCs w:val="18"/>
        </w:rPr>
        <w:t xml:space="preserve">Women’s share has risen steadily and is still under a fifth: </w:t>
      </w: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1.2% of leaders in the 1960s, 6.7% in the 1990s, 14.9% in the 2010s, 19.1% in the 2020s so far. Before 1950 it never exceeds 3.3%.</w:t>
      </w:r>
    </w:p>
    <w:p>
      <w:pPr>
        <w:pBdr>
          <w:bottom w:val="single" w:color="E0E7FF" w:sz="6" w:space="4"/>
        </w:pBdr>
        <w:spacing w:after="90" w:before="260"/>
      </w:pPr>
      <w:r>
        <w:rPr>
          <w:rFonts w:ascii="Plus Jakarta Sans" w:cs="Plus Jakarta Sans" w:eastAsia="Plus Jakarta Sans" w:hAnsi="Plus Jakarta Sans"/>
          <w:b/>
          <w:bCs/>
          <w:i w:val="false"/>
          <w:iCs w:val="false"/>
          <w:color w:val="4338CA"/>
          <w:sz w:val="24"/>
          <w:szCs w:val="24"/>
        </w:rPr>
        <w:t xml:space="preserve">Age by gender, within sector</w:t>
      </w:r>
    </w:p>
    <w:tbl>
      <w:tblPr>
        <w:tblW w:type="dxa" w:w="8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300"/>
        <w:gridCol w:w="1300"/>
        <w:gridCol w:w="1400"/>
        <w:gridCol w:w="1920"/>
      </w:tblGrid>
      <w:tr>
        <w:trPr>
          <w:tblHeader/>
        </w:trPr>
        <w:tc>
          <w:tcPr>
            <w:tcW w:type="dxa" w:w="27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Leadership type</w:t>
            </w:r>
          </w:p>
        </w:tc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Women</w:t>
            </w:r>
          </w:p>
        </w:tc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Men</w:t>
            </w:r>
          </w:p>
        </w:tc>
        <w:tc>
          <w:tcPr>
            <w:tcW w:type="dxa" w:w="1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Gap</w:t>
            </w:r>
          </w:p>
        </w:tc>
        <w:tc>
          <w:tcPr>
            <w:tcW w:type="dxa" w:w="19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Women / Men</w:t>
            </w:r>
          </w:p>
        </w:tc>
      </w:tr>
      <w:tr>
        <w:tc>
          <w:tcPr>
            <w:tcW w:type="dxa" w:w="27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CEO</w:t>
            </w:r>
          </w:p>
        </w:tc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45.9</w:t>
            </w:r>
          </w:p>
        </w:tc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45.7</w:t>
            </w:r>
          </w:p>
        </w:tc>
        <w:tc>
          <w:tcPr>
            <w:tcW w:type="dxa" w:w="1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EC4899"/>
                <w:sz w:val="16"/>
                <w:szCs w:val="16"/>
              </w:rPr>
              <w:t xml:space="preserve">+0.27</w:t>
            </w:r>
          </w:p>
        </w:tc>
        <w:tc>
          <w:tcPr>
            <w:tcW w:type="dxa" w:w="19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603 / 3,649</w:t>
            </w:r>
          </w:p>
        </w:tc>
      </w:tr>
      <w:tr>
        <w:tc>
          <w:tcPr>
            <w:tcW w:type="dxa" w:w="27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Business founder</w:t>
            </w:r>
          </w:p>
        </w:tc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34.3</w:t>
            </w:r>
          </w:p>
        </w:tc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35.2</w:t>
            </w:r>
          </w:p>
        </w:tc>
        <w:tc>
          <w:tcPr>
            <w:tcW w:type="dxa" w:w="1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EC4899"/>
                <w:sz w:val="16"/>
                <w:szCs w:val="16"/>
              </w:rPr>
              <w:t xml:space="preserve">−0.97</w:t>
            </w:r>
          </w:p>
        </w:tc>
        <w:tc>
          <w:tcPr>
            <w:tcW w:type="dxa" w:w="19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911 / 11,980</w:t>
            </w:r>
          </w:p>
        </w:tc>
      </w:tr>
      <w:tr>
        <w:tc>
          <w:tcPr>
            <w:tcW w:type="dxa" w:w="27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Head of government</w:t>
            </w:r>
          </w:p>
        </w:tc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52.3</w:t>
            </w:r>
          </w:p>
        </w:tc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52.1</w:t>
            </w:r>
          </w:p>
        </w:tc>
        <w:tc>
          <w:tcPr>
            <w:tcW w:type="dxa" w:w="1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EC4899"/>
                <w:sz w:val="16"/>
                <w:szCs w:val="16"/>
              </w:rPr>
              <w:t xml:space="preserve">+0.19</w:t>
            </w:r>
          </w:p>
        </w:tc>
        <w:tc>
          <w:tcPr>
            <w:tcW w:type="dxa" w:w="19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129 / 3,953</w:t>
            </w:r>
          </w:p>
        </w:tc>
      </w:tr>
      <w:tr>
        <w:tc>
          <w:tcPr>
            <w:tcW w:type="dxa" w:w="27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Head of state</w:t>
            </w:r>
          </w:p>
        </w:tc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52.6</w:t>
            </w:r>
          </w:p>
        </w:tc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52.3</w:t>
            </w:r>
          </w:p>
        </w:tc>
        <w:tc>
          <w:tcPr>
            <w:tcW w:type="dxa" w:w="1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EC4899"/>
                <w:sz w:val="16"/>
                <w:szCs w:val="16"/>
              </w:rPr>
              <w:t xml:space="preserve">+0.33</w:t>
            </w:r>
          </w:p>
        </w:tc>
        <w:tc>
          <w:tcPr>
            <w:tcW w:type="dxa" w:w="19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116 / 2,483</w:t>
            </w:r>
          </w:p>
        </w:tc>
      </w:tr>
    </w:tbl>
    <w:p>
      <w:pPr>
        <w:spacing w:after="12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/>
      </w:r>
    </w:p>
    <w:p>
      <w:pPr>
        <w:pBdr>
          <w:bottom w:val="single" w:color="E0E7FF" w:sz="6" w:space="4"/>
        </w:pBdr>
        <w:spacing w:after="90" w:before="260"/>
      </w:pPr>
      <w:r>
        <w:rPr>
          <w:rFonts w:ascii="Plus Jakarta Sans" w:cs="Plus Jakarta Sans" w:eastAsia="Plus Jakarta Sans" w:hAnsi="Plus Jakarta Sans"/>
          <w:b/>
          <w:bCs/>
          <w:i w:val="false"/>
          <w:iCs w:val="false"/>
          <w:color w:val="4338CA"/>
          <w:sz w:val="24"/>
          <w:szCs w:val="24"/>
        </w:rPr>
        <w:t xml:space="preserve">Method and data</w:t>
      </w:r>
    </w:p>
    <w:p>
      <w:pPr>
        <w:spacing w:after="11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Wikidata (CC0) was queried </w:t>
      </w:r>
      <w:r>
        <w:rPr>
          <w:rFonts w:ascii="Nunito Sans" w:cs="Nunito Sans" w:eastAsia="Nunito Sans" w:hAnsi="Nunito Sans"/>
          <w:b/>
          <w:bCs/>
          <w:i w:val="false"/>
          <w:iCs w:val="false"/>
          <w:color w:val="1E293B"/>
          <w:sz w:val="18"/>
          <w:szCs w:val="18"/>
        </w:rPr>
        <w:t xml:space="preserve">through organizations and offices</w:t>
      </w: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 — company → founded by / CEO; country → head-of-state and head-of-government office → holders — cleaned in Python, loaded into MySQL 8 as a star schema and analysed with 12 queries (CTEs, window functions, conditional aggregation, a hand-built median). It is not a full list of women leaders: it covers those Wikidata links to a company or office. Age comes from the organization or office date, so founder age is age at the company’s inception.</w:t>
      </w:r>
    </w:p>
    <w:p>
      <w:pPr>
        <w:pBdr>
          <w:bottom w:val="single" w:color="E0E7FF" w:sz="6" w:space="4"/>
        </w:pBdr>
        <w:spacing w:after="90" w:before="260"/>
      </w:pPr>
      <w:r>
        <w:rPr>
          <w:rFonts w:ascii="Plus Jakarta Sans" w:cs="Plus Jakarta Sans" w:eastAsia="Plus Jakarta Sans" w:hAnsi="Plus Jakarta Sans"/>
          <w:b/>
          <w:bCs/>
          <w:i w:val="false"/>
          <w:iCs w:val="false"/>
          <w:color w:val="4338CA"/>
          <w:sz w:val="24"/>
          <w:szCs w:val="24"/>
        </w:rPr>
        <w:t xml:space="preserve">Data quality</w:t>
      </w:r>
    </w:p>
    <w:p>
      <w:pPr>
        <w:spacing w:after="11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Implausible ages were traced to three causes: a company linking to a different person of the same name (born 1921, shown aged 94), a founder dated by a holding company’s 2008 restructure, and 109 century-precision births (‘20th century’) stored as 1 January 1901. A per-sector rule flags 260 of 24,092 rows:</w:t>
      </w:r>
    </w:p>
    <w:tbl>
      <w:tblPr>
        <w:tblW w:type="dxa" w:w="8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800"/>
        <w:gridCol w:w="1800"/>
        <w:gridCol w:w="1720"/>
      </w:tblGrid>
      <w:tr>
        <w:trPr>
          <w:tblHeader/>
        </w:trPr>
        <w:tc>
          <w:tcPr>
            <w:tcW w:type="dxa" w:w="3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Leadership type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Rows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Flagged</w:t>
            </w:r>
          </w:p>
        </w:tc>
        <w:tc>
          <w:tcPr>
            <w:tcW w:type="dxa" w:w="17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4338C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Flagged %</w:t>
            </w:r>
          </w:p>
        </w:tc>
      </w:tr>
      <w:tr>
        <w:tc>
          <w:tcPr>
            <w:tcW w:type="dxa" w:w="3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CEO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4,296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43</w:t>
            </w:r>
          </w:p>
        </w:tc>
        <w:tc>
          <w:tcPr>
            <w:tcW w:type="dxa" w:w="17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1.00%</w:t>
            </w:r>
          </w:p>
        </w:tc>
      </w:tr>
      <w:tr>
        <w:tc>
          <w:tcPr>
            <w:tcW w:type="dxa" w:w="3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Business founder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13,110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212</w:t>
            </w:r>
          </w:p>
        </w:tc>
        <w:tc>
          <w:tcPr>
            <w:tcW w:type="dxa" w:w="17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1.62%</w:t>
            </w:r>
          </w:p>
        </w:tc>
      </w:tr>
      <w:tr>
        <w:tc>
          <w:tcPr>
            <w:tcW w:type="dxa" w:w="3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Head of government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4,084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</w:t>
            </w:r>
          </w:p>
        </w:tc>
        <w:tc>
          <w:tcPr>
            <w:tcW w:type="dxa" w:w="17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0.05%</w:t>
            </w:r>
          </w:p>
        </w:tc>
      </w:tr>
      <w:tr>
        <w:tc>
          <w:tcPr>
            <w:tcW w:type="dxa" w:w="3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Head of state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2,602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3</w:t>
            </w:r>
          </w:p>
        </w:tc>
        <w:tc>
          <w:tcPr>
            <w:tcW w:type="dxa" w:w="17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 w:val="false"/>
                <w:bCs w:val="false"/>
                <w:i w:val="false"/>
                <w:iCs w:val="false"/>
                <w:color w:val="1E293B"/>
                <w:sz w:val="16"/>
                <w:szCs w:val="16"/>
              </w:rPr>
              <w:t xml:space="preserve">0.12%</w:t>
            </w:r>
          </w:p>
        </w:tc>
      </w:tr>
      <w:tr>
        <w:tc>
          <w:tcPr>
            <w:tcW w:type="dxa" w:w="3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E0E7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Nunito Sans" w:cs="Nunito Sans" w:eastAsia="Nunito Sans" w:hAnsi="Nunito Sans"/>
                <w:b/>
                <w:bCs/>
                <w:i w:val="false"/>
                <w:iCs w:val="false"/>
                <w:color w:val="4338CA"/>
                <w:sz w:val="16"/>
                <w:szCs w:val="16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E0E7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/>
                <w:bCs/>
                <w:i w:val="false"/>
                <w:iCs w:val="false"/>
                <w:color w:val="4338CA"/>
                <w:sz w:val="16"/>
                <w:szCs w:val="16"/>
              </w:rPr>
              <w:t xml:space="preserve">24,092</w:t>
            </w:r>
          </w:p>
        </w:tc>
        <w:tc>
          <w:tcPr>
            <w:tcW w:type="dxa" w:w="18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E0E7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/>
                <w:bCs/>
                <w:i w:val="false"/>
                <w:iCs w:val="false"/>
                <w:color w:val="4338CA"/>
                <w:sz w:val="16"/>
                <w:szCs w:val="16"/>
              </w:rPr>
              <w:t xml:space="preserve">260</w:t>
            </w:r>
          </w:p>
        </w:tc>
        <w:tc>
          <w:tcPr>
            <w:tcW w:type="dxa" w:w="172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E0E7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Nunito Sans" w:cs="Nunito Sans" w:eastAsia="Nunito Sans" w:hAnsi="Nunito Sans"/>
                <w:b/>
                <w:bCs/>
                <w:i w:val="false"/>
                <w:iCs w:val="false"/>
                <w:color w:val="4338CA"/>
                <w:sz w:val="16"/>
                <w:szCs w:val="16"/>
              </w:rPr>
              <w:t xml:space="preserve">1.08%</w:t>
            </w:r>
          </w:p>
        </w:tc>
      </w:tr>
    </w:tbl>
    <w:p>
      <w:pPr>
        <w:spacing w:after="12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/>
          <w:bCs/>
          <w:i w:val="false"/>
          <w:iCs w:val="false"/>
          <w:color w:val="4338CA"/>
          <w:sz w:val="18"/>
          <w:szCs w:val="18"/>
        </w:rPr>
        <w:t xml:space="preserve">A first version of the rule was wrong, and the counts caught it. </w:t>
      </w: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Flagging pre-1850 births removed 15 to 18% of political records — genuine historical monarchs — so that test was dropped.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/>
          <w:bCs/>
          <w:i w:val="false"/>
          <w:iCs w:val="false"/>
          <w:color w:val="4338CA"/>
          <w:sz w:val="18"/>
          <w:szCs w:val="18"/>
        </w:rPr>
        <w:t xml:space="preserve">Teenage records were checked separately and kept. </w:t>
      </w: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Monarchs do inherit at 17 and founders do start at 19, so the error pattern is asymmetric: high ages are errors, low ages are mostly real.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/>
          <w:bCs/>
          <w:i w:val="false"/>
          <w:iCs w:val="false"/>
          <w:color w:val="4338CA"/>
          <w:sz w:val="18"/>
          <w:szCs w:val="18"/>
        </w:rPr>
        <w:t xml:space="preserve">Excluding flagged rows left every conclusion intact, </w:t>
      </w: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which is the point: the error rate is measured and the findings are stable.</w:t>
      </w:r>
    </w:p>
    <w:p>
      <w:pPr>
        <w:pBdr>
          <w:bottom w:val="single" w:color="E0E7FF" w:sz="6" w:space="4"/>
        </w:pBdr>
        <w:spacing w:after="90" w:before="260"/>
      </w:pPr>
      <w:r>
        <w:rPr>
          <w:rFonts w:ascii="Plus Jakarta Sans" w:cs="Plus Jakarta Sans" w:eastAsia="Plus Jakarta Sans" w:hAnsi="Plus Jakarta Sans"/>
          <w:b/>
          <w:bCs/>
          <w:i w:val="false"/>
          <w:iCs w:val="false"/>
          <w:color w:val="4338CA"/>
          <w:sz w:val="24"/>
          <w:szCs w:val="24"/>
        </w:rPr>
        <w:t xml:space="preserve">Limitations</w:t>
      </w:r>
    </w:p>
    <w:p>
      <w:pPr>
        <w:spacing w:after="11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Crowd-sourced data with notability and recency bias; leaders without a company or office link are missing; year-only birth dates are stored as 1 January; founders of 1960 to 1979 companies are mostly missing; Europe and the Americas hold 82% of the women and 17% have no country code; samples under 20 are not interpreted; youngest and oldest values are not reported as findings because extremes are the most error-prone. Findings show association, not cause.</w:t>
      </w:r>
    </w:p>
    <w:p>
      <w:pPr>
        <w:pBdr>
          <w:bottom w:val="single" w:color="E0E7FF" w:sz="6" w:space="4"/>
        </w:pBdr>
        <w:spacing w:after="90" w:before="260"/>
      </w:pPr>
      <w:r>
        <w:rPr>
          <w:rFonts w:ascii="Plus Jakarta Sans" w:cs="Plus Jakarta Sans" w:eastAsia="Plus Jakarta Sans" w:hAnsi="Plus Jakarta Sans"/>
          <w:b/>
          <w:bCs/>
          <w:i w:val="false"/>
          <w:iCs w:val="false"/>
          <w:color w:val="4338CA"/>
          <w:sz w:val="24"/>
          <w:szCs w:val="24"/>
        </w:rPr>
        <w:t xml:space="preserve">Recommended next work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Compare like with like across time: within a sector and decade, to test whether recent cohorts differ.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Rerun regional cuts with a minimum-sample rule applied in the query rather than at reading time.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Resolve the founder/CEO and government/state overlap rule, and map all gender labels into a consistent women / men / other group.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1E293B"/>
          <w:sz w:val="18"/>
          <w:szCs w:val="18"/>
        </w:rPr>
        <w:t xml:space="preserve">Fill the missing country codes (about 3,000 records) to widen regional coverage, and recover 1960 to 1979 founders.</w:t>
      </w:r>
    </w:p>
    <w:p>
      <w:pPr>
        <w:pBdr>
          <w:top w:val="single" w:color="E0E7FF" w:sz="6" w:space="6"/>
        </w:pBdr>
        <w:spacing w:before="260"/>
      </w:pPr>
      <w:r>
        <w:rPr>
          <w:rFonts w:ascii="Nunito Sans" w:cs="Nunito Sans" w:eastAsia="Nunito Sans" w:hAnsi="Nunito Sans"/>
          <w:b w:val="false"/>
          <w:bCs w:val="false"/>
          <w:i w:val="false"/>
          <w:iCs w:val="false"/>
          <w:color w:val="64748B"/>
          <w:sz w:val="15"/>
          <w:szCs w:val="15"/>
        </w:rPr>
        <w:t xml:space="preserve">Benchmark: UN Women and IPU, Women in Politics: 2026 (11 March 2026) — 28 countries led by a woman, 22.4% of cabinet posts, 27.5% of parliamentary seats.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 Sans" w:cs="Nunito Sans" w:eastAsia="Nunito Sans" w:hAnsi="Nunito Sans"/>
        <w:color w:val="1E293B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Women Rise</dc:title>
  <dc:creator>Kifah Owda</dc:creator>
  <cp:lastModifiedBy>Un-named</cp:lastModifiedBy>
  <cp:revision>1</cp:revision>
  <dcterms:created xsi:type="dcterms:W3CDTF">2026-10-19T17:36:22.431Z</dcterms:created>
  <dcterms:modified xsi:type="dcterms:W3CDTF">2026-10-19T17:36:22.431Z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