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878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F1F" w:color="auto" w:val="clear"/>
            <w:tcMar>
              <w:top w:type="dxa" w:w="140"/>
              <w:left w:type="dxa" w:w="160"/>
              <w:bottom w:type="dxa" w:w="140"/>
              <w:right w:type="dxa" w:w="60"/>
            </w:tcMar>
            <w:vAlign w:val="center"/>
          </w:tcPr>
          <w:p>
            <w:r>
              <w:drawing>
                <wp:inline distT="0" distB="0" distL="0" distR="0">
                  <wp:extent cx="590550" cy="590550"/>
                  <wp:effectExtent t="0" r="0" b="0" l="0"/>
                  <wp:docPr id="1" name="logo" descr="Logotipo de UrbanBlade" title="UrbanBla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F1F" w:color="auto" w:val="clear"/>
            <w:tcMar>
              <w:top w:type="dxa" w:w="140"/>
              <w:left w:type="dxa" w:w="120"/>
              <w:bottom w:type="dxa" w:w="140"/>
              <w:right w:type="dxa" w:w="16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URBAN BLADE  —  DISEÑO Y ARQUITECTURA</w:t>
            </w:r>
          </w:p>
          <w:p>
            <w:r>
              <w:rPr>
                <w:rFonts w:ascii="Arial" w:cs="Arial" w:eastAsia="Arial" w:hAnsi="Arial"/>
                <w:color w:val="C9A227"/>
                <w:sz w:val="20"/>
                <w:szCs w:val="20"/>
              </w:rPr>
              <w:t xml:space="preserve">Sistema de gestión de citas para barbería</w:t>
            </w:r>
          </w:p>
        </w:tc>
      </w:tr>
    </w:tbl>
    <w:p>
      <w:pPr>
        <w:spacing w:after="3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1F1F"/>
          <w:sz w:val="52"/>
          <w:szCs w:val="52"/>
        </w:rPr>
        <w:t xml:space="preserve">Diseño y Arquitectura</w:t>
      </w:r>
    </w:p>
    <w:p>
      <w:pPr>
        <w:spacing w:after="36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Arquitectura lógica y física, modelo de datos, flujos, seguridad e interfaz de UrbanBlade.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238250" cy="1857375"/>
                  <wp:effectExtent t="0" r="0" b="0" l="0"/>
                  <wp:docPr id="1" name="Bladebot" descr="Bladebot, Asistente de precisión" title="Bladeb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22"/>
                <w:szCs w:val="22"/>
              </w:rPr>
              <w:t xml:space="preserve">Bladebot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8A6D12"/>
                <w:sz w:val="16"/>
                <w:szCs w:val="16"/>
              </w:rPr>
              <w:t xml:space="preserve">Asistente de precisión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Acompaña las tareas del día a día.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238250" cy="1857375"/>
                  <wp:effectExtent t="0" r="0" b="0" l="0"/>
                  <wp:docPr id="1" name="Nava" descr="Nava, Guía de experiencia" title="Nav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22"/>
                <w:szCs w:val="22"/>
              </w:rPr>
              <w:t xml:space="preserve">Nava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8A6D12"/>
                <w:sz w:val="16"/>
                <w:szCs w:val="16"/>
              </w:rPr>
              <w:t xml:space="preserve">Guía de experiencia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Orienta y explica el camino.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238250" cy="1857375"/>
                  <wp:effectExtent t="0" r="0" b="0" l="0"/>
                  <wp:docPr id="1" name="Bruno" descr="Bruno, Guardián del conocimiento" title="Bru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22"/>
                <w:szCs w:val="22"/>
              </w:rPr>
              <w:t xml:space="preserve">Bruno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8A6D12"/>
                <w:sz w:val="16"/>
                <w:szCs w:val="16"/>
              </w:rPr>
              <w:t xml:space="preserve">Guardián del conocimiento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Cuida los datos y la seguridad.</w:t>
            </w:r>
          </w:p>
        </w:tc>
      </w:tr>
    </w:tbl>
    <w:p>
      <w:pPr>
        <w:spacing w:after="3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47"/>
        <w:gridCol w:w="8133"/>
      </w:tblGrid>
      <w:tr>
        <w:trPr>
          <w:cantSplit/>
          <w:tblHeader/>
        </w:trPr>
        <w:tc>
          <w:tcPr>
            <w:tcW w:type="dxa" w:w="1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8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1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Documento</w:t>
            </w:r>
          </w:p>
        </w:tc>
        <w:tc>
          <w:tcPr>
            <w:tcW w:type="dxa" w:w="8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Diseño y Arquitectura de UrbanBlade</w:t>
            </w:r>
          </w:p>
        </w:tc>
      </w:tr>
      <w:tr>
        <w:trPr>
          <w:cantSplit/>
        </w:trPr>
        <w:tc>
          <w:tcPr>
            <w:tcW w:type="dxa" w:w="1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Versión</w:t>
            </w:r>
          </w:p>
        </w:tc>
        <w:tc>
          <w:tcPr>
            <w:tcW w:type="dxa" w:w="8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2.0 · 28 de octubre de 2026</w:t>
            </w:r>
          </w:p>
        </w:tc>
      </w:tr>
      <w:tr>
        <w:trPr>
          <w:cantSplit/>
        </w:trPr>
        <w:tc>
          <w:tcPr>
            <w:tcW w:type="dxa" w:w="1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Audiencia</w:t>
            </w:r>
          </w:p>
        </w:tc>
        <w:tc>
          <w:tcPr>
            <w:tcW w:type="dxa" w:w="8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Arquitectos, desarrolladores y revisores</w:t>
            </w:r>
          </w:p>
        </w:tc>
      </w:tr>
      <w:tr>
        <w:trPr>
          <w:cantSplit/>
        </w:trPr>
        <w:tc>
          <w:tcPr>
            <w:tcW w:type="dxa" w:w="1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Fuente</w:t>
            </w:r>
          </w:p>
        </w:tc>
        <w:tc>
          <w:tcPr>
            <w:tcW w:type="dxa" w:w="8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Código de los repositorios y lectura de solo lectura del entorno de pruebas en AWS el 28 de octubre de 2026</w:t>
            </w:r>
          </w:p>
        </w:tc>
      </w:tr>
      <w:tr>
        <w:trPr>
          <w:cantSplit/>
        </w:trPr>
        <w:tc>
          <w:tcPr>
            <w:tcW w:type="dxa" w:w="1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Clasificación</w:t>
            </w:r>
          </w:p>
        </w:tc>
        <w:tc>
          <w:tcPr>
            <w:tcW w:type="dxa" w:w="8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Uso interno. Sin identificadores de cuenta, credenciales ni datos personales</w:t>
            </w:r>
          </w:p>
        </w:tc>
      </w:tr>
    </w:tbl>
    <w:p>
      <w:r>
        <w:br w:type="page"/>
      </w:r>
    </w:p>
    <w:p>
      <w:pPr>
        <w:pBdr>
          <w:bottom w:val="single" w:color="C9A227" w:sz="12" w:space="4"/>
        </w:pBdr>
        <w:spacing w:after="1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12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Si el índice aparece vacío, en Word: clic derecho sobre él → Actualizar campos.</w:t>
      </w:r>
    </w:p>
    <w:p>
      <w:pPr>
        <w:pStyle w:val="Heading1"/>
        <w:keepNext/>
        <w:pageBreakBefore/>
        <w:pBdr>
          <w:bottom w:val="single" w:color="C9A227" w:sz="12" w:space="4"/>
        </w:pBdr>
        <w:spacing w:before="0" w:after="1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1. Principios de diseño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87"/>
        <w:gridCol w:w="6693"/>
      </w:tblGrid>
      <w:tr>
        <w:trPr>
          <w:cantSplit/>
          <w:tblHeader/>
        </w:trPr>
        <w:tc>
          <w:tcPr>
            <w:tcW w:type="dxa" w:w="3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Principio</w:t>
            </w:r>
          </w:p>
        </w:tc>
        <w:tc>
          <w:tcPr>
            <w:tcW w:type="dxa" w:w="6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Qué significa en UrbanBlade</w:t>
            </w:r>
          </w:p>
        </w:tc>
      </w:tr>
      <w:tr>
        <w:trPr>
          <w:cantSplit/>
        </w:trPr>
        <w:tc>
          <w:tcPr>
            <w:tcW w:type="dxa" w:w="3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API como única puerta a los datos</w:t>
            </w:r>
          </w:p>
        </w:tc>
        <w:tc>
          <w:tcPr>
            <w:tcW w:type="dxa" w:w="6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Web y Android consumen HTTP; solo Laravel accede a MongoDB operativo.</w:t>
            </w:r>
          </w:p>
        </w:tc>
      </w:tr>
      <w:tr>
        <w:trPr>
          <w:cantSplit/>
        </w:trPr>
        <w:tc>
          <w:tcPr>
            <w:tcW w:type="dxa" w:w="3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El servidor es la fuente de verdad</w:t>
            </w:r>
          </w:p>
        </w:tc>
        <w:tc>
          <w:tcPr>
            <w:tcW w:type="dxa" w:w="6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Precios, descuentos, puntos, saldos y stock se calculan y vuelven a leer en el servidor.</w:t>
            </w:r>
          </w:p>
        </w:tc>
      </w:tr>
      <w:tr>
        <w:trPr>
          <w:cantSplit/>
        </w:trPr>
        <w:tc>
          <w:tcPr>
            <w:tcW w:type="dxa" w:w="3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Monolito modular</w:t>
            </w:r>
          </w:p>
        </w:tc>
        <w:tc>
          <w:tcPr>
            <w:tcW w:type="dxa" w:w="6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Un solo despliegue con dominios separados en servicios, sin la complejidad de microservicios.</w:t>
            </w:r>
          </w:p>
        </w:tc>
      </w:tr>
      <w:tr>
        <w:trPr>
          <w:cantSplit/>
        </w:trPr>
        <w:tc>
          <w:tcPr>
            <w:tcW w:type="dxa" w:w="3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Separar cargas, no entidades</w:t>
            </w:r>
          </w:p>
        </w:tc>
        <w:tc>
          <w:tcPr>
            <w:tcW w:type="dxa" w:w="6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Datos operativos, derivados analíticos, telemetría y caché tienen almacenes distintos.</w:t>
            </w:r>
          </w:p>
        </w:tc>
      </w:tr>
      <w:tr>
        <w:trPr>
          <w:cantSplit/>
        </w:trPr>
        <w:tc>
          <w:tcPr>
            <w:tcW w:type="dxa" w:w="3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Mínimo privilegio</w:t>
            </w:r>
          </w:p>
        </w:tc>
        <w:tc>
          <w:tcPr>
            <w:tcW w:type="dxa" w:w="6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Cada consumidor usa credenciales con el alcance justo.</w:t>
            </w:r>
          </w:p>
        </w:tc>
      </w:tr>
      <w:tr>
        <w:trPr>
          <w:cantSplit/>
        </w:trPr>
        <w:tc>
          <w:tcPr>
            <w:tcW w:type="dxa" w:w="3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Cambios aditivos en el contrato</w:t>
            </w:r>
          </w:p>
        </w:tc>
        <w:tc>
          <w:tcPr>
            <w:tcW w:type="dxa" w:w="6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La API es un contrato real para web y Android.</w:t>
            </w:r>
          </w:p>
        </w:tc>
      </w:tr>
      <w:tr>
        <w:trPr>
          <w:cantSplit/>
        </w:trPr>
        <w:tc>
          <w:tcPr>
            <w:tcW w:type="dxa" w:w="3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Operación reproducible</w:t>
            </w:r>
          </w:p>
        </w:tc>
        <w:tc>
          <w:tcPr>
            <w:tcW w:type="dxa" w:w="6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Docker para desarrollo y pruebas; imágenes propias para staging.</w:t>
            </w:r>
          </w:p>
        </w:tc>
      </w:tr>
    </w:tbl>
    <w:p>
      <w:pPr>
        <w:spacing w:after="140"/>
      </w:pPr>
    </w:p>
    <w:p>
      <w:pPr>
        <w:pStyle w:val="Heading1"/>
        <w:keepNext/>
        <w:pageBreakBefore/>
        <w:pBdr>
          <w:bottom w:val="single" w:color="C9A227" w:sz="12" w:space="4"/>
        </w:pBdr>
        <w:spacing w:before="0" w:after="1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2. Vista de contexto</w:t>
      </w:r>
    </w:p>
    <w:p>
      <w:pPr>
        <w:keepNext/>
        <w:keepLines/>
        <w:pBdr>
          <w:left w:val="single" w:color="BFBFBF" w:sz="18" w:space="6"/>
        </w:pBdr>
        <w:shd w:fill="F4F4F4" w:color="auto" w:val="clear"/>
        <w:spacing w:after="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            ┌────────────────────────────────────────────┐</w:t>
      </w:r>
    </w:p>
    <w:p>
      <w:pPr>
        <w:keepNext/>
        <w:keepLines/>
        <w:pBdr>
          <w:left w:val="single" w:color="BFBFBF" w:sz="18" w:space="6"/>
        </w:pBdr>
        <w:shd w:fill="F4F4F4" w:color="auto" w:val="clear"/>
        <w:spacing w:after="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Cliente ─┐       │                  UrbanBlade                │</w:t>
      </w:r>
    </w:p>
    <w:p>
      <w:pPr>
        <w:keepNext/>
        <w:keepLines/>
        <w:pBdr>
          <w:left w:val="single" w:color="BFBFBF" w:sz="18" w:space="6"/>
        </w:pBdr>
        <w:shd w:fill="F4F4F4" w:color="auto" w:val="clear"/>
        <w:spacing w:after="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Barbero ─┤       │                                            │</w:t>
      </w:r>
    </w:p>
    <w:p>
      <w:pPr>
        <w:keepNext/>
        <w:keepLines/>
        <w:pBdr>
          <w:left w:val="single" w:color="BFBFBF" w:sz="18" w:space="6"/>
        </w:pBdr>
        <w:shd w:fill="F4F4F4" w:color="auto" w:val="clear"/>
        <w:spacing w:after="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Recepción ─┼──►  Web (Nuxt) ─┐                                  │</w:t>
      </w:r>
    </w:p>
    <w:p>
      <w:pPr>
        <w:keepNext/>
        <w:keepLines/>
        <w:pBdr>
          <w:left w:val="single" w:color="BFBFBF" w:sz="18" w:space="6"/>
        </w:pBdr>
        <w:shd w:fill="F4F4F4" w:color="auto" w:val="clear"/>
        <w:spacing w:after="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Administrador┤                ├─► API Laravel ─► MongoDB         │</w:t>
      </w:r>
    </w:p>
    <w:p>
      <w:pPr>
        <w:keepNext/>
        <w:keepLines/>
        <w:pBdr>
          <w:left w:val="single" w:color="BFBFBF" w:sz="18" w:space="6"/>
        </w:pBdr>
        <w:shd w:fill="F4F4F4" w:color="auto" w:val="clear"/>
        <w:spacing w:after="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Ingeniero ─┘  Android ──────┘        │                         │</w:t>
      </w:r>
    </w:p>
    <w:p>
      <w:pPr>
        <w:keepNext/>
        <w:keepLines/>
        <w:pBdr>
          <w:left w:val="single" w:color="BFBFBF" w:sz="18" w:space="6"/>
        </w:pBdr>
        <w:shd w:fill="F4F4F4" w:color="auto" w:val="clear"/>
        <w:spacing w:after="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                               ├─► Stripe                │</w:t>
      </w:r>
    </w:p>
    <w:p>
      <w:pPr>
        <w:keepNext/>
        <w:keepLines/>
        <w:pBdr>
          <w:left w:val="single" w:color="BFBFBF" w:sz="18" w:space="6"/>
        </w:pBdr>
        <w:shd w:fill="F4F4F4" w:color="auto" w:val="clear"/>
        <w:spacing w:after="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                               ├─► Google (acceso)       │</w:t>
      </w:r>
    </w:p>
    <w:p>
      <w:pPr>
        <w:keepNext/>
        <w:keepLines/>
        <w:pBdr>
          <w:left w:val="single" w:color="BFBFBF" w:sz="18" w:space="6"/>
        </w:pBdr>
        <w:shd w:fill="F4F4F4" w:color="auto" w:val="clear"/>
        <w:spacing w:after="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                               ├─► Correo · Push · SMS   │</w:t>
      </w:r>
    </w:p>
    <w:p>
      <w:pPr>
        <w:keepNext/>
        <w:keepLines/>
        <w:pBdr>
          <w:left w:val="single" w:color="BFBFBF" w:sz="18" w:space="6"/>
        </w:pBdr>
        <w:shd w:fill="F4F4F4" w:color="auto" w:val="clear"/>
        <w:spacing w:after="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                               └─► Asistente (Ollama)    │</w:t>
      </w:r>
    </w:p>
    <w:p>
      <w:pPr>
        <w:keepNext/>
        <w:keepLines/>
        <w:pBdr>
          <w:left w:val="single" w:color="BFBFBF" w:sz="18" w:space="6"/>
        </w:pBdr>
        <w:shd w:fill="F4F4F4" w:color="auto" w:val="clear"/>
        <w:spacing w:after="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            └────────────────────────────────────────────┘</w:t>
      </w:r>
    </w:p>
    <w:p>
      <w:pPr>
        <w:keepNext w:val="false"/>
        <w:keepLines/>
        <w:pBdr>
          <w:left w:val="single" w:color="BFBFBF" w:sz="18" w:space="6"/>
        </w:pBdr>
        <w:shd w:fill="F4F4F4" w:color="auto" w:val="clear"/>
        <w:spacing w:after="16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Spark (análisis académico) ── lee datos ── escribe derivados aparte</w:t>
      </w:r>
    </w:p>
    <w:p>
      <w:pPr>
        <w:pStyle w:val="Heading1"/>
        <w:keepNext/>
        <w:pageBreakBefore/>
        <w:pBdr>
          <w:bottom w:val="single" w:color="C9A227" w:sz="12" w:space="4"/>
        </w:pBdr>
        <w:spacing w:before="0" w:after="1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3. Arquitectura lógica</w:t>
      </w:r>
    </w:p>
    <w:p>
      <w:pPr>
        <w:pStyle w:val="Heading2"/>
        <w:keepNext/>
        <w:spacing w:before="260" w:after="110"/>
      </w:pPr>
      <w:r>
        <w:rPr>
          <w:rFonts w:ascii="Arial" w:cs="Arial" w:eastAsia="Arial" w:hAnsi="Arial"/>
          <w:b/>
          <w:bCs/>
          <w:color w:val="4A4A4A"/>
          <w:sz w:val="25"/>
          <w:szCs w:val="25"/>
        </w:rPr>
        <w:t xml:space="preserve">3.1 Capas del backend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69"/>
        <w:gridCol w:w="4444"/>
        <w:gridCol w:w="3467"/>
      </w:tblGrid>
      <w:tr>
        <w:trPr>
          <w:cantSplit/>
          <w:tblHeader/>
        </w:trPr>
        <w:tc>
          <w:tcPr>
            <w:tcW w:type="dxa" w:w="2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Capa</w:t>
            </w:r>
          </w:p>
        </w:tc>
        <w:tc>
          <w:tcPr>
            <w:tcW w:type="dxa" w:w="4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Responsabilidad</w:t>
            </w:r>
          </w:p>
        </w:tc>
        <w:tc>
          <w:tcPr>
            <w:tcW w:type="dxa" w:w="34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Ubicación</w:t>
            </w:r>
          </w:p>
        </w:tc>
      </w:tr>
      <w:tr>
        <w:trPr>
          <w:cantSplit/>
        </w:trPr>
        <w:tc>
          <w:tcPr>
            <w:tcW w:type="dxa" w:w="2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Rutas y middleware</w:t>
            </w:r>
          </w:p>
        </w:tc>
        <w:tc>
          <w:tcPr>
            <w:tcW w:type="dxa" w:w="4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Autenticación, mantenimiento, límites, filtros de entrada.</w:t>
            </w:r>
          </w:p>
        </w:tc>
        <w:tc>
          <w:tcPr>
            <w:tcW w:type="dxa" w:w="34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routes/api.php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app/Http/Middleware</w:t>
            </w:r>
          </w:p>
        </w:tc>
      </w:tr>
      <w:tr>
        <w:trPr>
          <w:cantSplit/>
        </w:trPr>
        <w:tc>
          <w:tcPr>
            <w:tcW w:type="dxa" w:w="2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Controladores y requests</w:t>
            </w:r>
          </w:p>
        </w:tc>
        <w:tc>
          <w:tcPr>
            <w:tcW w:type="dxa" w:w="4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Orquestación HTTP, validación y alcance del usuario.</w:t>
            </w:r>
          </w:p>
        </w:tc>
        <w:tc>
          <w:tcPr>
            <w:tcW w:type="dxa" w:w="34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app/Http/Controllers/Api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app/Http/Requests</w:t>
            </w:r>
          </w:p>
        </w:tc>
      </w:tr>
      <w:tr>
        <w:trPr>
          <w:cantSplit/>
        </w:trPr>
        <w:tc>
          <w:tcPr>
            <w:tcW w:type="dxa" w:w="2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Servicios</w:t>
            </w:r>
          </w:p>
        </w:tc>
        <w:tc>
          <w:tcPr>
            <w:tcW w:type="dxa" w:w="4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Reglas y operaciones de negocio.</w:t>
            </w:r>
          </w:p>
        </w:tc>
        <w:tc>
          <w:tcPr>
            <w:tcW w:type="dxa" w:w="34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app/Services</w:t>
            </w:r>
          </w:p>
        </w:tc>
      </w:tr>
      <w:tr>
        <w:trPr>
          <w:cantSplit/>
        </w:trPr>
        <w:tc>
          <w:tcPr>
            <w:tcW w:type="dxa" w:w="2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Modelos</w:t>
            </w:r>
          </w:p>
        </w:tc>
        <w:tc>
          <w:tcPr>
            <w:tcW w:type="dxa" w:w="4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Persistencia, relaciones y conversiones.</w:t>
            </w:r>
          </w:p>
        </w:tc>
        <w:tc>
          <w:tcPr>
            <w:tcW w:type="dxa" w:w="34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app/Models</w:t>
            </w:r>
          </w:p>
        </w:tc>
      </w:tr>
      <w:tr>
        <w:trPr>
          <w:cantSplit/>
        </w:trPr>
        <w:tc>
          <w:tcPr>
            <w:tcW w:type="dxa" w:w="2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Resources</w:t>
            </w:r>
          </w:p>
        </w:tc>
        <w:tc>
          <w:tcPr>
            <w:tcW w:type="dxa" w:w="4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Forma pública de las respuestas.</w:t>
            </w:r>
          </w:p>
        </w:tc>
        <w:tc>
          <w:tcPr>
            <w:tcW w:type="dxa" w:w="34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app/Http/Resources</w:t>
            </w:r>
          </w:p>
        </w:tc>
      </w:tr>
      <w:tr>
        <w:trPr>
          <w:cantSplit/>
        </w:trPr>
        <w:tc>
          <w:tcPr>
            <w:tcW w:type="dxa" w:w="2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Jobs y notificaciones</w:t>
            </w:r>
          </w:p>
        </w:tc>
        <w:tc>
          <w:tcPr>
            <w:tcW w:type="dxa" w:w="4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Trabajo diferido y entrega multicanal.</w:t>
            </w:r>
          </w:p>
        </w:tc>
        <w:tc>
          <w:tcPr>
            <w:tcW w:type="dxa" w:w="34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app/Jobs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app/Notifications</w:t>
            </w:r>
          </w:p>
        </w:tc>
      </w:tr>
    </w:tbl>
    <w:p>
      <w:pPr>
        <w:spacing w:after="140"/>
      </w:pPr>
    </w:p>
    <w:p>
      <w:pPr>
        <w:pStyle w:val="Heading2"/>
        <w:keepNext/>
        <w:spacing w:before="260" w:after="110"/>
      </w:pPr>
      <w:r>
        <w:rPr>
          <w:rFonts w:ascii="Arial" w:cs="Arial" w:eastAsia="Arial" w:hAnsi="Arial"/>
          <w:b/>
          <w:bCs/>
          <w:color w:val="4A4A4A"/>
          <w:sz w:val="25"/>
          <w:szCs w:val="25"/>
        </w:rPr>
        <w:t xml:space="preserve">3.2 Capas del frontend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2"/>
        <w:gridCol w:w="7958"/>
      </w:tblGrid>
      <w:tr>
        <w:trPr>
          <w:cantSplit/>
          <w:tblHeader/>
        </w:trPr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Capa</w:t>
            </w:r>
          </w:p>
        </w:tc>
        <w:tc>
          <w:tcPr>
            <w:tcW w:type="dxa" w:w="7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Responsabilidad</w:t>
            </w:r>
          </w:p>
        </w:tc>
      </w:tr>
      <w:tr>
        <w:trPr>
          <w:cantSplit/>
        </w:trPr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pages</w:t>
            </w: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 y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layouts</w:t>
            </w:r>
          </w:p>
        </w:tc>
        <w:tc>
          <w:tcPr>
            <w:tcW w:type="dxa" w:w="7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Rutas públicas y paneles por rol; estructura y navegación compartidas.</w:t>
            </w:r>
          </w:p>
        </w:tc>
      </w:tr>
      <w:tr>
        <w:trPr>
          <w:cantSplit/>
        </w:trPr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components</w:t>
            </w:r>
          </w:p>
        </w:tc>
        <w:tc>
          <w:tcPr>
            <w:tcW w:type="dxa" w:w="7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Formularios, tableros, gráficas y el kit de interfaz reutilizable.</w:t>
            </w:r>
          </w:p>
        </w:tc>
      </w:tr>
      <w:tr>
        <w:trPr>
          <w:cantSplit/>
        </w:trPr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composables</w:t>
            </w:r>
          </w:p>
        </w:tc>
        <w:tc>
          <w:tcPr>
            <w:tcW w:type="dxa" w:w="7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Sesión, llamadas a la API, carrito, tema, consentimiento y notificaciones.</w:t>
            </w:r>
          </w:p>
        </w:tc>
      </w:tr>
      <w:tr>
        <w:trPr>
          <w:cantSplit/>
        </w:trPr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middleware</w:t>
            </w:r>
          </w:p>
        </w:tc>
        <w:tc>
          <w:tcPr>
            <w:tcW w:type="dxa" w:w="7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Redirecciones de navegación según sesión y rol (no sustituyen la autorización del servidor).</w:t>
            </w:r>
          </w:p>
        </w:tc>
      </w:tr>
      <w:tr>
        <w:trPr>
          <w:cantSplit/>
        </w:trPr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server</w:t>
            </w: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 (Nitro)</w:t>
            </w:r>
          </w:p>
        </w:tc>
        <w:tc>
          <w:tcPr>
            <w:tcW w:type="dxa" w:w="7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Renderizado en servidor, salud, mapa del sitio y filtros HTTP. No es un proxy de la API de negocio.</w:t>
            </w:r>
          </w:p>
        </w:tc>
      </w:tr>
      <w:tr>
        <w:trPr>
          <w:cantSplit/>
        </w:trPr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public</w:t>
            </w:r>
          </w:p>
        </w:tc>
        <w:tc>
          <w:tcPr>
            <w:tcW w:type="dxa" w:w="7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Manifiesto, service worker y página sin conexión.</w:t>
            </w:r>
          </w:p>
        </w:tc>
      </w:tr>
    </w:tbl>
    <w:p>
      <w:pPr>
        <w:spacing w:after="140"/>
      </w:pP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El estado compartido se resuelve con composables y las primitivas de Nuxt, no con un almacén global adicional.</w:t>
      </w:r>
    </w:p>
    <w:p>
      <w:pPr>
        <w:pStyle w:val="Heading2"/>
        <w:keepNext/>
        <w:spacing w:before="260" w:after="110"/>
      </w:pPr>
      <w:r>
        <w:rPr>
          <w:rFonts w:ascii="Arial" w:cs="Arial" w:eastAsia="Arial" w:hAnsi="Arial"/>
          <w:b/>
          <w:bCs/>
          <w:color w:val="4A4A4A"/>
          <w:sz w:val="25"/>
          <w:szCs w:val="25"/>
        </w:rPr>
        <w:t xml:space="preserve">3.3 Aplicación Android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Arquitectura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MVVM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con Jetpack Compose para la interfaz, ViewModels para el estado y Retrofit para consumir la API, con navegación por rol. Usa la misma cuenta y los mismos endpoints que la web.</w:t>
      </w:r>
    </w:p>
    <w:p>
      <w:pPr>
        <w:pStyle w:val="Heading1"/>
        <w:keepNext/>
        <w:pageBreakBefore/>
        <w:pBdr>
          <w:bottom w:val="single" w:color="C9A227" w:sz="12" w:space="4"/>
        </w:pBdr>
        <w:spacing w:before="0" w:after="1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4. Arquitectura de datos</w:t>
      </w:r>
    </w:p>
    <w:p>
      <w:pPr>
        <w:pStyle w:val="Heading2"/>
        <w:keepNext/>
        <w:spacing w:before="260" w:after="110"/>
      </w:pPr>
      <w:r>
        <w:rPr>
          <w:rFonts w:ascii="Arial" w:cs="Arial" w:eastAsia="Arial" w:hAnsi="Arial"/>
          <w:b/>
          <w:bCs/>
          <w:color w:val="4A4A4A"/>
          <w:sz w:val="25"/>
          <w:szCs w:val="25"/>
        </w:rPr>
        <w:t xml:space="preserve">4.1 Almacenes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82"/>
        <w:gridCol w:w="3696"/>
        <w:gridCol w:w="4102"/>
      </w:tblGrid>
      <w:tr>
        <w:trPr>
          <w:cantSplit/>
          <w:tblHeader/>
        </w:trPr>
        <w:tc>
          <w:tcPr>
            <w:tcW w:type="dxa" w:w="2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Almacén</w:t>
            </w:r>
          </w:p>
        </w:tc>
        <w:tc>
          <w:tcPr>
            <w:tcW w:type="dxa" w:w="3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Contenido</w:t>
            </w:r>
          </w:p>
        </w:tc>
        <w:tc>
          <w:tcPr>
            <w:tcW w:type="dxa" w:w="4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Observación</w:t>
            </w:r>
          </w:p>
        </w:tc>
      </w:tr>
      <w:tr>
        <w:trPr>
          <w:cantSplit/>
        </w:trPr>
        <w:tc>
          <w:tcPr>
            <w:tcW w:type="dxa" w:w="2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MongoDB operativo</w:t>
            </w:r>
          </w:p>
        </w:tc>
        <w:tc>
          <w:tcPr>
            <w:tcW w:type="dxa" w:w="3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Usuarios, citas, pagos, inventario, pedidos, lealtad, social.</w:t>
            </w:r>
          </w:p>
        </w:tc>
        <w:tc>
          <w:tcPr>
            <w:tcW w:type="dxa" w:w="4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Replica set obligatorio para las transacciones de pagos e inventario.</w:t>
            </w:r>
          </w:p>
        </w:tc>
      </w:tr>
      <w:tr>
        <w:trPr>
          <w:cantSplit/>
        </w:trPr>
        <w:tc>
          <w:tcPr>
            <w:tcW w:type="dxa" w:w="2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MongoDB analítico</w:t>
            </w:r>
          </w:p>
        </w:tc>
        <w:tc>
          <w:tcPr>
            <w:tcW w:type="dxa" w:w="3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Derivados de analítica que Laravel consume.</w:t>
            </w:r>
          </w:p>
        </w:tc>
        <w:tc>
          <w:tcPr>
            <w:tcW w:type="dxa" w:w="4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Conexión explícita separada.</w:t>
            </w:r>
          </w:p>
        </w:tc>
      </w:tr>
      <w:tr>
        <w:trPr>
          <w:cantSplit/>
        </w:trPr>
        <w:tc>
          <w:tcPr>
            <w:tcW w:type="dxa" w:w="2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MongoDB de desarrollo y de pruebas</w:t>
            </w:r>
          </w:p>
        </w:tc>
        <w:tc>
          <w:tcPr>
            <w:tcW w:type="dxa" w:w="3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urbanblade_dev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 y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barber_db_test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.</w:t>
            </w:r>
          </w:p>
        </w:tc>
        <w:tc>
          <w:tcPr>
            <w:tcW w:type="dxa" w:w="4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Locales y aislados de los datos compartidos.</w:t>
            </w:r>
          </w:p>
        </w:tc>
      </w:tr>
      <w:tr>
        <w:trPr>
          <w:cantSplit/>
        </w:trPr>
        <w:tc>
          <w:tcPr>
            <w:tcW w:type="dxa" w:w="2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SQLite de Pulse</w:t>
            </w:r>
          </w:p>
        </w:tc>
        <w:tc>
          <w:tcPr>
            <w:tcW w:type="dxa" w:w="3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Telemetría de Laravel Pulse.</w:t>
            </w:r>
          </w:p>
        </w:tc>
        <w:tc>
          <w:tcPr>
            <w:tcW w:type="dxa" w:w="4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No es fuente de verdad.</w:t>
            </w:r>
          </w:p>
        </w:tc>
      </w:tr>
      <w:tr>
        <w:trPr>
          <w:cantSplit/>
        </w:trPr>
        <w:tc>
          <w:tcPr>
            <w:tcW w:type="dxa" w:w="2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Redis</w:t>
            </w:r>
          </w:p>
        </w:tc>
        <w:tc>
          <w:tcPr>
            <w:tcW w:type="dxa" w:w="3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Caché, sesiones y colas según el entorno.</w:t>
            </w:r>
          </w:p>
        </w:tc>
        <w:tc>
          <w:tcPr>
            <w:tcW w:type="dxa" w:w="4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No existe en staging.</w:t>
            </w:r>
          </w:p>
        </w:tc>
      </w:tr>
      <w:tr>
        <w:trPr>
          <w:cantSplit/>
        </w:trPr>
        <w:tc>
          <w:tcPr>
            <w:tcW w:type="dxa" w:w="2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Archivos</w:t>
            </w:r>
          </w:p>
        </w:tc>
        <w:tc>
          <w:tcPr>
            <w:tcW w:type="dxa" w:w="3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Imágenes públicas y comprobantes.</w:t>
            </w:r>
          </w:p>
        </w:tc>
        <w:tc>
          <w:tcPr>
            <w:tcW w:type="dxa" w:w="4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S3 en staging; los comprobantes usan URL temporal.</w:t>
            </w:r>
          </w:p>
        </w:tc>
      </w:tr>
    </w:tbl>
    <w:p>
      <w:pPr>
        <w:spacing w:after="140"/>
      </w:pPr>
    </w:p>
    <w:p>
      <w:pPr>
        <w:pStyle w:val="Heading2"/>
        <w:keepNext/>
        <w:spacing w:before="260" w:after="110"/>
      </w:pPr>
      <w:r>
        <w:rPr>
          <w:rFonts w:ascii="Arial" w:cs="Arial" w:eastAsia="Arial" w:hAnsi="Arial"/>
          <w:b/>
          <w:bCs/>
          <w:color w:val="4A4A4A"/>
          <w:sz w:val="25"/>
          <w:szCs w:val="25"/>
        </w:rPr>
        <w:t xml:space="preserve">4.2 Modelo de datos (entidades principales)</w:t>
      </w:r>
    </w:p>
    <w:p>
      <w:pPr>
        <w:keepNext/>
        <w:keepLines/>
        <w:pBdr>
          <w:left w:val="single" w:color="BFBFBF" w:sz="18" w:space="6"/>
        </w:pBdr>
        <w:shd w:fill="F4F4F4" w:color="auto" w:val="clear"/>
        <w:spacing w:after="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User ──1:1── Client   ──1:N── Appointment ──N:1── Barber ──1:N── BarberSchedule</w:t>
      </w:r>
    </w:p>
    <w:p>
      <w:pPr>
        <w:keepNext/>
        <w:keepLines/>
        <w:pBdr>
          <w:left w:val="single" w:color="BFBFBF" w:sz="18" w:space="6"/>
        </w:pBdr>
        <w:shd w:fill="F4F4F4" w:color="auto" w:val="clear"/>
        <w:spacing w:after="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│             │                  │  │  └─N:1── Service</w:t>
      </w:r>
    </w:p>
    <w:p>
      <w:pPr>
        <w:keepNext/>
        <w:keepLines/>
        <w:pBdr>
          <w:left w:val="single" w:color="BFBFBF" w:sz="18" w:space="6"/>
        </w:pBdr>
        <w:shd w:fill="F4F4F4" w:color="auto" w:val="clear"/>
        <w:spacing w:after="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│             ├─1:N── Order      │  ├──1:N── Payment</w:t>
      </w:r>
    </w:p>
    <w:p>
      <w:pPr>
        <w:keepNext/>
        <w:keepLines/>
        <w:pBdr>
          <w:left w:val="single" w:color="BFBFBF" w:sz="18" w:space="6"/>
        </w:pBdr>
        <w:shd w:fill="F4F4F4" w:color="auto" w:val="clear"/>
        <w:spacing w:after="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│             │                  │  └──1:N── NoShowFee</w:t>
      </w:r>
    </w:p>
    <w:p>
      <w:pPr>
        <w:keepNext/>
        <w:keepLines/>
        <w:pBdr>
          <w:left w:val="single" w:color="BFBFBF" w:sz="18" w:space="6"/>
        </w:pBdr>
        <w:shd w:fill="F4F4F4" w:color="auto" w:val="clear"/>
        <w:spacing w:after="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│             ├─1:N── ClientMembership ──N:1── MembershipPlan</w:t>
      </w:r>
    </w:p>
    <w:p>
      <w:pPr>
        <w:keepNext/>
        <w:keepLines/>
        <w:pBdr>
          <w:left w:val="single" w:color="BFBFBF" w:sz="18" w:space="6"/>
        </w:pBdr>
        <w:shd w:fill="F4F4F4" w:color="auto" w:val="clear"/>
        <w:spacing w:after="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│             ├─1:N── ClientPackage ──N:1── ServicePackage</w:t>
      </w:r>
    </w:p>
    <w:p>
      <w:pPr>
        <w:keepNext/>
        <w:keepLines/>
        <w:pBdr>
          <w:left w:val="single" w:color="BFBFBF" w:sz="18" w:space="6"/>
        </w:pBdr>
        <w:shd w:fill="F4F4F4" w:color="auto" w:val="clear"/>
        <w:spacing w:after="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│             └─1:N── LoyaltyTransaction</w:t>
      </w:r>
    </w:p>
    <w:p>
      <w:pPr>
        <w:keepNext/>
        <w:keepLines/>
        <w:pBdr>
          <w:left w:val="single" w:color="BFBFBF" w:sz="18" w:space="6"/>
        </w:pBdr>
        <w:shd w:fill="F4F4F4" w:color="auto" w:val="clear"/>
        <w:spacing w:after="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└─1:N── MobileApiToken            Barber ──1:N── Work ──1:N── WorkImage</w:t>
      </w:r>
    </w:p>
    <w:p>
      <w:pPr>
        <w:keepNext w:val="false"/>
        <w:keepLines/>
        <w:pBdr>
          <w:left w:val="single" w:color="BFBFBF" w:sz="18" w:space="6"/>
        </w:pBdr>
        <w:shd w:fill="F4F4F4" w:color="auto" w:val="clear"/>
        <w:spacing w:after="16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Product ──1:N── InventoryMovement   Work ──1:N── Comment / Reaction / SavedWork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Al ser MongoDB, las relaciones son referencias por identificador resueltas en la aplicación. Los borrados lógicos no liberan necesariamente los índices únicos (por ejemplo el del correo de un usuario).</w:t>
      </w:r>
    </w:p>
    <w:p>
      <w:pPr>
        <w:pStyle w:val="Heading2"/>
        <w:keepNext/>
        <w:spacing w:before="260" w:after="110"/>
      </w:pPr>
      <w:r>
        <w:rPr>
          <w:rFonts w:ascii="Arial" w:cs="Arial" w:eastAsia="Arial" w:hAnsi="Arial"/>
          <w:b/>
          <w:bCs/>
          <w:color w:val="4A4A4A"/>
          <w:sz w:val="25"/>
          <w:szCs w:val="25"/>
        </w:rPr>
        <w:t xml:space="preserve">4.3 Aislamiento de entornos</w:t>
      </w:r>
    </w:p>
    <w:p>
      <w:pPr>
        <w:spacing w:before="0" w:after="100" w:line="276"/>
      </w:pPr>
      <w:r>
        <w:rPr>
          <w:rFonts w:ascii="Consolas" w:cs="Consolas" w:eastAsia="Consolas" w:hAnsi="Consolas"/>
          <w:color w:val="7A5A00"/>
          <w:sz w:val="18"/>
          <w:szCs w:val="18"/>
        </w:rPr>
        <w:t xml:space="preserve">DataEnvironmentGuard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valida al arrancar los contextos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shared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development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y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testing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y rechaza combinaciones de host, entorno y nombre de base que mezclarían datos.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Tests\TestCase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repite la comprobación en cada prueba. Es una defensa adicional: no reemplaza los permisos mínimos de la base de datos.</w:t>
      </w:r>
    </w:p>
    <w:p>
      <w:pPr>
        <w:pStyle w:val="Heading1"/>
        <w:keepNext/>
        <w:pageBreakBefore/>
        <w:pBdr>
          <w:bottom w:val="single" w:color="C9A227" w:sz="12" w:space="4"/>
        </w:pBdr>
        <w:spacing w:before="0" w:after="1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5. Arquitectura física (entorno de pruebas en AWS)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Estado leído en solo lectura el 28 de octubre de 2026.</w:t>
      </w:r>
    </w:p>
    <w:p>
      <w:pPr>
        <w:keepNext/>
        <w:keepLines/>
        <w:pBdr>
          <w:left w:val="single" w:color="BFBFBF" w:sz="18" w:space="6"/>
        </w:pBdr>
        <w:shd w:fill="F4F4F4" w:color="auto" w:val="clear"/>
        <w:spacing w:after="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Navegador ──HTTPS──► CloudFront ──HTTP──► ALB ──► ECS Fargate (cluster urbanblade-staging)</w:t>
      </w:r>
    </w:p>
    <w:p>
      <w:pPr>
        <w:keepNext/>
        <w:keepLines/>
        <w:pBdr>
          <w:left w:val="single" w:color="BFBFBF" w:sz="18" w:space="6"/>
        </w:pBdr>
        <w:shd w:fill="F4F4F4" w:color="auto" w:val="clear"/>
        <w:spacing w:after="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                 │  urbanblade.com.mx          :80   ──► frontend (Nuxt)        2 tareas</w:t>
      </w:r>
    </w:p>
    <w:p>
      <w:pPr>
        <w:keepNext/>
        <w:keepLines/>
        <w:pBdr>
          <w:left w:val="single" w:color="BFBFBF" w:sz="18" w:space="6"/>
        </w:pBdr>
        <w:shd w:fill="F4F4F4" w:color="auto" w:val="clear"/>
        <w:spacing w:after="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                 │  api.urbanblade.com.mx      :8080 ──► barber (Caddy+PHP-FPM) 2 tareas</w:t>
      </w:r>
    </w:p>
    <w:p>
      <w:pPr>
        <w:keepNext/>
        <w:keepLines/>
        <w:pBdr>
          <w:left w:val="single" w:color="BFBFBF" w:sz="18" w:space="6"/>
        </w:pBdr>
        <w:shd w:fill="F4F4F4" w:color="auto" w:val="clear"/>
        <w:spacing w:after="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                 └  spark.urbanblade.com.mx    :8501 ──► spark (Streamlit)      1 tarea</w:t>
      </w:r>
    </w:p>
    <w:p>
      <w:pPr>
        <w:keepNext/>
        <w:keepLines/>
        <w:pBdr>
          <w:left w:val="single" w:color="BFBFBF" w:sz="18" w:space="6"/>
        </w:pBdr>
        <w:shd w:fill="F4F4F4" w:color="auto" w:val="clear"/>
        <w:spacing w:after="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                                               interno ─► ollama (asistente)     1 tarea</w:t>
      </w:r>
    </w:p>
    <w:p>
      <w:pPr>
        <w:keepNext/>
        <w:keepLines/>
        <w:pBdr>
          <w:left w:val="single" w:color="BFBFBF" w:sz="18" w:space="6"/>
        </w:pBdr>
        <w:shd w:fill="F4F4F4" w:color="auto" w:val="clear"/>
        <w:spacing w:after="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barber ──► MongoDB Atlas   ·   S3 (imágenes y comprobantes)   ·   Secrets Manager (claves)</w:t>
      </w:r>
    </w:p>
    <w:p>
      <w:pPr>
        <w:keepNext/>
        <w:keepLines/>
        <w:pBdr>
          <w:left w:val="single" w:color="BFBFBF" w:sz="18" w:space="6"/>
        </w:pBdr>
        <w:shd w:fill="F4F4F4" w:color="auto" w:val="clear"/>
        <w:spacing w:after="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Imágenes: ECR (barber, frontend-urban, spark, ollama)   ·   Logs: CloudWatch</w:t>
      </w:r>
    </w:p>
    <w:p>
      <w:pPr>
        <w:keepNext w:val="false"/>
        <w:keepLines/>
        <w:pBdr>
          <w:left w:val="single" w:color="BFBFBF" w:sz="18" w:space="6"/>
        </w:pBdr>
        <w:shd w:fill="F4F4F4" w:color="auto" w:val="clear"/>
        <w:spacing w:after="16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DNS: Route 53   ·   Certificado HTTPS: ACM (en CloudFront)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56"/>
        <w:gridCol w:w="8524"/>
      </w:tblGrid>
      <w:tr>
        <w:trPr>
          <w:cantSplit/>
          <w:tblHeader/>
        </w:trPr>
        <w:tc>
          <w:tcPr>
            <w:tcW w:type="dxa" w:w="1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Elemento</w:t>
            </w:r>
          </w:p>
        </w:tc>
        <w:tc>
          <w:tcPr>
            <w:tcW w:type="dxa" w:w="8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1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Servicios</w:t>
            </w:r>
          </w:p>
        </w:tc>
        <w:tc>
          <w:tcPr>
            <w:tcW w:type="dxa" w:w="8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uba-stg-barber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uba-stg-frontend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uba-stg-spark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uba-stg-ollama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 en el clúster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urbanblade-staging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Capacidad</w:t>
            </w:r>
          </w:p>
        </w:tc>
        <w:tc>
          <w:tcPr>
            <w:tcW w:type="dxa" w:w="8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barber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 y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frontend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 en FARGATE;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spark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 y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ollama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 en FARGATE_SPOT.</w:t>
            </w:r>
          </w:p>
        </w:tc>
      </w:tr>
      <w:tr>
        <w:trPr>
          <w:cantSplit/>
        </w:trPr>
        <w:tc>
          <w:tcPr>
            <w:tcW w:type="dxa" w:w="1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Entrada</w:t>
            </w:r>
          </w:p>
        </w:tc>
        <w:tc>
          <w:tcPr>
            <w:tcW w:type="dxa" w:w="8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Tres distribuciones de CloudFront (frontend, API y Spark) hacia un ALB con tres listeners (80, 8080, 8501).</w:t>
            </w:r>
          </w:p>
        </w:tc>
      </w:tr>
      <w:tr>
        <w:trPr>
          <w:cantSplit/>
        </w:trPr>
        <w:tc>
          <w:tcPr>
            <w:tcW w:type="dxa" w:w="1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Salud</w:t>
            </w:r>
          </w:p>
        </w:tc>
        <w:tc>
          <w:tcPr>
            <w:tcW w:type="dxa" w:w="8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Frontend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/api/health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backend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/up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Spark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/_stcore/health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Datos</w:t>
            </w:r>
          </w:p>
        </w:tc>
        <w:tc>
          <w:tcPr>
            <w:tcW w:type="dxa" w:w="8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MongoDB Atlas externo; el backend no usa Redis en staging (caché en archivo, colas síncronas).</w:t>
            </w:r>
          </w:p>
        </w:tc>
      </w:tr>
      <w:tr>
        <w:trPr>
          <w:cantSplit/>
        </w:trPr>
        <w:tc>
          <w:tcPr>
            <w:tcW w:type="dxa" w:w="1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Secretos</w:t>
            </w:r>
          </w:p>
        </w:tc>
        <w:tc>
          <w:tcPr>
            <w:tcW w:type="dxa" w:w="8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Secrets Manager; nunca en la imagen ni en el repositorio.</w:t>
            </w:r>
          </w:p>
        </w:tc>
      </w:tr>
    </w:tbl>
    <w:p>
      <w:pPr>
        <w:spacing w:after="140"/>
      </w:pPr>
    </w:p>
    <w:p>
      <w:pPr>
        <w:keepNext/>
        <w:pBdr>
          <w:left w:val="single" w:color="B26A00" w:sz="24" w:space="8"/>
        </w:pBdr>
        <w:shd w:fill="FBF0DF" w:color="auto" w:val="clear"/>
        <w:spacing w:before="120" w:after="40"/>
        <w:ind w:left="160" w:right="120"/>
      </w:pPr>
      <w:r>
        <w:rPr>
          <w:rFonts w:ascii="Arial" w:cs="Arial" w:eastAsia="Arial" w:hAnsi="Arial"/>
          <w:b/>
          <w:bCs/>
          <w:color w:val="B26A00"/>
          <w:sz w:val="20"/>
          <w:szCs w:val="20"/>
        </w:rPr>
        <w:t xml:space="preserve">Aviso</w:t>
      </w:r>
    </w:p>
    <w:p>
      <w:pPr>
        <w:keepNext w:val="false"/>
        <w:pBdr>
          <w:left w:val="single" w:color="B26A00" w:sz="24" w:space="8"/>
        </w:pBdr>
        <w:shd w:fill="FBF0DF" w:color="auto" w:val="clear"/>
        <w:spacing w:after="160" w:line="264"/>
        <w:ind w:left="160" w:right="120"/>
      </w:pPr>
      <w:r>
        <w:rPr>
          <w:rFonts w:ascii="Arial" w:cs="Arial" w:eastAsia="Arial" w:hAnsi="Arial"/>
          <w:color w:val="1F1F1F"/>
          <w:sz w:val="19"/>
          <w:szCs w:val="19"/>
        </w:rPr>
        <w:t xml:space="preserve">Staging </w:t>
      </w:r>
      <w:r>
        <w:rPr>
          <w:rFonts w:ascii="Arial" w:cs="Arial" w:eastAsia="Arial" w:hAnsi="Arial"/>
          <w:b/>
          <w:bCs/>
          <w:color w:val="1F1F1F"/>
          <w:sz w:val="19"/>
          <w:szCs w:val="19"/>
        </w:rPr>
        <w:t xml:space="preserve">no es producción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. Un nombre histórico con la palabra staging no certifica qué datos atiende un recurso; antes de operar hay que identificar cuenta, región, clúster, servicio e imagen.</w:t>
      </w:r>
    </w:p>
    <w:p>
      <w:pPr>
        <w:pStyle w:val="Heading1"/>
        <w:keepNext/>
        <w:pageBreakBefore/>
        <w:pBdr>
          <w:bottom w:val="single" w:color="C9A227" w:sz="12" w:space="4"/>
        </w:pBdr>
        <w:spacing w:before="0" w:after="1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6. Flujos clave</w:t>
      </w:r>
    </w:p>
    <w:p>
      <w:pPr>
        <w:pStyle w:val="Heading2"/>
        <w:keepNext/>
        <w:spacing w:before="260" w:after="110"/>
      </w:pPr>
      <w:r>
        <w:rPr>
          <w:rFonts w:ascii="Arial" w:cs="Arial" w:eastAsia="Arial" w:hAnsi="Arial"/>
          <w:b/>
          <w:bCs/>
          <w:color w:val="4A4A4A"/>
          <w:sz w:val="25"/>
          <w:szCs w:val="25"/>
        </w:rPr>
        <w:t xml:space="preserve">6.1 Reserva de una cita</w:t>
      </w:r>
    </w:p>
    <w:p>
      <w:pPr>
        <w:keepNext/>
        <w:keepLines/>
        <w:pBdr>
          <w:left w:val="single" w:color="BFBFBF" w:sz="18" w:space="6"/>
        </w:pBdr>
        <w:shd w:fill="F4F4F4" w:color="auto" w:val="clear"/>
        <w:spacing w:after="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Cliente ─► Web: elige servicio, barbero y día</w:t>
      </w:r>
    </w:p>
    <w:p>
      <w:pPr>
        <w:keepNext/>
        <w:keepLines/>
        <w:pBdr>
          <w:left w:val="single" w:color="BFBFBF" w:sz="18" w:space="6"/>
        </w:pBdr>
        <w:shd w:fill="F4F4F4" w:color="auto" w:val="clear"/>
        <w:spacing w:after="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Web ─► API GET /availability/slots ─► servicio calcula huecos libres (horario + citas)</w:t>
      </w:r>
    </w:p>
    <w:p>
      <w:pPr>
        <w:keepNext/>
        <w:keepLines/>
        <w:pBdr>
          <w:left w:val="single" w:color="BFBFBF" w:sz="18" w:space="6"/>
        </w:pBdr>
        <w:shd w:fill="F4F4F4" w:color="auto" w:val="clear"/>
        <w:spacing w:after="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Cliente ─► Web: elige hora</w:t>
      </w:r>
    </w:p>
    <w:p>
      <w:pPr>
        <w:keepNext/>
        <w:keepLines/>
        <w:pBdr>
          <w:left w:val="single" w:color="BFBFBF" w:sz="18" w:space="6"/>
        </w:pBdr>
        <w:shd w:fill="F4F4F4" w:color="auto" w:val="clear"/>
        <w:spacing w:after="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Web ─► API POST /appointments ─► valida disponibilidad y política ─► crea cita "pendiente"</w:t>
      </w:r>
    </w:p>
    <w:p>
      <w:pPr>
        <w:keepNext/>
        <w:keepLines/>
        <w:pBdr>
          <w:left w:val="single" w:color="BFBFBF" w:sz="18" w:space="6"/>
        </w:pBdr>
        <w:shd w:fill="F4F4F4" w:color="auto" w:val="clear"/>
        <w:spacing w:after="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API ─► notifica al barbero y a recepción (correo / push)</w:t>
      </w:r>
    </w:p>
    <w:p>
      <w:pPr>
        <w:keepNext w:val="false"/>
        <w:keepLines/>
        <w:pBdr>
          <w:left w:val="single" w:color="BFBFBF" w:sz="18" w:space="6"/>
        </w:pBdr>
        <w:shd w:fill="F4F4F4" w:color="auto" w:val="clear"/>
        <w:spacing w:after="16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Barbero o recepción ─► confirma ─► estado "confirmada" ─► recordatorios 24 h y 2 h</w:t>
      </w:r>
    </w:p>
    <w:p>
      <w:pPr>
        <w:pStyle w:val="Heading2"/>
        <w:keepNext/>
        <w:spacing w:before="260" w:after="110"/>
      </w:pPr>
      <w:r>
        <w:rPr>
          <w:rFonts w:ascii="Arial" w:cs="Arial" w:eastAsia="Arial" w:hAnsi="Arial"/>
          <w:b/>
          <w:bCs/>
          <w:color w:val="4A4A4A"/>
          <w:sz w:val="25"/>
          <w:szCs w:val="25"/>
        </w:rPr>
        <w:t xml:space="preserve">6.2 Pago con tarjeta</w:t>
      </w:r>
    </w:p>
    <w:p>
      <w:pPr>
        <w:keepNext/>
        <w:keepLines/>
        <w:pBdr>
          <w:left w:val="single" w:color="BFBFBF" w:sz="18" w:space="6"/>
        </w:pBdr>
        <w:shd w:fill="F4F4F4" w:color="auto" w:val="clear"/>
        <w:spacing w:after="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Cliente ─► Web ─► API crea el pago y un PaymentIntent en Stripe (el servidor fija el importe)</w:t>
      </w:r>
    </w:p>
    <w:p>
      <w:pPr>
        <w:keepNext/>
        <w:keepLines/>
        <w:pBdr>
          <w:left w:val="single" w:color="BFBFBF" w:sz="18" w:space="6"/>
        </w:pBdr>
        <w:shd w:fill="F4F4F4" w:color="auto" w:val="clear"/>
        <w:spacing w:after="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Web ─► Stripe.js confirma con la clave publicable (el secreto nunca sale del backend)</w:t>
      </w:r>
    </w:p>
    <w:p>
      <w:pPr>
        <w:keepNext/>
        <w:keepLines/>
        <w:pBdr>
          <w:left w:val="single" w:color="BFBFBF" w:sz="18" w:space="6"/>
        </w:pBdr>
        <w:shd w:fill="F4F4F4" w:color="auto" w:val="clear"/>
        <w:spacing w:after="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Stripe ─► POST /api/stripe/webhook (firmado) ─► API concilia y marca el pago</w:t>
      </w:r>
    </w:p>
    <w:p>
      <w:pPr>
        <w:keepNext w:val="false"/>
        <w:keepLines/>
        <w:pBdr>
          <w:left w:val="single" w:color="BFBFBF" w:sz="18" w:space="6"/>
        </w:pBdr>
        <w:shd w:fill="F4F4F4" w:color="auto" w:val="clear"/>
        <w:spacing w:after="16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API ─► recibo PDF y aviso al cliente</w:t>
      </w:r>
    </w:p>
    <w:p>
      <w:pPr>
        <w:pStyle w:val="Heading2"/>
        <w:keepNext/>
        <w:spacing w:before="260" w:after="110"/>
      </w:pPr>
      <w:r>
        <w:rPr>
          <w:rFonts w:ascii="Arial" w:cs="Arial" w:eastAsia="Arial" w:hAnsi="Arial"/>
          <w:b/>
          <w:bCs/>
          <w:color w:val="4A4A4A"/>
          <w:sz w:val="25"/>
          <w:szCs w:val="25"/>
        </w:rPr>
        <w:t xml:space="preserve">6.3 Atención del servicio</w:t>
      </w:r>
    </w:p>
    <w:p>
      <w:pPr>
        <w:keepNext/>
        <w:keepLines/>
        <w:pBdr>
          <w:left w:val="single" w:color="BFBFBF" w:sz="18" w:space="6"/>
        </w:pBdr>
        <w:shd w:fill="F4F4F4" w:color="auto" w:val="clear"/>
        <w:spacing w:after="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confirmada ─► Iniciar (ServiceStartGuard: fecha, margen, pago resuelto) ─► en proceso</w:t>
      </w:r>
    </w:p>
    <w:p>
      <w:pPr>
        <w:keepNext/>
        <w:keepLines/>
        <w:pBdr>
          <w:left w:val="single" w:color="BFBFBF" w:sz="18" w:space="6"/>
        </w:pBdr>
        <w:shd w:fill="F4F4F4" w:color="auto" w:val="clear"/>
        <w:spacing w:after="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en proceso ─► aviso a 5 min del final: terminar ya / agregar tiempo ─► Completar</w:t>
      </w:r>
    </w:p>
    <w:p>
      <w:pPr>
        <w:keepNext w:val="false"/>
        <w:keepLines/>
        <w:pBdr>
          <w:left w:val="single" w:color="BFBFBF" w:sz="18" w:space="6"/>
        </w:pBdr>
        <w:shd w:fill="F4F4F4" w:color="auto" w:val="clear"/>
        <w:spacing w:after="16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completada ─► puntos y nivel (LoyaltyService) · comisión del barbero · solicitud de reseña</w:t>
      </w:r>
    </w:p>
    <w:p>
      <w:pPr>
        <w:pStyle w:val="Heading1"/>
        <w:keepNext/>
        <w:pageBreakBefore/>
        <w:pBdr>
          <w:bottom w:val="single" w:color="C9A227" w:sz="12" w:space="4"/>
        </w:pBdr>
        <w:spacing w:before="0" w:after="1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7. Diseño de seguridad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5"/>
        <w:gridCol w:w="8225"/>
      </w:tblGrid>
      <w:tr>
        <w:trPr>
          <w:cantSplit/>
          <w:tblHeader/>
        </w:trPr>
        <w:tc>
          <w:tcPr>
            <w:tcW w:type="dxa" w:w="1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Frontera</w:t>
            </w:r>
          </w:p>
        </w:tc>
        <w:tc>
          <w:tcPr>
            <w:tcW w:type="dxa" w:w="8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</w:t>
            </w:r>
          </w:p>
        </w:tc>
      </w:tr>
      <w:tr>
        <w:trPr>
          <w:cantSplit/>
        </w:trPr>
        <w:tc>
          <w:tcPr>
            <w:tcW w:type="dxa" w:w="1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Identidad</w:t>
            </w:r>
          </w:p>
        </w:tc>
        <w:tc>
          <w:tcPr>
            <w:tcW w:type="dxa" w:w="8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Token Bearer propio con hash SHA-256 y vigencia deslizante; Google con verificación en el servidor.</w:t>
            </w:r>
          </w:p>
        </w:tc>
      </w:tr>
      <w:tr>
        <w:trPr>
          <w:cantSplit/>
        </w:trPr>
        <w:tc>
          <w:tcPr>
            <w:tcW w:type="dxa" w:w="1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Autorización</w:t>
            </w:r>
          </w:p>
        </w:tc>
        <w:tc>
          <w:tcPr>
            <w:tcW w:type="dxa" w:w="8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Rol y permiso en la ruta y </w:t>
            </w: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pertenencia del recurso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 en el controlador.</w:t>
            </w:r>
          </w:p>
        </w:tc>
      </w:tr>
      <w:tr>
        <w:trPr>
          <w:cantSplit/>
        </w:trPr>
        <w:tc>
          <w:tcPr>
            <w:tcW w:type="dxa" w:w="1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Entradas</w:t>
            </w:r>
          </w:p>
        </w:tc>
        <w:tc>
          <w:tcPr>
            <w:tcW w:type="dxa" w:w="8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Validación por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FormRequest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; rechazo de operadores Mongo del cliente.</w:t>
            </w:r>
          </w:p>
        </w:tc>
      </w:tr>
      <w:tr>
        <w:trPr>
          <w:cantSplit/>
        </w:trPr>
        <w:tc>
          <w:tcPr>
            <w:tcW w:type="dxa" w:w="1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Red</w:t>
            </w:r>
          </w:p>
        </w:tc>
        <w:tc>
          <w:tcPr>
            <w:tcW w:type="dxa" w:w="8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Detrás de CloudFront y un ALB que solo acepta tráfico de CloudFront; límite por IP con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TRUSTED_PROXY_HOPS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Navegador</w:t>
            </w:r>
          </w:p>
        </w:tc>
        <w:tc>
          <w:tcPr>
            <w:tcW w:type="dxa" w:w="8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CSP con nonce, HSTS en producción, cookie de sesión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SameSite=Lax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 y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Secure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Archivos</w:t>
            </w:r>
          </w:p>
        </w:tc>
        <w:tc>
          <w:tcPr>
            <w:tcW w:type="dxa" w:w="8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Validación y optimización de imágenes; comprobantes con URL temporal de 15 minutos.</w:t>
            </w:r>
          </w:p>
        </w:tc>
      </w:tr>
      <w:tr>
        <w:trPr>
          <w:cantSplit/>
        </w:trPr>
        <w:tc>
          <w:tcPr>
            <w:tcW w:type="dxa" w:w="1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Secretos</w:t>
            </w:r>
          </w:p>
        </w:tc>
        <w:tc>
          <w:tcPr>
            <w:tcW w:type="dxa" w:w="8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Gestor de secretos; plantillas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.env.example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 sin valores.</w:t>
            </w:r>
          </w:p>
        </w:tc>
      </w:tr>
      <w:tr>
        <w:trPr>
          <w:cantSplit/>
        </w:trPr>
        <w:tc>
          <w:tcPr>
            <w:tcW w:type="dxa" w:w="1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Operación</w:t>
            </w:r>
          </w:p>
        </w:tc>
        <w:tc>
          <w:tcPr>
            <w:tcW w:type="dxa" w:w="8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Bitácora de actividad, Pulse y registro de peticiones lentas.</w:t>
            </w:r>
          </w:p>
        </w:tc>
      </w:tr>
    </w:tbl>
    <w:p>
      <w:pPr>
        <w:spacing w:after="140"/>
      </w:pPr>
    </w:p>
    <w:p>
      <w:pPr>
        <w:pStyle w:val="Heading1"/>
        <w:keepNext/>
        <w:pageBreakBefore/>
        <w:pBdr>
          <w:bottom w:val="single" w:color="C9A227" w:sz="12" w:space="4"/>
        </w:pBdr>
        <w:spacing w:before="0" w:after="1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8. Diseño de la interfaz</w:t>
      </w:r>
    </w:p>
    <w:p>
      <w:pPr>
        <w:pStyle w:val="Heading2"/>
        <w:keepNext/>
        <w:spacing w:before="260" w:after="110"/>
      </w:pPr>
      <w:r>
        <w:rPr>
          <w:rFonts w:ascii="Arial" w:cs="Arial" w:eastAsia="Arial" w:hAnsi="Arial"/>
          <w:b/>
          <w:bCs/>
          <w:color w:val="4A4A4A"/>
          <w:sz w:val="25"/>
          <w:szCs w:val="25"/>
        </w:rPr>
        <w:t xml:space="preserve">8.1 Identidad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Cuatro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temas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: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noir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acero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salon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y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libreta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. Comparten navegación y permisos; solo cambian color y estilo.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Tres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mascotas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acompañan los estados de la interfaz: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Nava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(orientación y estados vacíos),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Bladebot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(asistencia, espera y éxito) y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Bruno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(conocimiento, errores y reportes). Nunca tapan acciones ni sustituyen texto accesible.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Paleta de los entregables del equipo: negro y oro.</w:t>
      </w:r>
    </w:p>
    <w:p>
      <w:pPr>
        <w:spacing w:after="60"/>
      </w:pPr>
    </w:p>
    <w:p>
      <w:pPr>
        <w:pStyle w:val="Heading2"/>
        <w:keepNext/>
        <w:spacing w:before="260" w:after="110"/>
      </w:pPr>
      <w:r>
        <w:rPr>
          <w:rFonts w:ascii="Arial" w:cs="Arial" w:eastAsia="Arial" w:hAnsi="Arial"/>
          <w:b/>
          <w:bCs/>
          <w:color w:val="4A4A4A"/>
          <w:sz w:val="25"/>
          <w:szCs w:val="25"/>
        </w:rPr>
        <w:t xml:space="preserve">8.2 Navegación por rol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El menú lateral se arma según el rol: Principal (Dashboard, Muro, Notificaciones), Operación, Gestión, Análisis, Sistema, Mi Espacio (barbero) y tres grupos para el cliente (Reservar, Tienda y Beneficios). En móvil se convierte en un cajón y una barra inferior con las acciones principales.</w:t>
      </w:r>
    </w:p>
    <w:p>
      <w:pPr>
        <w:pStyle w:val="Heading2"/>
        <w:keepNext/>
        <w:spacing w:before="260" w:after="110"/>
      </w:pPr>
      <w:r>
        <w:rPr>
          <w:rFonts w:ascii="Arial" w:cs="Arial" w:eastAsia="Arial" w:hAnsi="Arial"/>
          <w:b/>
          <w:bCs/>
          <w:color w:val="4A4A4A"/>
          <w:sz w:val="25"/>
          <w:szCs w:val="25"/>
        </w:rPr>
        <w:t xml:space="preserve">8.3 Criterios de interfaz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Foco visible, controles con nombre accesible y soporte de movimiento reducido.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Objetivo interno de 44 px para las áreas táctiles.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Estados vacíos, de carga y de error que expliquen la acción disponible.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Reutilizar el kit existente antes de crear otro selector, modal, insignia o tabla.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No sustituir datos ausentes por cifras inventadas.</w:t>
      </w:r>
    </w:p>
    <w:p>
      <w:pPr>
        <w:spacing w:after="60"/>
      </w:pPr>
    </w:p>
    <w:p>
      <w:pPr>
        <w:pStyle w:val="Heading2"/>
        <w:keepNext/>
        <w:spacing w:before="260" w:after="110"/>
      </w:pPr>
      <w:r>
        <w:rPr>
          <w:rFonts w:ascii="Arial" w:cs="Arial" w:eastAsia="Arial" w:hAnsi="Arial"/>
          <w:b/>
          <w:bCs/>
          <w:color w:val="4A4A4A"/>
          <w:sz w:val="25"/>
          <w:szCs w:val="25"/>
        </w:rPr>
        <w:t xml:space="preserve">8.4 PWA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El service worker maneja notificaciones push y cachés limitadas (navegación con red primero, recursos con caché primero). Omite métodos distintos de GET, otros orígenes y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/api/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.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No admite reservas ni cobros sin conexión.</w:t>
      </w:r>
    </w:p>
    <w:p>
      <w:pPr>
        <w:pStyle w:val="Heading1"/>
        <w:keepNext/>
        <w:pageBreakBefore/>
        <w:pBdr>
          <w:bottom w:val="single" w:color="C9A227" w:sz="12" w:space="4"/>
        </w:pBdr>
        <w:spacing w:before="0" w:after="1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9. Decisiones de arquitectura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44"/>
        <w:gridCol w:w="5723"/>
        <w:gridCol w:w="3413"/>
      </w:tblGrid>
      <w:tr>
        <w:trPr>
          <w:cantSplit/>
          <w:tblHeader/>
        </w:trPr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7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Decisión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D01</w:t>
            </w:r>
          </w:p>
        </w:tc>
        <w:tc>
          <w:tcPr>
            <w:tcW w:type="dxa" w:w="57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Backend JSON con clientes web y Android separados.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Implementada</w:t>
            </w:r>
          </w:p>
        </w:tc>
      </w:tr>
      <w:tr>
        <w:trPr>
          <w:cantSplit/>
        </w:trPr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D02</w:t>
            </w:r>
          </w:p>
        </w:tc>
        <w:tc>
          <w:tcPr>
            <w:tcW w:type="dxa" w:w="57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Tokens Bearer propios guardados como hash (no Sanctum).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Implementada</w:t>
            </w:r>
          </w:p>
        </w:tc>
      </w:tr>
      <w:tr>
        <w:trPr>
          <w:cantSplit/>
        </w:trPr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D03</w:t>
            </w:r>
          </w:p>
        </w:tc>
        <w:tc>
          <w:tcPr>
            <w:tcW w:type="dxa" w:w="57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Monolito modular con servicios de dominio.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Implementada</w:t>
            </w:r>
          </w:p>
        </w:tc>
      </w:tr>
      <w:tr>
        <w:trPr>
          <w:cantSplit/>
        </w:trPr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D04</w:t>
            </w:r>
          </w:p>
        </w:tc>
        <w:tc>
          <w:tcPr>
            <w:tcW w:type="dxa" w:w="57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Separar cargas de datos, no una base por entidad.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Implementada</w:t>
            </w:r>
          </w:p>
        </w:tc>
      </w:tr>
      <w:tr>
        <w:trPr>
          <w:cantSplit/>
        </w:trPr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D05</w:t>
            </w:r>
          </w:p>
        </w:tc>
        <w:tc>
          <w:tcPr>
            <w:tcW w:type="dxa" w:w="57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Replica set en desarrollo y pruebas por las transacciones.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Implementada</w:t>
            </w:r>
          </w:p>
        </w:tc>
      </w:tr>
      <w:tr>
        <w:trPr>
          <w:cantSplit/>
        </w:trPr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D06</w:t>
            </w:r>
          </w:p>
        </w:tc>
        <w:tc>
          <w:tcPr>
            <w:tcW w:type="dxa" w:w="57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Precio, descuentos, saldo y stock calculados en el servidor.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Implementada</w:t>
            </w:r>
          </w:p>
        </w:tc>
      </w:tr>
      <w:tr>
        <w:trPr>
          <w:cantSplit/>
        </w:trPr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D07</w:t>
            </w:r>
          </w:p>
        </w:tc>
        <w:tc>
          <w:tcPr>
            <w:tcW w:type="dxa" w:w="57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Estado de la cita separado del estado del pago.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Implementada</w:t>
            </w:r>
          </w:p>
        </w:tc>
      </w:tr>
      <w:tr>
        <w:trPr>
          <w:cantSplit/>
        </w:trPr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D08</w:t>
            </w:r>
          </w:p>
        </w:tc>
        <w:tc>
          <w:tcPr>
            <w:tcW w:type="dxa" w:w="57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Recursos públicos separados de los comprobantes.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Implementada</w:t>
            </w:r>
          </w:p>
        </w:tc>
      </w:tr>
      <w:tr>
        <w:trPr>
          <w:cantSplit/>
        </w:trPr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D09</w:t>
            </w:r>
          </w:p>
        </w:tc>
        <w:tc>
          <w:tcPr>
            <w:tcW w:type="dxa" w:w="57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OpenAPI y tipos generados para los clientes.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Implementada (cobertura parcial)</w:t>
            </w:r>
          </w:p>
        </w:tc>
      </w:tr>
      <w:tr>
        <w:trPr>
          <w:cantSplit/>
        </w:trPr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D10</w:t>
            </w:r>
          </w:p>
        </w:tc>
        <w:tc>
          <w:tcPr>
            <w:tcW w:type="dxa" w:w="57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Cambios por rama y PR; publicar es una decisión aparte.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Vigente</w:t>
            </w:r>
          </w:p>
        </w:tc>
      </w:tr>
    </w:tbl>
    <w:p>
      <w:pPr>
        <w:spacing w:after="140"/>
      </w:pP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El registro completo está en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docs/referencia/DECISIONES.md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y la decisión de datos en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docs/referencia/ADR-001-ARQUITECTURA-DE-DATOS.md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.</w:t>
      </w:r>
    </w:p>
    <w:p>
      <w:pPr>
        <w:pStyle w:val="Heading1"/>
        <w:keepNext/>
        <w:pageBreakBefore/>
        <w:pBdr>
          <w:bottom w:val="single" w:color="C9A227" w:sz="12" w:space="4"/>
        </w:pBdr>
        <w:spacing w:before="0" w:after="1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10. Calidad y escalabilidad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Escalar la API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a varias réplicas exige un almacén compartido para el límite de intentos (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CACHE_LIMITER_STORE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) y para el mutex del planificador (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SCHEDULE_CACHE_STORE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); de lo contrario cada réplica cuenta por su cuenta y repite las tareas.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Colas: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los trabajos diferidos (por ejemplo el OCR de comprobantes) necesitan un worker; en staging las colas son síncronas.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Capacidad: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el rendimiento y la capacidad no se han medido con carga representativa; los datos de prueba son pequeños.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Observabilidad: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Pulse, Sentry (opcional) y logs en CloudWatch.</w:t>
      </w:r>
    </w:p>
    <w:p>
      <w:pPr>
        <w:spacing w:after="60"/>
      </w:pPr>
    </w:p>
    <w:p>
      <w:pPr>
        <w:pStyle w:val="Heading1"/>
        <w:keepNext/>
        <w:pageBreakBefore/>
        <w:pBdr>
          <w:bottom w:val="single" w:color="C9A227" w:sz="12" w:space="4"/>
        </w:pBdr>
        <w:spacing w:before="0" w:after="1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11. Limitaciones conocidas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No hay producción: nada de lo descrito certifica comportamiento con datos o tráfico reales.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El filtro de abuso del frontend guarda estado en memoria; no es un limitador distribuido.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La caché del service worker no excluye específicamente las rutas con sesión; el objetivo es no almacenar tokens ni datos privados, pero conviene revisarlo antes de asumirlo.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El backend de staging no tiene Redis.</w:t>
      </w:r>
    </w:p>
    <w:p>
      <w:pPr>
        <w:spacing w:after="60"/>
      </w:pPr>
    </w:p>
    <w:sectPr>
      <w:footerReference w:type="default" r:id="rId6"/>
      <w:pgSz w:w="12240" w:h="15840" w:orient="portrait"/>
      <w:pgMar w:top="900" w:right="1080" w:bottom="1000" w:left="108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227" w:sz="8" w:space="4"/>
      </w:pBdr>
    </w:pPr>
    <w:r>
      <w:rPr>
        <w:rFonts w:ascii="Arial" w:cs="Arial" w:eastAsia="Arial" w:hAnsi="Arial"/>
        <w:color w:val="595959"/>
        <w:sz w:val="16"/>
        <w:szCs w:val="16"/>
      </w:rPr>
      <w:t xml:space="preserve">UrbanBlade · Diseño y Arquitectura · página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8A6D1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sz w:val="25"/>
      <w:szCs w:val="25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Arial" w:cs="Arial" w:eastAsia="Arial" w:hAnsi="Arial"/>
      <w:b/>
      <w:bCs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1b0a71bbf4a7afa0b70023fb654e9ca486464019.png"/><Relationship Id="rId8" Type="http://schemas.openxmlformats.org/officeDocument/2006/relationships/image" Target="media/5948c1eb746f91bfbbe7b60dfda244f3b96b4d66.png"/><Relationship Id="rId9" Type="http://schemas.openxmlformats.org/officeDocument/2006/relationships/image" Target="media/d7beccaa6700822d441b0a0f64b240c36cee26c9.png"/><Relationship Id="rId10" Type="http://schemas.openxmlformats.org/officeDocument/2006/relationships/image" Target="media/c825194227ad8a21e6920bed72d87eb76b80b02a.png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UrbanBlade — Diseño y Arquitectura</dc:title>
  <dc:creator>Equipo UrbanBlade</dc:creator>
  <dc:description>Arquitectura lógica y física, modelo de datos, flujos, seguridad e interfaz de UrbanBlade.</dc:description>
  <cp:lastModifiedBy>Un-named</cp:lastModifiedBy>
  <cp:revision>1</cp:revision>
  <dcterms:created xsi:type="dcterms:W3CDTF">2026-10-28T18:29:20.374Z</dcterms:created>
  <dcterms:modified xsi:type="dcterms:W3CDTF">2026-10-28T18:29:20.374Z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