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300"/>
        <w:gridCol w:w="8780"/>
      </w:tblGrid>
      <w:tr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1F1F" w:color="auto" w:val="clear"/>
            <w:tcMar>
              <w:top w:type="dxa" w:w="140"/>
              <w:left w:type="dxa" w:w="160"/>
              <w:bottom w:type="dxa" w:w="140"/>
              <w:right w:type="dxa" w:w="60"/>
            </w:tcMar>
            <w:vAlign w:val="center"/>
          </w:tcPr>
          <w:p>
            <w:r>
              <w:drawing>
                <wp:inline distT="0" distB="0" distL="0" distR="0">
                  <wp:extent cx="590550" cy="590550"/>
                  <wp:effectExtent t="0" r="0" b="0" l="0"/>
                  <wp:docPr id="1" name="logo" descr="Logotipo de UrbanBlade" title="UrbanBlad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0550" cy="590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7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1F1F" w:color="auto" w:val="clear"/>
            <w:tcMar>
              <w:top w:type="dxa" w:w="140"/>
              <w:left w:type="dxa" w:w="120"/>
              <w:bottom w:type="dxa" w:w="140"/>
              <w:right w:type="dxa" w:w="160"/>
            </w:tcMar>
            <w:vAlign w:val="center"/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URBAN BLADE  —  ADMINISTRADOR DE SISTEMAS</w:t>
            </w:r>
          </w:p>
          <w:p>
            <w:r>
              <w:rPr>
                <w:rFonts w:ascii="Arial" w:cs="Arial" w:eastAsia="Arial" w:hAnsi="Arial"/>
                <w:color w:val="C9A227"/>
                <w:sz w:val="20"/>
                <w:szCs w:val="20"/>
              </w:rPr>
              <w:t xml:space="preserve">Sistema de gestión de citas para barbería</w:t>
            </w:r>
          </w:p>
        </w:tc>
      </w:tr>
    </w:tbl>
    <w:p>
      <w:pPr>
        <w:spacing w:after="300"/>
      </w:pP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F1F1F"/>
          <w:sz w:val="52"/>
          <w:szCs w:val="52"/>
        </w:rPr>
        <w:t xml:space="preserve">Administrador de Sistemas</w:t>
      </w:r>
    </w:p>
    <w:p>
      <w:pPr>
        <w:spacing w:after="360"/>
        <w:jc w:val="center"/>
      </w:pPr>
      <w:r>
        <w:rPr>
          <w:rFonts w:ascii="Arial" w:cs="Arial" w:eastAsia="Arial" w:hAnsi="Arial"/>
          <w:color w:val="595959"/>
          <w:sz w:val="24"/>
          <w:szCs w:val="24"/>
        </w:rPr>
        <w:t xml:space="preserve">Guía de operación diaria del entorno de pruebas de UrbanBlade en AWS, MongoDB Atlas y los servicios asociados.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360"/>
        <w:gridCol w:w="3360"/>
        <w:gridCol w:w="3360"/>
      </w:tblGrid>
      <w:tr>
        <w:tc>
          <w:tcPr>
            <w:tcW w:type="dxa" w:w="3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1238250" cy="1857375"/>
                  <wp:effectExtent t="0" r="0" b="0" l="0"/>
                  <wp:docPr id="1" name="Bladebot" descr="Bladebot, Asistente de precisión" title="Bladebo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0" cy="1857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6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1F1F1F"/>
                <w:sz w:val="22"/>
                <w:szCs w:val="22"/>
              </w:rPr>
              <w:t xml:space="preserve">Bladebot</w:t>
            </w:r>
          </w:p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b/>
                <w:bCs/>
                <w:color w:val="8A6D12"/>
                <w:sz w:val="16"/>
                <w:szCs w:val="16"/>
              </w:rPr>
              <w:t xml:space="preserve">Asistente de precisión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95959"/>
                <w:sz w:val="15"/>
                <w:szCs w:val="15"/>
              </w:rPr>
              <w:t xml:space="preserve">Acompaña las tareas del día a día.</w:t>
            </w:r>
          </w:p>
        </w:tc>
        <w:tc>
          <w:tcPr>
            <w:tcW w:type="dxa" w:w="3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1238250" cy="1857375"/>
                  <wp:effectExtent t="0" r="0" b="0" l="0"/>
                  <wp:docPr id="1" name="Nava" descr="Nava, Guía de experiencia" title="Nav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0" cy="1857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6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1F1F1F"/>
                <w:sz w:val="22"/>
                <w:szCs w:val="22"/>
              </w:rPr>
              <w:t xml:space="preserve">Nava</w:t>
            </w:r>
          </w:p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b/>
                <w:bCs/>
                <w:color w:val="8A6D12"/>
                <w:sz w:val="16"/>
                <w:szCs w:val="16"/>
              </w:rPr>
              <w:t xml:space="preserve">Guía de experiencia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95959"/>
                <w:sz w:val="15"/>
                <w:szCs w:val="15"/>
              </w:rPr>
              <w:t xml:space="preserve">Orienta y explica el camino.</w:t>
            </w:r>
          </w:p>
        </w:tc>
        <w:tc>
          <w:tcPr>
            <w:tcW w:type="dxa" w:w="3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1238250" cy="1857375"/>
                  <wp:effectExtent t="0" r="0" b="0" l="0"/>
                  <wp:docPr id="1" name="Bruno" descr="Bruno, Guardián del conocimiento" title="Brun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0" cy="1857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6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1F1F1F"/>
                <w:sz w:val="22"/>
                <w:szCs w:val="22"/>
              </w:rPr>
              <w:t xml:space="preserve">Bruno</w:t>
            </w:r>
          </w:p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b/>
                <w:bCs/>
                <w:color w:val="8A6D12"/>
                <w:sz w:val="16"/>
                <w:szCs w:val="16"/>
              </w:rPr>
              <w:t xml:space="preserve">Guardián del conocimiento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95959"/>
                <w:sz w:val="15"/>
                <w:szCs w:val="15"/>
              </w:rPr>
              <w:t xml:space="preserve">Cuida los datos y la seguridad.</w:t>
            </w:r>
          </w:p>
        </w:tc>
      </w:tr>
    </w:tbl>
    <w:p>
      <w:pPr>
        <w:spacing w:after="36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47"/>
        <w:gridCol w:w="8133"/>
      </w:tblGrid>
      <w:tr>
        <w:trPr>
          <w:cantSplit/>
          <w:tblHeader/>
        </w:trPr>
        <w:tc>
          <w:tcPr>
            <w:tcW w:type="dxa" w:w="19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4A4A4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Dato</w:t>
            </w:r>
          </w:p>
        </w:tc>
        <w:tc>
          <w:tcPr>
            <w:tcW w:type="dxa" w:w="81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4A4A4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Valor</w:t>
            </w:r>
          </w:p>
        </w:tc>
      </w:tr>
      <w:tr>
        <w:trPr>
          <w:cantSplit/>
        </w:trPr>
        <w:tc>
          <w:tcPr>
            <w:tcW w:type="dxa" w:w="19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1F1F1F"/>
                <w:sz w:val="17"/>
                <w:szCs w:val="17"/>
              </w:rPr>
              <w:t xml:space="preserve">Documento</w:t>
            </w:r>
          </w:p>
        </w:tc>
        <w:tc>
          <w:tcPr>
            <w:tcW w:type="dxa" w:w="81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color w:val="1F1F1F"/>
                <w:sz w:val="17"/>
                <w:szCs w:val="17"/>
              </w:rPr>
              <w:t xml:space="preserve">Guía del Administrador de Sistemas de UrbanBlade</w:t>
            </w:r>
          </w:p>
        </w:tc>
      </w:tr>
      <w:tr>
        <w:trPr>
          <w:cantSplit/>
        </w:trPr>
        <w:tc>
          <w:tcPr>
            <w:tcW w:type="dxa" w:w="19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4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1F1F1F"/>
                <w:sz w:val="17"/>
                <w:szCs w:val="17"/>
              </w:rPr>
              <w:t xml:space="preserve">Versión</w:t>
            </w:r>
          </w:p>
        </w:tc>
        <w:tc>
          <w:tcPr>
            <w:tcW w:type="dxa" w:w="81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4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color w:val="1F1F1F"/>
                <w:sz w:val="17"/>
                <w:szCs w:val="17"/>
              </w:rPr>
              <w:t xml:space="preserve">2.0 · 28 de octubre de 2026</w:t>
            </w:r>
          </w:p>
        </w:tc>
      </w:tr>
      <w:tr>
        <w:trPr>
          <w:cantSplit/>
        </w:trPr>
        <w:tc>
          <w:tcPr>
            <w:tcW w:type="dxa" w:w="19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1F1F1F"/>
                <w:sz w:val="17"/>
                <w:szCs w:val="17"/>
              </w:rPr>
              <w:t xml:space="preserve">Audiencia</w:t>
            </w:r>
          </w:p>
        </w:tc>
        <w:tc>
          <w:tcPr>
            <w:tcW w:type="dxa" w:w="81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color w:val="1F1F1F"/>
                <w:sz w:val="17"/>
                <w:szCs w:val="17"/>
              </w:rPr>
              <w:t xml:space="preserve">Quien opera la infraestructura (AWS, Atlas, DNS, secretos)</w:t>
            </w:r>
          </w:p>
        </w:tc>
      </w:tr>
      <w:tr>
        <w:trPr>
          <w:cantSplit/>
        </w:trPr>
        <w:tc>
          <w:tcPr>
            <w:tcW w:type="dxa" w:w="19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4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1F1F1F"/>
                <w:sz w:val="17"/>
                <w:szCs w:val="17"/>
              </w:rPr>
              <w:t xml:space="preserve">Fuente</w:t>
            </w:r>
          </w:p>
        </w:tc>
        <w:tc>
          <w:tcPr>
            <w:tcW w:type="dxa" w:w="81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4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7A5A00"/>
                <w:sz w:val="15"/>
                <w:szCs w:val="15"/>
              </w:rPr>
              <w:t xml:space="preserve">docs/referencia/DESPLIEGUE_AWS_STAGING.md</w:t>
            </w:r>
            <w:r>
              <w:rPr>
                <w:rFonts w:ascii="Arial" w:cs="Arial" w:eastAsia="Arial" w:hAnsi="Arial"/>
                <w:color w:val="1F1F1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color w:val="7A5A00"/>
                <w:sz w:val="15"/>
                <w:szCs w:val="15"/>
              </w:rPr>
              <w:t xml:space="preserve">docs/referencia/MONGODB_ATLAS.md</w:t>
            </w:r>
            <w:r>
              <w:rPr>
                <w:rFonts w:ascii="Arial" w:cs="Arial" w:eastAsia="Arial" w:hAnsi="Arial"/>
                <w:color w:val="1F1F1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color w:val="7A5A00"/>
                <w:sz w:val="15"/>
                <w:szCs w:val="15"/>
              </w:rPr>
              <w:t xml:space="preserve">docs/referencia/CONTINUIDAD_OPERATIVA.md</w:t>
            </w:r>
            <w:r>
              <w:rPr>
                <w:rFonts w:ascii="Arial" w:cs="Arial" w:eastAsia="Arial" w:hAnsi="Arial"/>
                <w:color w:val="1F1F1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color w:val="7A5A00"/>
                <w:sz w:val="15"/>
                <w:szCs w:val="15"/>
              </w:rPr>
              <w:t xml:space="preserve">docs/referencia/PLAN_ROTACION_CREDENCIALES.md</w:t>
            </w:r>
            <w:r>
              <w:rPr>
                <w:rFonts w:ascii="Arial" w:cs="Arial" w:eastAsia="Arial" w:hAnsi="Arial"/>
                <w:color w:val="1F1F1F"/>
                <w:sz w:val="17"/>
                <w:szCs w:val="17"/>
              </w:rPr>
              <w:t xml:space="preserve"> y el estado de AWS leído en solo lectura el 28 de octubre de 2026</w:t>
            </w:r>
          </w:p>
        </w:tc>
      </w:tr>
      <w:tr>
        <w:trPr>
          <w:cantSplit/>
        </w:trPr>
        <w:tc>
          <w:tcPr>
            <w:tcW w:type="dxa" w:w="19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1F1F1F"/>
                <w:sz w:val="17"/>
                <w:szCs w:val="17"/>
              </w:rPr>
              <w:t xml:space="preserve">Clasificación</w:t>
            </w:r>
          </w:p>
        </w:tc>
        <w:tc>
          <w:tcPr>
            <w:tcW w:type="dxa" w:w="81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color w:val="1F1F1F"/>
                <w:sz w:val="17"/>
                <w:szCs w:val="17"/>
              </w:rPr>
              <w:t xml:space="preserve">Uso interno. Sin credenciales; los identificadores de cuenta no se reproducen</w:t>
            </w:r>
          </w:p>
        </w:tc>
      </w:tr>
    </w:tbl>
    <w:p>
      <w:r>
        <w:br w:type="page"/>
      </w:r>
    </w:p>
    <w:p>
      <w:pPr>
        <w:pBdr>
          <w:bottom w:val="single" w:color="C9A227" w:sz="12" w:space="4"/>
        </w:pBdr>
        <w:spacing w:after="160"/>
      </w:pPr>
      <w:r>
        <w:rPr>
          <w:rFonts w:ascii="Arial" w:cs="Arial" w:eastAsia="Arial" w:hAnsi="Arial"/>
          <w:b/>
          <w:bCs/>
          <w:color w:val="1F1F1F"/>
          <w:sz w:val="32"/>
          <w:szCs w:val="32"/>
        </w:rPr>
        <w:t xml:space="preserve">Índice</w:t>
      </w:r>
    </w:p>
    <w:sdt>
      <w:sdtPr>
        <w:alias w:val="Índice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pPr>
        <w:spacing w:before="120"/>
      </w:pPr>
      <w:r>
        <w:rPr>
          <w:rFonts w:ascii="Arial" w:cs="Arial" w:eastAsia="Arial" w:hAnsi="Arial"/>
          <w:color w:val="595959"/>
          <w:sz w:val="16"/>
          <w:szCs w:val="16"/>
        </w:rPr>
        <w:t xml:space="preserve">Si el índice aparece vacío, en Word: clic derecho sobre él → Actualizar campos.</w:t>
      </w:r>
    </w:p>
    <w:p>
      <w:pPr>
        <w:pStyle w:val="Heading1"/>
        <w:keepNext/>
        <w:pageBreakBefore/>
        <w:pBdr>
          <w:bottom w:val="single" w:color="C9A227" w:sz="12" w:space="4"/>
        </w:pBdr>
        <w:spacing w:before="0" w:after="160"/>
      </w:pPr>
      <w:r>
        <w:rPr>
          <w:rFonts w:ascii="Arial" w:cs="Arial" w:eastAsia="Arial" w:hAnsi="Arial"/>
          <w:b/>
          <w:bCs/>
          <w:color w:val="1F1F1F"/>
          <w:sz w:val="32"/>
          <w:szCs w:val="32"/>
        </w:rPr>
        <w:t xml:space="preserve">1. Responsabilidades y alcance</w:t>
      </w:r>
    </w:p>
    <w:p>
      <w:pPr>
        <w:spacing w:before="0" w:after="100" w:line="276"/>
      </w:pPr>
      <w:r>
        <w:rPr>
          <w:rFonts w:ascii="Arial" w:cs="Arial" w:eastAsia="Arial" w:hAnsi="Arial"/>
          <w:color w:val="1F1F1F"/>
          <w:sz w:val="20"/>
          <w:szCs w:val="20"/>
        </w:rPr>
        <w:t xml:space="preserve">El administrador de sistemas mantiene </w:t>
      </w:r>
      <w:r>
        <w:rPr>
          <w:rFonts w:ascii="Arial" w:cs="Arial" w:eastAsia="Arial" w:hAnsi="Arial"/>
          <w:b/>
          <w:bCs/>
          <w:color w:val="1F1F1F"/>
          <w:sz w:val="20"/>
          <w:szCs w:val="20"/>
        </w:rPr>
        <w:t xml:space="preserve">disponible, seguro y recuperable</w:t>
      </w:r>
      <w:r>
        <w:rPr>
          <w:rFonts w:ascii="Arial" w:cs="Arial" w:eastAsia="Arial" w:hAnsi="Arial"/>
          <w:color w:val="1F1F1F"/>
          <w:sz w:val="20"/>
          <w:szCs w:val="20"/>
        </w:rPr>
        <w:t xml:space="preserve"> el entorno de pruebas. Opera cuatro cosas: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723"/>
        <w:gridCol w:w="7357"/>
      </w:tblGrid>
      <w:tr>
        <w:trPr>
          <w:cantSplit/>
          <w:tblHeader/>
        </w:trPr>
        <w:tc>
          <w:tcPr>
            <w:tcW w:type="dxa" w:w="27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4A4A4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Área</w:t>
            </w:r>
          </w:p>
        </w:tc>
        <w:tc>
          <w:tcPr>
            <w:tcW w:type="dxa" w:w="73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4A4A4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Qué incluye</w:t>
            </w:r>
          </w:p>
        </w:tc>
      </w:tr>
      <w:tr>
        <w:trPr>
          <w:cantSplit/>
        </w:trPr>
        <w:tc>
          <w:tcPr>
            <w:tcW w:type="dxa" w:w="27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1F1F1F"/>
                <w:sz w:val="17"/>
                <w:szCs w:val="17"/>
              </w:rPr>
              <w:t xml:space="preserve">Cómputo</w:t>
            </w:r>
          </w:p>
        </w:tc>
        <w:tc>
          <w:tcPr>
            <w:tcW w:type="dxa" w:w="73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color w:val="1F1F1F"/>
                <w:sz w:val="17"/>
                <w:szCs w:val="17"/>
              </w:rPr>
              <w:t xml:space="preserve">Servicios en ECS Fargate, balanceador, CloudFront e imágenes en ECR.</w:t>
            </w:r>
          </w:p>
        </w:tc>
      </w:tr>
      <w:tr>
        <w:trPr>
          <w:cantSplit/>
        </w:trPr>
        <w:tc>
          <w:tcPr>
            <w:tcW w:type="dxa" w:w="27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4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1F1F1F"/>
                <w:sz w:val="17"/>
                <w:szCs w:val="17"/>
              </w:rPr>
              <w:t xml:space="preserve">Datos</w:t>
            </w:r>
          </w:p>
        </w:tc>
        <w:tc>
          <w:tcPr>
            <w:tcW w:type="dxa" w:w="73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4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color w:val="1F1F1F"/>
                <w:sz w:val="17"/>
                <w:szCs w:val="17"/>
              </w:rPr>
              <w:t xml:space="preserve">MongoDB Atlas, buckets S3, respaldos y restauración.</w:t>
            </w:r>
          </w:p>
        </w:tc>
      </w:tr>
      <w:tr>
        <w:trPr>
          <w:cantSplit/>
        </w:trPr>
        <w:tc>
          <w:tcPr>
            <w:tcW w:type="dxa" w:w="27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1F1F1F"/>
                <w:sz w:val="17"/>
                <w:szCs w:val="17"/>
              </w:rPr>
              <w:t xml:space="preserve">Identidad y secretos</w:t>
            </w:r>
          </w:p>
        </w:tc>
        <w:tc>
          <w:tcPr>
            <w:tcW w:type="dxa" w:w="73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color w:val="1F1F1F"/>
                <w:sz w:val="17"/>
                <w:szCs w:val="17"/>
              </w:rPr>
              <w:t xml:space="preserve">Usuarios IAM, Secrets Manager, rotación de credenciales.</w:t>
            </w:r>
          </w:p>
        </w:tc>
      </w:tr>
      <w:tr>
        <w:trPr>
          <w:cantSplit/>
        </w:trPr>
        <w:tc>
          <w:tcPr>
            <w:tcW w:type="dxa" w:w="27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4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1F1F1F"/>
                <w:sz w:val="17"/>
                <w:szCs w:val="17"/>
              </w:rPr>
              <w:t xml:space="preserve">Red y dominio</w:t>
            </w:r>
          </w:p>
        </w:tc>
        <w:tc>
          <w:tcPr>
            <w:tcW w:type="dxa" w:w="73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4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color w:val="1F1F1F"/>
                <w:sz w:val="17"/>
                <w:szCs w:val="17"/>
              </w:rPr>
              <w:t xml:space="preserve">Route 53, certificado en ACM, CloudFront y grupos de seguridad.</w:t>
            </w:r>
          </w:p>
        </w:tc>
      </w:tr>
    </w:tbl>
    <w:p>
      <w:pPr>
        <w:spacing w:after="140"/>
      </w:pPr>
    </w:p>
    <w:p>
      <w:pPr>
        <w:keepNext/>
        <w:pBdr>
          <w:left w:val="single" w:color="B26A00" w:sz="24" w:space="8"/>
        </w:pBdr>
        <w:shd w:fill="FBF0DF" w:color="auto" w:val="clear"/>
        <w:spacing w:before="120" w:after="40"/>
        <w:ind w:left="160" w:right="120"/>
      </w:pPr>
      <w:r>
        <w:rPr>
          <w:rFonts w:ascii="Arial" w:cs="Arial" w:eastAsia="Arial" w:hAnsi="Arial"/>
          <w:b/>
          <w:bCs/>
          <w:color w:val="B26A00"/>
          <w:sz w:val="20"/>
          <w:szCs w:val="20"/>
        </w:rPr>
        <w:t xml:space="preserve">Aviso</w:t>
      </w:r>
    </w:p>
    <w:p>
      <w:pPr>
        <w:keepNext w:val="false"/>
        <w:pBdr>
          <w:left w:val="single" w:color="B26A00" w:sz="24" w:space="8"/>
        </w:pBdr>
        <w:shd w:fill="FBF0DF" w:color="auto" w:val="clear"/>
        <w:spacing w:after="160" w:line="264"/>
        <w:ind w:left="160" w:right="120"/>
      </w:pPr>
      <w:r>
        <w:rPr>
          <w:rFonts w:ascii="Arial" w:cs="Arial" w:eastAsia="Arial" w:hAnsi="Arial"/>
          <w:color w:val="1F1F1F"/>
          <w:sz w:val="19"/>
          <w:szCs w:val="19"/>
        </w:rPr>
        <w:t xml:space="preserve">El entorno es de </w:t>
      </w:r>
      <w:r>
        <w:rPr>
          <w:rFonts w:ascii="Arial" w:cs="Arial" w:eastAsia="Arial" w:hAnsi="Arial"/>
          <w:b/>
          <w:bCs/>
          <w:color w:val="1F1F1F"/>
          <w:sz w:val="19"/>
          <w:szCs w:val="19"/>
        </w:rPr>
        <w:t xml:space="preserve">pruebas, no producción</w:t>
      </w:r>
      <w:r>
        <w:rPr>
          <w:rFonts w:ascii="Arial" w:cs="Arial" w:eastAsia="Arial" w:hAnsi="Arial"/>
          <w:color w:val="1F1F1F"/>
          <w:sz w:val="19"/>
          <w:szCs w:val="19"/>
        </w:rPr>
        <w:t xml:space="preserve">. Un nombre histórico con "staging" no certifica qué datos atiende un recurso: antes de operar, identifica cuenta, región, clúster, servicio, imagen y base de datos.</w:t>
      </w:r>
    </w:p>
    <w:p>
      <w:pPr>
        <w:pStyle w:val="Heading1"/>
        <w:keepNext/>
        <w:pageBreakBefore/>
        <w:pBdr>
          <w:bottom w:val="single" w:color="C9A227" w:sz="12" w:space="4"/>
        </w:pBdr>
        <w:spacing w:before="0" w:after="160"/>
      </w:pPr>
      <w:r>
        <w:rPr>
          <w:rFonts w:ascii="Arial" w:cs="Arial" w:eastAsia="Arial" w:hAnsi="Arial"/>
          <w:b/>
          <w:bCs/>
          <w:color w:val="1F1F1F"/>
          <w:sz w:val="32"/>
          <w:szCs w:val="32"/>
        </w:rPr>
        <w:t xml:space="preserve">2. Mapa del entorno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025"/>
        <w:gridCol w:w="1631"/>
        <w:gridCol w:w="988"/>
        <w:gridCol w:w="5436"/>
      </w:tblGrid>
      <w:tr>
        <w:trPr>
          <w:cantSplit/>
          <w:tblHeader/>
        </w:trPr>
        <w:tc>
          <w:tcPr>
            <w:tcW w:type="dxa" w:w="20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4A4A4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Servicio</w:t>
            </w:r>
          </w:p>
        </w:tc>
        <w:tc>
          <w:tcPr>
            <w:tcW w:type="dxa" w:w="16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4A4A4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Estrategia</w:t>
            </w:r>
          </w:p>
        </w:tc>
        <w:tc>
          <w:tcPr>
            <w:tcW w:type="dxa" w:w="9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4A4A4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Tareas</w:t>
            </w:r>
          </w:p>
        </w:tc>
        <w:tc>
          <w:tcPr>
            <w:tcW w:type="dxa" w:w="54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4A4A4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Función</w:t>
            </w:r>
          </w:p>
        </w:tc>
      </w:tr>
      <w:tr>
        <w:trPr>
          <w:cantSplit/>
        </w:trPr>
        <w:tc>
          <w:tcPr>
            <w:tcW w:type="dxa" w:w="20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7A5A00"/>
                <w:sz w:val="15"/>
                <w:szCs w:val="15"/>
              </w:rPr>
              <w:t xml:space="preserve">uba-stg-barber</w:t>
            </w:r>
          </w:p>
        </w:tc>
        <w:tc>
          <w:tcPr>
            <w:tcW w:type="dxa" w:w="16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color w:val="1F1F1F"/>
                <w:sz w:val="17"/>
                <w:szCs w:val="17"/>
              </w:rPr>
              <w:t xml:space="preserve">FARGATE</w:t>
            </w:r>
          </w:p>
        </w:tc>
        <w:tc>
          <w:tcPr>
            <w:tcW w:type="dxa" w:w="9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color w:val="1F1F1F"/>
                <w:sz w:val="17"/>
                <w:szCs w:val="17"/>
              </w:rPr>
              <w:t xml:space="preserve">2</w:t>
            </w:r>
          </w:p>
        </w:tc>
        <w:tc>
          <w:tcPr>
            <w:tcW w:type="dxa" w:w="54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color w:val="1F1F1F"/>
                <w:sz w:val="17"/>
                <w:szCs w:val="17"/>
              </w:rPr>
              <w:t xml:space="preserve">API Laravel (Caddy + PHP-FPM) en </w:t>
            </w:r>
            <w:r>
              <w:rPr>
                <w:rFonts w:ascii="Consolas" w:cs="Consolas" w:eastAsia="Consolas" w:hAnsi="Consolas"/>
                <w:color w:val="7A5A00"/>
                <w:sz w:val="15"/>
                <w:szCs w:val="15"/>
              </w:rPr>
              <w:t xml:space="preserve">api.urbanblade.com.mx</w:t>
            </w:r>
            <w:r>
              <w:rPr>
                <w:rFonts w:ascii="Arial" w:cs="Arial" w:eastAsia="Arial" w:hAnsi="Arial"/>
                <w:color w:val="1F1F1F"/>
                <w:sz w:val="17"/>
                <w:szCs w:val="17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20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4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7A5A00"/>
                <w:sz w:val="15"/>
                <w:szCs w:val="15"/>
              </w:rPr>
              <w:t xml:space="preserve">uba-stg-frontend</w:t>
            </w:r>
          </w:p>
        </w:tc>
        <w:tc>
          <w:tcPr>
            <w:tcW w:type="dxa" w:w="16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4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color w:val="1F1F1F"/>
                <w:sz w:val="17"/>
                <w:szCs w:val="17"/>
              </w:rPr>
              <w:t xml:space="preserve">FARGATE</w:t>
            </w:r>
          </w:p>
        </w:tc>
        <w:tc>
          <w:tcPr>
            <w:tcW w:type="dxa" w:w="9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4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color w:val="1F1F1F"/>
                <w:sz w:val="17"/>
                <w:szCs w:val="17"/>
              </w:rPr>
              <w:t xml:space="preserve">2</w:t>
            </w:r>
          </w:p>
        </w:tc>
        <w:tc>
          <w:tcPr>
            <w:tcW w:type="dxa" w:w="54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4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color w:val="1F1F1F"/>
                <w:sz w:val="17"/>
                <w:szCs w:val="17"/>
              </w:rPr>
              <w:t xml:space="preserve">Web Nuxt en </w:t>
            </w:r>
            <w:r>
              <w:rPr>
                <w:rFonts w:ascii="Consolas" w:cs="Consolas" w:eastAsia="Consolas" w:hAnsi="Consolas"/>
                <w:color w:val="7A5A00"/>
                <w:sz w:val="15"/>
                <w:szCs w:val="15"/>
              </w:rPr>
              <w:t xml:space="preserve">urbanblade.com.mx</w:t>
            </w:r>
            <w:r>
              <w:rPr>
                <w:rFonts w:ascii="Arial" w:cs="Arial" w:eastAsia="Arial" w:hAnsi="Arial"/>
                <w:color w:val="1F1F1F"/>
                <w:sz w:val="17"/>
                <w:szCs w:val="17"/>
              </w:rPr>
              <w:t xml:space="preserve"> y </w:t>
            </w:r>
            <w:r>
              <w:rPr>
                <w:rFonts w:ascii="Consolas" w:cs="Consolas" w:eastAsia="Consolas" w:hAnsi="Consolas"/>
                <w:color w:val="7A5A00"/>
                <w:sz w:val="15"/>
                <w:szCs w:val="15"/>
              </w:rPr>
              <w:t xml:space="preserve">www</w:t>
            </w:r>
            <w:r>
              <w:rPr>
                <w:rFonts w:ascii="Arial" w:cs="Arial" w:eastAsia="Arial" w:hAnsi="Arial"/>
                <w:color w:val="1F1F1F"/>
                <w:sz w:val="17"/>
                <w:szCs w:val="17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20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7A5A00"/>
                <w:sz w:val="15"/>
                <w:szCs w:val="15"/>
              </w:rPr>
              <w:t xml:space="preserve">uba-stg-spark</w:t>
            </w:r>
          </w:p>
        </w:tc>
        <w:tc>
          <w:tcPr>
            <w:tcW w:type="dxa" w:w="16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color w:val="1F1F1F"/>
                <w:sz w:val="17"/>
                <w:szCs w:val="17"/>
              </w:rPr>
              <w:t xml:space="preserve">FARGATE_SPOT</w:t>
            </w:r>
          </w:p>
        </w:tc>
        <w:tc>
          <w:tcPr>
            <w:tcW w:type="dxa" w:w="9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color w:val="1F1F1F"/>
                <w:sz w:val="17"/>
                <w:szCs w:val="17"/>
              </w:rPr>
              <w:t xml:space="preserve">1</w:t>
            </w:r>
          </w:p>
        </w:tc>
        <w:tc>
          <w:tcPr>
            <w:tcW w:type="dxa" w:w="54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color w:val="1F1F1F"/>
                <w:sz w:val="17"/>
                <w:szCs w:val="17"/>
              </w:rPr>
              <w:t xml:space="preserve">Panel Streamlit en </w:t>
            </w:r>
            <w:r>
              <w:rPr>
                <w:rFonts w:ascii="Consolas" w:cs="Consolas" w:eastAsia="Consolas" w:hAnsi="Consolas"/>
                <w:color w:val="7A5A00"/>
                <w:sz w:val="15"/>
                <w:szCs w:val="15"/>
              </w:rPr>
              <w:t xml:space="preserve">spark.urbanblade.com.mx</w:t>
            </w:r>
            <w:r>
              <w:rPr>
                <w:rFonts w:ascii="Arial" w:cs="Arial" w:eastAsia="Arial" w:hAnsi="Arial"/>
                <w:color w:val="1F1F1F"/>
                <w:sz w:val="17"/>
                <w:szCs w:val="17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20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4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7A5A00"/>
                <w:sz w:val="15"/>
                <w:szCs w:val="15"/>
              </w:rPr>
              <w:t xml:space="preserve">uba-stg-ollama</w:t>
            </w:r>
          </w:p>
        </w:tc>
        <w:tc>
          <w:tcPr>
            <w:tcW w:type="dxa" w:w="16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4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color w:val="1F1F1F"/>
                <w:sz w:val="17"/>
                <w:szCs w:val="17"/>
              </w:rPr>
              <w:t xml:space="preserve">FARGATE_SPOT</w:t>
            </w:r>
          </w:p>
        </w:tc>
        <w:tc>
          <w:tcPr>
            <w:tcW w:type="dxa" w:w="9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4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color w:val="1F1F1F"/>
                <w:sz w:val="17"/>
                <w:szCs w:val="17"/>
              </w:rPr>
              <w:t xml:space="preserve">1</w:t>
            </w:r>
          </w:p>
        </w:tc>
        <w:tc>
          <w:tcPr>
            <w:tcW w:type="dxa" w:w="54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4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color w:val="1F1F1F"/>
                <w:sz w:val="17"/>
                <w:szCs w:val="17"/>
              </w:rPr>
              <w:t xml:space="preserve">Asistente virtual local (modelo </w:t>
            </w:r>
            <w:r>
              <w:rPr>
                <w:rFonts w:ascii="Consolas" w:cs="Consolas" w:eastAsia="Consolas" w:hAnsi="Consolas"/>
                <w:color w:val="7A5A00"/>
                <w:sz w:val="15"/>
                <w:szCs w:val="15"/>
              </w:rPr>
              <w:t xml:space="preserve">qwen2.5:0.5b</w:t>
            </w:r>
            <w:r>
              <w:rPr>
                <w:rFonts w:ascii="Arial" w:cs="Arial" w:eastAsia="Arial" w:hAnsi="Arial"/>
                <w:color w:val="1F1F1F"/>
                <w:sz w:val="17"/>
                <w:szCs w:val="17"/>
              </w:rPr>
              <w:t xml:space="preserve">).</w:t>
            </w:r>
          </w:p>
        </w:tc>
      </w:tr>
    </w:tbl>
    <w:p>
      <w:pPr>
        <w:spacing w:after="140"/>
      </w:pPr>
    </w:p>
    <w:p>
      <w:pPr>
        <w:spacing w:before="0" w:after="100" w:line="276"/>
      </w:pPr>
      <w:r>
        <w:rPr>
          <w:rFonts w:ascii="Arial" w:cs="Arial" w:eastAsia="Arial" w:hAnsi="Arial"/>
          <w:color w:val="1F1F1F"/>
          <w:sz w:val="20"/>
          <w:szCs w:val="20"/>
        </w:rPr>
        <w:t xml:space="preserve">Estado leído el 28 de octubre de 2026. Si la consola de AWS muestra otra cosa, </w:t>
      </w:r>
      <w:r>
        <w:rPr>
          <w:rFonts w:ascii="Arial" w:cs="Arial" w:eastAsia="Arial" w:hAnsi="Arial"/>
          <w:b/>
          <w:bCs/>
          <w:color w:val="1F1F1F"/>
          <w:sz w:val="20"/>
          <w:szCs w:val="20"/>
        </w:rPr>
        <w:t xml:space="preserve">confía en la consola</w:t>
      </w:r>
      <w:r>
        <w:rPr>
          <w:rFonts w:ascii="Arial" w:cs="Arial" w:eastAsia="Arial" w:hAnsi="Arial"/>
          <w:color w:val="1F1F1F"/>
          <w:sz w:val="20"/>
          <w:szCs w:val="20"/>
        </w:rPr>
        <w:t xml:space="preserve">.</w:t>
      </w:r>
    </w:p>
    <w:p>
      <w:pPr>
        <w:spacing w:before="0" w:after="100" w:line="276"/>
      </w:pPr>
      <w:r>
        <w:rPr>
          <w:rFonts w:ascii="Arial" w:cs="Arial" w:eastAsia="Arial" w:hAnsi="Arial"/>
          <w:color w:val="1F1F1F"/>
          <w:sz w:val="20"/>
          <w:szCs w:val="20"/>
        </w:rPr>
        <w:t xml:space="preserve">Recursos de apoyo: clúster </w:t>
      </w:r>
      <w:r>
        <w:rPr>
          <w:rFonts w:ascii="Consolas" w:cs="Consolas" w:eastAsia="Consolas" w:hAnsi="Consolas"/>
          <w:color w:val="7A5A00"/>
          <w:sz w:val="18"/>
          <w:szCs w:val="18"/>
        </w:rPr>
        <w:t xml:space="preserve">urbanblade-staging</w:t>
      </w:r>
      <w:r>
        <w:rPr>
          <w:rFonts w:ascii="Arial" w:cs="Arial" w:eastAsia="Arial" w:hAnsi="Arial"/>
          <w:color w:val="1F1F1F"/>
          <w:sz w:val="20"/>
          <w:szCs w:val="20"/>
        </w:rPr>
        <w:t xml:space="preserve">, un ALB con listeners 80, 8080 y 8501, tres distribuciones de CloudFront, repositorios ECR (</w:t>
      </w:r>
      <w:r>
        <w:rPr>
          <w:rFonts w:ascii="Consolas" w:cs="Consolas" w:eastAsia="Consolas" w:hAnsi="Consolas"/>
          <w:color w:val="7A5A00"/>
          <w:sz w:val="18"/>
          <w:szCs w:val="18"/>
        </w:rPr>
        <w:t xml:space="preserve">barber</w:t>
      </w:r>
      <w:r>
        <w:rPr>
          <w:rFonts w:ascii="Arial" w:cs="Arial" w:eastAsia="Arial" w:hAnsi="Arial"/>
          <w:color w:val="1F1F1F"/>
          <w:sz w:val="20"/>
          <w:szCs w:val="20"/>
        </w:rPr>
        <w:t xml:space="preserve">, </w:t>
      </w:r>
      <w:r>
        <w:rPr>
          <w:rFonts w:ascii="Consolas" w:cs="Consolas" w:eastAsia="Consolas" w:hAnsi="Consolas"/>
          <w:color w:val="7A5A00"/>
          <w:sz w:val="18"/>
          <w:szCs w:val="18"/>
        </w:rPr>
        <w:t xml:space="preserve">frontend-urban</w:t>
      </w:r>
      <w:r>
        <w:rPr>
          <w:rFonts w:ascii="Arial" w:cs="Arial" w:eastAsia="Arial" w:hAnsi="Arial"/>
          <w:color w:val="1F1F1F"/>
          <w:sz w:val="20"/>
          <w:szCs w:val="20"/>
        </w:rPr>
        <w:t xml:space="preserve">, </w:t>
      </w:r>
      <w:r>
        <w:rPr>
          <w:rFonts w:ascii="Consolas" w:cs="Consolas" w:eastAsia="Consolas" w:hAnsi="Consolas"/>
          <w:color w:val="7A5A00"/>
          <w:sz w:val="18"/>
          <w:szCs w:val="18"/>
        </w:rPr>
        <w:t xml:space="preserve">spark</w:t>
      </w:r>
      <w:r>
        <w:rPr>
          <w:rFonts w:ascii="Arial" w:cs="Arial" w:eastAsia="Arial" w:hAnsi="Arial"/>
          <w:color w:val="1F1F1F"/>
          <w:sz w:val="20"/>
          <w:szCs w:val="20"/>
        </w:rPr>
        <w:t xml:space="preserve">, </w:t>
      </w:r>
      <w:r>
        <w:rPr>
          <w:rFonts w:ascii="Consolas" w:cs="Consolas" w:eastAsia="Consolas" w:hAnsi="Consolas"/>
          <w:color w:val="7A5A00"/>
          <w:sz w:val="18"/>
          <w:szCs w:val="18"/>
        </w:rPr>
        <w:t xml:space="preserve">ollama</w:t>
      </w:r>
      <w:r>
        <w:rPr>
          <w:rFonts w:ascii="Arial" w:cs="Arial" w:eastAsia="Arial" w:hAnsi="Arial"/>
          <w:color w:val="1F1F1F"/>
          <w:sz w:val="20"/>
          <w:szCs w:val="20"/>
        </w:rPr>
        <w:t xml:space="preserve">), dos buckets S3 (imágenes públicas y comprobantes privados), Secrets Manager con el prefijo </w:t>
      </w:r>
      <w:r>
        <w:rPr>
          <w:rFonts w:ascii="Consolas" w:cs="Consolas" w:eastAsia="Consolas" w:hAnsi="Consolas"/>
          <w:color w:val="7A5A00"/>
          <w:sz w:val="18"/>
          <w:szCs w:val="18"/>
        </w:rPr>
        <w:t xml:space="preserve">urbanblade/staging/</w:t>
      </w:r>
      <w:r>
        <w:rPr>
          <w:rFonts w:ascii="Arial" w:cs="Arial" w:eastAsia="Arial" w:hAnsi="Arial"/>
          <w:color w:val="1F1F1F"/>
          <w:sz w:val="20"/>
          <w:szCs w:val="20"/>
        </w:rPr>
        <w:t xml:space="preserve"> y logs en CloudWatch (</w:t>
      </w:r>
      <w:r>
        <w:rPr>
          <w:rFonts w:ascii="Consolas" w:cs="Consolas" w:eastAsia="Consolas" w:hAnsi="Consolas"/>
          <w:color w:val="7A5A00"/>
          <w:sz w:val="18"/>
          <w:szCs w:val="18"/>
        </w:rPr>
        <w:t xml:space="preserve">/ecs/urbanblade-staging/…</w:t>
      </w:r>
      <w:r>
        <w:rPr>
          <w:rFonts w:ascii="Arial" w:cs="Arial" w:eastAsia="Arial" w:hAnsi="Arial"/>
          <w:color w:val="1F1F1F"/>
          <w:sz w:val="20"/>
          <w:szCs w:val="20"/>
        </w:rPr>
        <w:t xml:space="preserve">).</w:t>
      </w:r>
    </w:p>
    <w:p>
      <w:pPr>
        <w:pStyle w:val="Heading1"/>
        <w:keepNext/>
        <w:pageBreakBefore/>
        <w:pBdr>
          <w:bottom w:val="single" w:color="C9A227" w:sz="12" w:space="4"/>
        </w:pBdr>
        <w:spacing w:before="0" w:after="160"/>
      </w:pPr>
      <w:r>
        <w:rPr>
          <w:rFonts w:ascii="Arial" w:cs="Arial" w:eastAsia="Arial" w:hAnsi="Arial"/>
          <w:b/>
          <w:bCs/>
          <w:color w:val="1F1F1F"/>
          <w:sz w:val="32"/>
          <w:szCs w:val="32"/>
        </w:rPr>
        <w:t xml:space="preserve">3. Acceso y cuentas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b/>
          <w:bCs/>
          <w:color w:val="1F1F1F"/>
          <w:sz w:val="20"/>
          <w:szCs w:val="20"/>
        </w:rPr>
        <w:t xml:space="preserve">Un usuario IAM por persona</w:t>
      </w:r>
      <w:r>
        <w:rPr>
          <w:rFonts w:ascii="Arial" w:cs="Arial" w:eastAsia="Arial" w:hAnsi="Arial"/>
          <w:color w:val="1F1F1F"/>
          <w:sz w:val="20"/>
          <w:szCs w:val="20"/>
        </w:rPr>
        <w:t xml:space="preserve">, nunca compartir las claves de otro. Cada quien tiene su historial en CloudTrail y se puede revocar sin afectar a los demás.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color w:val="1F1F1F"/>
          <w:sz w:val="20"/>
          <w:szCs w:val="20"/>
        </w:rPr>
        <w:t xml:space="preserve">El usuario de despliegue (</w:t>
      </w:r>
      <w:r>
        <w:rPr>
          <w:rFonts w:ascii="Consolas" w:cs="Consolas" w:eastAsia="Consolas" w:hAnsi="Consolas"/>
          <w:color w:val="7A5A00"/>
          <w:sz w:val="18"/>
          <w:szCs w:val="18"/>
        </w:rPr>
        <w:t xml:space="preserve">staging-deploy</w:t>
      </w:r>
      <w:r>
        <w:rPr>
          <w:rFonts w:ascii="Arial" w:cs="Arial" w:eastAsia="Arial" w:hAnsi="Arial"/>
          <w:color w:val="1F1F1F"/>
          <w:sz w:val="20"/>
          <w:szCs w:val="20"/>
        </w:rPr>
        <w:t xml:space="preserve">) tiene ECR, ECS, ELB, EC2 (solo grupos de seguridad), Secrets Manager, CloudWatch Logs, CloudFront y S3. </w:t>
      </w:r>
      <w:r>
        <w:rPr>
          <w:rFonts w:ascii="Arial" w:cs="Arial" w:eastAsia="Arial" w:hAnsi="Arial"/>
          <w:b/>
          <w:bCs/>
          <w:color w:val="1F1F1F"/>
          <w:sz w:val="20"/>
          <w:szCs w:val="20"/>
        </w:rPr>
        <w:t xml:space="preserve">No puede</w:t>
      </w:r>
      <w:r>
        <w:rPr>
          <w:rFonts w:ascii="Arial" w:cs="Arial" w:eastAsia="Arial" w:hAnsi="Arial"/>
          <w:color w:val="1F1F1F"/>
          <w:sz w:val="20"/>
          <w:szCs w:val="20"/>
        </w:rPr>
        <w:t xml:space="preserve"> crear roles IAM, registrar definiciones de tarea ni pedir certificados en ACM; esos pasos los hace un administrador desde la consola.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color w:val="1F1F1F"/>
          <w:sz w:val="20"/>
          <w:szCs w:val="20"/>
        </w:rPr>
        <w:t xml:space="preserve">Verifica tu identidad antes de operar:</w:t>
      </w:r>
    </w:p>
    <w:p>
      <w:pPr>
        <w:spacing w:after="60"/>
      </w:pPr>
    </w:p>
    <w:p>
      <w:pPr>
        <w:keepNext w:val="false"/>
        <w:keepLines/>
        <w:pBdr>
          <w:left w:val="single" w:color="BFBFBF" w:sz="18" w:space="6"/>
        </w:pBdr>
        <w:shd w:fill="F4F4F4" w:color="auto" w:val="clear"/>
        <w:spacing w:after="160" w:line="240"/>
        <w:ind w:left="140" w:right="100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aws sts get-caller-identity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color w:val="1F1F1F"/>
          <w:sz w:val="20"/>
          <w:szCs w:val="20"/>
        </w:rPr>
        <w:t xml:space="preserve">Las claves se configuran con </w:t>
      </w:r>
      <w:r>
        <w:rPr>
          <w:rFonts w:ascii="Consolas" w:cs="Consolas" w:eastAsia="Consolas" w:hAnsi="Consolas"/>
          <w:color w:val="7A5A00"/>
          <w:sz w:val="18"/>
          <w:szCs w:val="18"/>
        </w:rPr>
        <w:t xml:space="preserve">aws configure</w:t>
      </w:r>
      <w:r>
        <w:rPr>
          <w:rFonts w:ascii="Arial" w:cs="Arial" w:eastAsia="Arial" w:hAnsi="Arial"/>
          <w:color w:val="1F1F1F"/>
          <w:sz w:val="20"/>
          <w:szCs w:val="20"/>
        </w:rPr>
        <w:t xml:space="preserve"> y se comparten por un canal privado; nunca por chat de grupo ni en un commit.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color w:val="1F1F1F"/>
          <w:sz w:val="20"/>
          <w:szCs w:val="20"/>
        </w:rPr>
        <w:t xml:space="preserve">Aparte de AWS, cada repositorio de GitHub y MongoDB Atlas tienen sus propios accesos.</w:t>
      </w:r>
    </w:p>
    <w:p>
      <w:pPr>
        <w:spacing w:after="60"/>
      </w:pPr>
    </w:p>
    <w:p>
      <w:pPr>
        <w:pStyle w:val="Heading1"/>
        <w:keepNext/>
        <w:pageBreakBefore/>
        <w:pBdr>
          <w:bottom w:val="single" w:color="C9A227" w:sz="12" w:space="4"/>
        </w:pBdr>
        <w:spacing w:before="0" w:after="160"/>
      </w:pPr>
      <w:r>
        <w:rPr>
          <w:rFonts w:ascii="Arial" w:cs="Arial" w:eastAsia="Arial" w:hAnsi="Arial"/>
          <w:b/>
          <w:bCs/>
          <w:color w:val="1F1F1F"/>
          <w:sz w:val="32"/>
          <w:szCs w:val="32"/>
        </w:rPr>
        <w:t xml:space="preserve">4. Operación diaria</w:t>
      </w:r>
    </w:p>
    <w:p>
      <w:pPr>
        <w:pStyle w:val="Heading2"/>
        <w:keepNext/>
        <w:spacing w:before="260" w:after="110"/>
      </w:pPr>
      <w:r>
        <w:rPr>
          <w:rFonts w:ascii="Arial" w:cs="Arial" w:eastAsia="Arial" w:hAnsi="Arial"/>
          <w:b/>
          <w:bCs/>
          <w:color w:val="4A4A4A"/>
          <w:sz w:val="25"/>
          <w:szCs w:val="25"/>
        </w:rPr>
        <w:t xml:space="preserve">4.1 Ver qué está encendido</w:t>
      </w:r>
    </w:p>
    <w:p>
      <w:pPr>
        <w:keepNext/>
        <w:keepLines/>
        <w:pBdr>
          <w:left w:val="single" w:color="BFBFBF" w:sz="18" w:space="6"/>
        </w:pBdr>
        <w:shd w:fill="F4F4F4" w:color="auto" w:val="clear"/>
        <w:spacing w:after="0" w:line="240"/>
        <w:ind w:left="140" w:right="100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aws ecs describe-services --cluster urbanblade-staging `</w:t>
      </w:r>
    </w:p>
    <w:p>
      <w:pPr>
        <w:keepNext/>
        <w:keepLines/>
        <w:pBdr>
          <w:left w:val="single" w:color="BFBFBF" w:sz="18" w:space="6"/>
        </w:pBdr>
        <w:shd w:fill="F4F4F4" w:color="auto" w:val="clear"/>
        <w:spacing w:after="0" w:line="240"/>
        <w:ind w:left="140" w:right="100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--services uba-stg-barber uba-stg-frontend uba-stg-spark uba-stg-ollama --region us-east-1 `</w:t>
      </w:r>
    </w:p>
    <w:p>
      <w:pPr>
        <w:keepNext w:val="false"/>
        <w:keepLines/>
        <w:pBdr>
          <w:left w:val="single" w:color="BFBFBF" w:sz="18" w:space="6"/>
        </w:pBdr>
        <w:shd w:fill="F4F4F4" w:color="auto" w:val="clear"/>
        <w:spacing w:after="160" w:line="240"/>
        <w:ind w:left="140" w:right="100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--query "services[].{name:serviceName,desired:desiredCount,running:runningCount}" --output table</w:t>
      </w:r>
    </w:p>
    <w:p>
      <w:pPr>
        <w:spacing w:before="0" w:after="100" w:line="276"/>
      </w:pPr>
      <w:r>
        <w:rPr>
          <w:rFonts w:ascii="Consolas" w:cs="Consolas" w:eastAsia="Consolas" w:hAnsi="Consolas"/>
          <w:color w:val="7A5A00"/>
          <w:sz w:val="18"/>
          <w:szCs w:val="18"/>
        </w:rPr>
        <w:t xml:space="preserve">desired</w:t>
      </w:r>
      <w:r>
        <w:rPr>
          <w:rFonts w:ascii="Arial" w:cs="Arial" w:eastAsia="Arial" w:hAnsi="Arial"/>
          <w:color w:val="1F1F1F"/>
          <w:sz w:val="20"/>
          <w:szCs w:val="20"/>
        </w:rPr>
        <w:t xml:space="preserve"> es lo que pediste y </w:t>
      </w:r>
      <w:r>
        <w:rPr>
          <w:rFonts w:ascii="Consolas" w:cs="Consolas" w:eastAsia="Consolas" w:hAnsi="Consolas"/>
          <w:color w:val="7A5A00"/>
          <w:sz w:val="18"/>
          <w:szCs w:val="18"/>
        </w:rPr>
        <w:t xml:space="preserve">running</w:t>
      </w:r>
      <w:r>
        <w:rPr>
          <w:rFonts w:ascii="Arial" w:cs="Arial" w:eastAsia="Arial" w:hAnsi="Arial"/>
          <w:color w:val="1F1F1F"/>
          <w:sz w:val="20"/>
          <w:szCs w:val="20"/>
        </w:rPr>
        <w:t xml:space="preserve"> lo que hay. Tarda 1–2 minutos en alcanzarse; repite hasta que coincidan.</w:t>
      </w:r>
    </w:p>
    <w:p>
      <w:pPr>
        <w:pStyle w:val="Heading2"/>
        <w:keepNext/>
        <w:spacing w:before="260" w:after="110"/>
      </w:pPr>
      <w:r>
        <w:rPr>
          <w:rFonts w:ascii="Arial" w:cs="Arial" w:eastAsia="Arial" w:hAnsi="Arial"/>
          <w:b/>
          <w:bCs/>
          <w:color w:val="4A4A4A"/>
          <w:sz w:val="25"/>
          <w:szCs w:val="25"/>
        </w:rPr>
        <w:t xml:space="preserve">4.2 Encender y apagar (ahorrar costo)</w:t>
      </w:r>
    </w:p>
    <w:p>
      <w:pPr>
        <w:keepNext/>
        <w:keepLines/>
        <w:pBdr>
          <w:left w:val="single" w:color="BFBFBF" w:sz="18" w:space="6"/>
        </w:pBdr>
        <w:shd w:fill="F4F4F4" w:color="auto" w:val="clear"/>
        <w:spacing w:after="0" w:line="240"/>
        <w:ind w:left="140" w:right="100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aws ecs update-service --cluster urbanblade-staging --service uba-stg-spark --desired-count 0 --region us-east-1   # apagar</w:t>
      </w:r>
    </w:p>
    <w:p>
      <w:pPr>
        <w:keepNext w:val="false"/>
        <w:keepLines/>
        <w:pBdr>
          <w:left w:val="single" w:color="BFBFBF" w:sz="18" w:space="6"/>
        </w:pBdr>
        <w:shd w:fill="F4F4F4" w:color="auto" w:val="clear"/>
        <w:spacing w:after="160" w:line="240"/>
        <w:ind w:left="140" w:right="100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aws ecs update-service --cluster urbanblade-staging --service uba-stg-spark --desired-count 1 --region us-east-1   # encender</w:t>
      </w:r>
    </w:p>
    <w:p>
      <w:pPr>
        <w:spacing w:before="0" w:after="100" w:line="276"/>
      </w:pPr>
      <w:r>
        <w:rPr>
          <w:rFonts w:ascii="Arial" w:cs="Arial" w:eastAsia="Arial" w:hAnsi="Arial"/>
          <w:color w:val="1F1F1F"/>
          <w:sz w:val="20"/>
          <w:szCs w:val="20"/>
        </w:rPr>
        <w:t xml:space="preserve">El balanceador sigue cobrando aunque todos los servicios estén en 0. Apagar </w:t>
      </w:r>
      <w:r>
        <w:rPr>
          <w:rFonts w:ascii="Consolas" w:cs="Consolas" w:eastAsia="Consolas" w:hAnsi="Consolas"/>
          <w:color w:val="7A5A00"/>
          <w:sz w:val="18"/>
          <w:szCs w:val="18"/>
        </w:rPr>
        <w:t xml:space="preserve">ollama</w:t>
      </w:r>
      <w:r>
        <w:rPr>
          <w:rFonts w:ascii="Arial" w:cs="Arial" w:eastAsia="Arial" w:hAnsi="Arial"/>
          <w:color w:val="1F1F1F"/>
          <w:sz w:val="20"/>
          <w:szCs w:val="20"/>
        </w:rPr>
        <w:t xml:space="preserve"> solo detiene el asistente; el resto de la aplicación sigue.</w:t>
      </w:r>
    </w:p>
    <w:p>
      <w:pPr>
        <w:pStyle w:val="Heading2"/>
        <w:keepNext/>
        <w:spacing w:before="260" w:after="110"/>
      </w:pPr>
      <w:r>
        <w:rPr>
          <w:rFonts w:ascii="Arial" w:cs="Arial" w:eastAsia="Arial" w:hAnsi="Arial"/>
          <w:b/>
          <w:bCs/>
          <w:color w:val="4A4A4A"/>
          <w:sz w:val="25"/>
          <w:szCs w:val="25"/>
        </w:rPr>
        <w:t xml:space="preserve">4.3 Logs</w:t>
      </w:r>
    </w:p>
    <w:p>
      <w:pPr>
        <w:keepNext w:val="false"/>
        <w:keepLines/>
        <w:pBdr>
          <w:left w:val="single" w:color="BFBFBF" w:sz="18" w:space="6"/>
        </w:pBdr>
        <w:shd w:fill="F4F4F4" w:color="auto" w:val="clear"/>
        <w:spacing w:after="160" w:line="240"/>
        <w:ind w:left="140" w:right="100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aws logs tail /ecs/urbanblade-staging/barber --region us-east-1 --since 30m --follow</w:t>
      </w:r>
    </w:p>
    <w:p>
      <w:pPr>
        <w:spacing w:before="0" w:after="100" w:line="276"/>
      </w:pPr>
      <w:r>
        <w:rPr>
          <w:rFonts w:ascii="Arial" w:cs="Arial" w:eastAsia="Arial" w:hAnsi="Arial"/>
          <w:color w:val="1F1F1F"/>
          <w:sz w:val="20"/>
          <w:szCs w:val="20"/>
        </w:rPr>
        <w:t xml:space="preserve">Cambia </w:t>
      </w:r>
      <w:r>
        <w:rPr>
          <w:rFonts w:ascii="Consolas" w:cs="Consolas" w:eastAsia="Consolas" w:hAnsi="Consolas"/>
          <w:color w:val="7A5A00"/>
          <w:sz w:val="18"/>
          <w:szCs w:val="18"/>
        </w:rPr>
        <w:t xml:space="preserve">barber</w:t>
      </w:r>
      <w:r>
        <w:rPr>
          <w:rFonts w:ascii="Arial" w:cs="Arial" w:eastAsia="Arial" w:hAnsi="Arial"/>
          <w:color w:val="1F1F1F"/>
          <w:sz w:val="20"/>
          <w:szCs w:val="20"/>
        </w:rPr>
        <w:t xml:space="preserve"> por </w:t>
      </w:r>
      <w:r>
        <w:rPr>
          <w:rFonts w:ascii="Consolas" w:cs="Consolas" w:eastAsia="Consolas" w:hAnsi="Consolas"/>
          <w:color w:val="7A5A00"/>
          <w:sz w:val="18"/>
          <w:szCs w:val="18"/>
        </w:rPr>
        <w:t xml:space="preserve">frontend-urban</w:t>
      </w:r>
      <w:r>
        <w:rPr>
          <w:rFonts w:ascii="Arial" w:cs="Arial" w:eastAsia="Arial" w:hAnsi="Arial"/>
          <w:color w:val="1F1F1F"/>
          <w:sz w:val="20"/>
          <w:szCs w:val="20"/>
        </w:rPr>
        <w:t xml:space="preserve"> o </w:t>
      </w:r>
      <w:r>
        <w:rPr>
          <w:rFonts w:ascii="Consolas" w:cs="Consolas" w:eastAsia="Consolas" w:hAnsi="Consolas"/>
          <w:color w:val="7A5A00"/>
          <w:sz w:val="18"/>
          <w:szCs w:val="18"/>
        </w:rPr>
        <w:t xml:space="preserve">spark</w:t>
      </w:r>
      <w:r>
        <w:rPr>
          <w:rFonts w:ascii="Arial" w:cs="Arial" w:eastAsia="Arial" w:hAnsi="Arial"/>
          <w:color w:val="1F1F1F"/>
          <w:sz w:val="20"/>
          <w:szCs w:val="20"/>
        </w:rPr>
        <w:t xml:space="preserve">. Cómo leerlos: el arranque de </w:t>
      </w:r>
      <w:r>
        <w:rPr>
          <w:rFonts w:ascii="Consolas" w:cs="Consolas" w:eastAsia="Consolas" w:hAnsi="Consolas"/>
          <w:color w:val="7A5A00"/>
          <w:sz w:val="18"/>
          <w:szCs w:val="18"/>
        </w:rPr>
        <w:t xml:space="preserve">barber</w:t>
      </w:r>
      <w:r>
        <w:rPr>
          <w:rFonts w:ascii="Arial" w:cs="Arial" w:eastAsia="Arial" w:hAnsi="Arial"/>
          <w:color w:val="1F1F1F"/>
          <w:sz w:val="20"/>
          <w:szCs w:val="20"/>
        </w:rPr>
        <w:t xml:space="preserve"> imprime la ejecución de migraciones, la preparación de cachés y, si está activo, el planificador (</w:t>
      </w:r>
      <w:r>
        <w:rPr>
          <w:rFonts w:ascii="Consolas" w:cs="Consolas" w:eastAsia="Consolas" w:hAnsi="Consolas"/>
          <w:color w:val="7A5A00"/>
          <w:sz w:val="18"/>
          <w:szCs w:val="18"/>
        </w:rPr>
        <w:t xml:space="preserve">Running [artisan …] DONE</w:t>
      </w:r>
      <w:r>
        <w:rPr>
          <w:rFonts w:ascii="Arial" w:cs="Arial" w:eastAsia="Arial" w:hAnsi="Arial"/>
          <w:color w:val="1F1F1F"/>
          <w:sz w:val="20"/>
          <w:szCs w:val="20"/>
        </w:rPr>
        <w:t xml:space="preserve">).</w:t>
      </w:r>
    </w:p>
    <w:p>
      <w:pPr>
        <w:pStyle w:val="Heading2"/>
        <w:keepNext/>
        <w:spacing w:before="260" w:after="110"/>
      </w:pPr>
      <w:r>
        <w:rPr>
          <w:rFonts w:ascii="Arial" w:cs="Arial" w:eastAsia="Arial" w:hAnsi="Arial"/>
          <w:b/>
          <w:bCs/>
          <w:color w:val="4A4A4A"/>
          <w:sz w:val="25"/>
          <w:szCs w:val="25"/>
        </w:rPr>
        <w:t xml:space="preserve">4.4 Costos</w:t>
      </w:r>
    </w:p>
    <w:p>
      <w:pPr>
        <w:spacing w:before="0" w:after="100" w:line="276"/>
      </w:pPr>
      <w:r>
        <w:rPr>
          <w:rFonts w:ascii="Arial" w:cs="Arial" w:eastAsia="Arial" w:hAnsi="Arial"/>
          <w:color w:val="1F1F1F"/>
          <w:sz w:val="20"/>
          <w:szCs w:val="20"/>
        </w:rPr>
        <w:t xml:space="preserve">Consulta Cost Explorer en la consola o </w:t>
      </w:r>
      <w:r>
        <w:rPr>
          <w:rFonts w:ascii="Consolas" w:cs="Consolas" w:eastAsia="Consolas" w:hAnsi="Consolas"/>
          <w:color w:val="7A5A00"/>
          <w:sz w:val="18"/>
          <w:szCs w:val="18"/>
        </w:rPr>
        <w:t xml:space="preserve">aws ce get-cost-and-usage</w:t>
      </w:r>
      <w:r>
        <w:rPr>
          <w:rFonts w:ascii="Arial" w:cs="Arial" w:eastAsia="Arial" w:hAnsi="Arial"/>
          <w:color w:val="1F1F1F"/>
          <w:sz w:val="20"/>
          <w:szCs w:val="20"/>
        </w:rPr>
        <w:t xml:space="preserve">. La cifra de ~55–65 USD/mes de septiembre ya no es válida: desde entonces </w:t>
      </w:r>
      <w:r>
        <w:rPr>
          <w:rFonts w:ascii="Consolas" w:cs="Consolas" w:eastAsia="Consolas" w:hAnsi="Consolas"/>
          <w:color w:val="7A5A00"/>
          <w:sz w:val="18"/>
          <w:szCs w:val="18"/>
        </w:rPr>
        <w:t xml:space="preserve">barber</w:t>
      </w:r>
      <w:r>
        <w:rPr>
          <w:rFonts w:ascii="Arial" w:cs="Arial" w:eastAsia="Arial" w:hAnsi="Arial"/>
          <w:color w:val="1F1F1F"/>
          <w:sz w:val="20"/>
          <w:szCs w:val="20"/>
        </w:rPr>
        <w:t xml:space="preserve"> y </w:t>
      </w:r>
      <w:r>
        <w:rPr>
          <w:rFonts w:ascii="Consolas" w:cs="Consolas" w:eastAsia="Consolas" w:hAnsi="Consolas"/>
          <w:color w:val="7A5A00"/>
          <w:sz w:val="18"/>
          <w:szCs w:val="18"/>
        </w:rPr>
        <w:t xml:space="preserve">frontend</w:t>
      </w:r>
      <w:r>
        <w:rPr>
          <w:rFonts w:ascii="Arial" w:cs="Arial" w:eastAsia="Arial" w:hAnsi="Arial"/>
          <w:color w:val="1F1F1F"/>
          <w:sz w:val="20"/>
          <w:szCs w:val="20"/>
        </w:rPr>
        <w:t xml:space="preserve"> corren en FARGATE normal con dos tareas y se agregó </w:t>
      </w:r>
      <w:r>
        <w:rPr>
          <w:rFonts w:ascii="Consolas" w:cs="Consolas" w:eastAsia="Consolas" w:hAnsi="Consolas"/>
          <w:color w:val="7A5A00"/>
          <w:sz w:val="18"/>
          <w:szCs w:val="18"/>
        </w:rPr>
        <w:t xml:space="preserve">ollama</w:t>
      </w:r>
      <w:r>
        <w:rPr>
          <w:rFonts w:ascii="Arial" w:cs="Arial" w:eastAsia="Arial" w:hAnsi="Arial"/>
          <w:color w:val="1F1F1F"/>
          <w:sz w:val="20"/>
          <w:szCs w:val="20"/>
        </w:rPr>
        <w:t xml:space="preserve"> (2 vCPU y 4 GB).</w:t>
      </w:r>
    </w:p>
    <w:p>
      <w:pPr>
        <w:pStyle w:val="Heading1"/>
        <w:keepNext/>
        <w:pageBreakBefore/>
        <w:pBdr>
          <w:bottom w:val="single" w:color="C9A227" w:sz="12" w:space="4"/>
        </w:pBdr>
        <w:spacing w:before="0" w:after="160"/>
      </w:pPr>
      <w:r>
        <w:rPr>
          <w:rFonts w:ascii="Arial" w:cs="Arial" w:eastAsia="Arial" w:hAnsi="Arial"/>
          <w:b/>
          <w:bCs/>
          <w:color w:val="1F1F1F"/>
          <w:sz w:val="32"/>
          <w:szCs w:val="32"/>
        </w:rPr>
        <w:t xml:space="preserve">5. Publicar y revertir</w:t>
      </w:r>
    </w:p>
    <w:p>
      <w:pPr>
        <w:spacing w:before="0" w:after="100" w:line="276"/>
      </w:pPr>
      <w:r>
        <w:rPr>
          <w:rFonts w:ascii="Arial" w:cs="Arial" w:eastAsia="Arial" w:hAnsi="Arial"/>
          <w:color w:val="1F1F1F"/>
          <w:sz w:val="20"/>
          <w:szCs w:val="20"/>
        </w:rPr>
        <w:t xml:space="preserve">El procedimiento detallado está en el manual de </w:t>
      </w:r>
      <w:r>
        <w:rPr>
          <w:rFonts w:ascii="Arial" w:cs="Arial" w:eastAsia="Arial" w:hAnsi="Arial"/>
          <w:b/>
          <w:bCs/>
          <w:color w:val="1F1F1F"/>
          <w:sz w:val="20"/>
          <w:szCs w:val="20"/>
        </w:rPr>
        <w:t xml:space="preserve">Instalación y Despliegue</w:t>
      </w:r>
      <w:r>
        <w:rPr>
          <w:rFonts w:ascii="Arial" w:cs="Arial" w:eastAsia="Arial" w:hAnsi="Arial"/>
          <w:color w:val="1F1F1F"/>
          <w:sz w:val="20"/>
          <w:szCs w:val="20"/>
        </w:rPr>
        <w:t xml:space="preserve">. Resumen operativo: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Arial" w:cs="Arial" w:eastAsia="Arial" w:hAnsi="Arial"/>
          <w:color w:val="1F1F1F"/>
          <w:sz w:val="20"/>
          <w:szCs w:val="20"/>
        </w:rPr>
        <w:t xml:space="preserve">Autorización del propietario y checks del PR en verde.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Arial" w:cs="Arial" w:eastAsia="Arial" w:hAnsi="Arial"/>
          <w:color w:val="1F1F1F"/>
          <w:sz w:val="20"/>
          <w:szCs w:val="20"/>
        </w:rPr>
        <w:t xml:space="preserve">Etiqueta de respaldo de la imagen vigente.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Arial" w:cs="Arial" w:eastAsia="Arial" w:hAnsi="Arial"/>
          <w:color w:val="1F1F1F"/>
          <w:sz w:val="20"/>
          <w:szCs w:val="20"/>
        </w:rPr>
        <w:t xml:space="preserve">Construir desde </w:t>
      </w:r>
      <w:r>
        <w:rPr>
          <w:rFonts w:ascii="Consolas" w:cs="Consolas" w:eastAsia="Consolas" w:hAnsi="Consolas"/>
          <w:color w:val="7A5A00"/>
          <w:sz w:val="18"/>
          <w:szCs w:val="18"/>
        </w:rPr>
        <w:t xml:space="preserve">git archive</w:t>
      </w:r>
      <w:r>
        <w:rPr>
          <w:rFonts w:ascii="Arial" w:cs="Arial" w:eastAsia="Arial" w:hAnsi="Arial"/>
          <w:color w:val="1F1F1F"/>
          <w:sz w:val="20"/>
          <w:szCs w:val="20"/>
        </w:rPr>
        <w:t xml:space="preserve">, subir las etiquetas </w:t>
      </w:r>
      <w:r>
        <w:rPr>
          <w:rFonts w:ascii="Consolas" w:cs="Consolas" w:eastAsia="Consolas" w:hAnsi="Consolas"/>
          <w:color w:val="7A5A00"/>
          <w:sz w:val="18"/>
          <w:szCs w:val="18"/>
        </w:rPr>
        <w:t xml:space="preserve">&lt;sha&gt;</w:t>
      </w:r>
      <w:r>
        <w:rPr>
          <w:rFonts w:ascii="Arial" w:cs="Arial" w:eastAsia="Arial" w:hAnsi="Arial"/>
          <w:color w:val="1F1F1F"/>
          <w:sz w:val="20"/>
          <w:szCs w:val="20"/>
        </w:rPr>
        <w:t xml:space="preserve"> y </w:t>
      </w:r>
      <w:r>
        <w:rPr>
          <w:rFonts w:ascii="Consolas" w:cs="Consolas" w:eastAsia="Consolas" w:hAnsi="Consolas"/>
          <w:color w:val="7A5A00"/>
          <w:sz w:val="18"/>
          <w:szCs w:val="18"/>
        </w:rPr>
        <w:t xml:space="preserve">latest</w:t>
      </w:r>
      <w:r>
        <w:rPr>
          <w:rFonts w:ascii="Arial" w:cs="Arial" w:eastAsia="Arial" w:hAnsi="Arial"/>
          <w:color w:val="1F1F1F"/>
          <w:sz w:val="20"/>
          <w:szCs w:val="20"/>
        </w:rPr>
        <w:t xml:space="preserve">, forzar el despliegue.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Arial" w:cs="Arial" w:eastAsia="Arial" w:hAnsi="Arial"/>
          <w:color w:val="1F1F1F"/>
          <w:sz w:val="20"/>
          <w:szCs w:val="20"/>
        </w:rPr>
        <w:t xml:space="preserve">Esperar </w:t>
      </w:r>
      <w:r>
        <w:rPr>
          <w:rFonts w:ascii="Consolas" w:cs="Consolas" w:eastAsia="Consolas" w:hAnsi="Consolas"/>
          <w:color w:val="7A5A00"/>
          <w:sz w:val="18"/>
          <w:szCs w:val="18"/>
        </w:rPr>
        <w:t xml:space="preserve">services-stable</w:t>
      </w:r>
      <w:r>
        <w:rPr>
          <w:rFonts w:ascii="Arial" w:cs="Arial" w:eastAsia="Arial" w:hAnsi="Arial"/>
          <w:color w:val="1F1F1F"/>
          <w:sz w:val="20"/>
          <w:szCs w:val="20"/>
        </w:rPr>
        <w:t xml:space="preserve"> y verificar </w:t>
      </w:r>
      <w:r>
        <w:rPr>
          <w:rFonts w:ascii="Consolas" w:cs="Consolas" w:eastAsia="Consolas" w:hAnsi="Consolas"/>
          <w:color w:val="7A5A00"/>
          <w:sz w:val="18"/>
          <w:szCs w:val="18"/>
        </w:rPr>
        <w:t xml:space="preserve">/up</w:t>
      </w:r>
      <w:r>
        <w:rPr>
          <w:rFonts w:ascii="Arial" w:cs="Arial" w:eastAsia="Arial" w:hAnsi="Arial"/>
          <w:color w:val="1F1F1F"/>
          <w:sz w:val="20"/>
          <w:szCs w:val="20"/>
        </w:rPr>
        <w:t xml:space="preserve"> y el recorrido del rol afectado.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Arial" w:cs="Arial" w:eastAsia="Arial" w:hAnsi="Arial"/>
          <w:color w:val="1F1F1F"/>
          <w:sz w:val="20"/>
          <w:szCs w:val="20"/>
        </w:rPr>
        <w:t xml:space="preserve">Para revertir: etiquetar la imagen de respaldo como </w:t>
      </w:r>
      <w:r>
        <w:rPr>
          <w:rFonts w:ascii="Consolas" w:cs="Consolas" w:eastAsia="Consolas" w:hAnsi="Consolas"/>
          <w:color w:val="7A5A00"/>
          <w:sz w:val="18"/>
          <w:szCs w:val="18"/>
        </w:rPr>
        <w:t xml:space="preserve">latest</w:t>
      </w:r>
      <w:r>
        <w:rPr>
          <w:rFonts w:ascii="Arial" w:cs="Arial" w:eastAsia="Arial" w:hAnsi="Arial"/>
          <w:color w:val="1F1F1F"/>
          <w:sz w:val="20"/>
          <w:szCs w:val="20"/>
        </w:rPr>
        <w:t xml:space="preserve">, subirla y forzar el despliegue.</w:t>
      </w:r>
    </w:p>
    <w:p>
      <w:pPr>
        <w:spacing w:after="60"/>
      </w:pPr>
    </w:p>
    <w:p>
      <w:pPr>
        <w:keepNext/>
        <w:pBdr>
          <w:left w:val="single" w:color="8C2F2F" w:sz="24" w:space="8"/>
        </w:pBdr>
        <w:shd w:fill="F6E4E4" w:color="auto" w:val="clear"/>
        <w:spacing w:before="120" w:after="40"/>
        <w:ind w:left="160" w:right="120"/>
      </w:pPr>
      <w:r>
        <w:rPr>
          <w:rFonts w:ascii="Arial" w:cs="Arial" w:eastAsia="Arial" w:hAnsi="Arial"/>
          <w:b/>
          <w:bCs/>
          <w:color w:val="8C2F2F"/>
          <w:sz w:val="20"/>
          <w:szCs w:val="20"/>
        </w:rPr>
        <w:t xml:space="preserve">Riesgo</w:t>
      </w:r>
    </w:p>
    <w:p>
      <w:pPr>
        <w:keepNext w:val="false"/>
        <w:pBdr>
          <w:left w:val="single" w:color="8C2F2F" w:sz="24" w:space="8"/>
        </w:pBdr>
        <w:shd w:fill="F6E4E4" w:color="auto" w:val="clear"/>
        <w:spacing w:after="160" w:line="264"/>
        <w:ind w:left="160" w:right="120"/>
      </w:pPr>
      <w:r>
        <w:rPr>
          <w:rFonts w:ascii="Arial" w:cs="Arial" w:eastAsia="Arial" w:hAnsi="Arial"/>
          <w:color w:val="1F1F1F"/>
          <w:sz w:val="19"/>
          <w:szCs w:val="19"/>
        </w:rPr>
        <w:t xml:space="preserve">El arranque de la imagen de </w:t>
      </w:r>
      <w:r>
        <w:rPr>
          <w:rFonts w:ascii="Consolas" w:cs="Consolas" w:eastAsia="Consolas" w:hAnsi="Consolas"/>
          <w:color w:val="7A5A00"/>
          <w:sz w:val="17"/>
          <w:szCs w:val="17"/>
        </w:rPr>
        <w:t xml:space="preserve">barber</w:t>
      </w:r>
      <w:r>
        <w:rPr>
          <w:rFonts w:ascii="Arial" w:cs="Arial" w:eastAsia="Arial" w:hAnsi="Arial"/>
          <w:color w:val="1F1F1F"/>
          <w:sz w:val="19"/>
          <w:szCs w:val="19"/>
        </w:rPr>
        <w:t xml:space="preserve"> ejecuta </w:t>
      </w:r>
      <w:r>
        <w:rPr>
          <w:rFonts w:ascii="Consolas" w:cs="Consolas" w:eastAsia="Consolas" w:hAnsi="Consolas"/>
          <w:color w:val="7A5A00"/>
          <w:sz w:val="17"/>
          <w:szCs w:val="17"/>
        </w:rPr>
        <w:t xml:space="preserve">migrate --force</w:t>
      </w:r>
      <w:r>
        <w:rPr>
          <w:rFonts w:ascii="Arial" w:cs="Arial" w:eastAsia="Arial" w:hAnsi="Arial"/>
          <w:color w:val="1F1F1F"/>
          <w:sz w:val="19"/>
          <w:szCs w:val="19"/>
        </w:rPr>
        <w:t xml:space="preserve">. Recrear una tarea puede modificar datos: antes de publicar confirma las migraciones pendientes y que existe un respaldo restaurable.</w:t>
      </w:r>
    </w:p>
    <w:p>
      <w:pPr>
        <w:pStyle w:val="Heading1"/>
        <w:keepNext/>
        <w:pageBreakBefore/>
        <w:pBdr>
          <w:bottom w:val="single" w:color="C9A227" w:sz="12" w:space="4"/>
        </w:pBdr>
        <w:spacing w:before="0" w:after="160"/>
      </w:pPr>
      <w:r>
        <w:rPr>
          <w:rFonts w:ascii="Arial" w:cs="Arial" w:eastAsia="Arial" w:hAnsi="Arial"/>
          <w:b/>
          <w:bCs/>
          <w:color w:val="1F1F1F"/>
          <w:sz w:val="32"/>
          <w:szCs w:val="32"/>
        </w:rPr>
        <w:t xml:space="preserve">6. Secretos y variables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484"/>
        <w:gridCol w:w="4298"/>
        <w:gridCol w:w="4298"/>
      </w:tblGrid>
      <w:tr>
        <w:trPr>
          <w:cantSplit/>
          <w:tblHeader/>
        </w:trPr>
        <w:tc>
          <w:tcPr>
            <w:tcW w:type="dxa" w:w="14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4A4A4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Tipo</w:t>
            </w:r>
          </w:p>
        </w:tc>
        <w:tc>
          <w:tcPr>
            <w:tcW w:type="dxa" w:w="42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4A4A4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Dónde vive</w:t>
            </w:r>
          </w:p>
        </w:tc>
        <w:tc>
          <w:tcPr>
            <w:tcW w:type="dxa" w:w="42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4A4A4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Cómo cambiarlo</w:t>
            </w:r>
          </w:p>
        </w:tc>
      </w:tr>
      <w:tr>
        <w:trPr>
          <w:cantSplit/>
        </w:trPr>
        <w:tc>
          <w:tcPr>
            <w:tcW w:type="dxa" w:w="14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1F1F1F"/>
                <w:sz w:val="17"/>
                <w:szCs w:val="17"/>
              </w:rPr>
              <w:t xml:space="preserve">Secretos de </w:t>
            </w:r>
            <w:r>
              <w:rPr>
                <w:rFonts w:ascii="Consolas" w:cs="Consolas" w:eastAsia="Consolas" w:hAnsi="Consolas"/>
                <w:color w:val="7A5A00"/>
                <w:sz w:val="15"/>
                <w:szCs w:val="15"/>
              </w:rPr>
              <w:t xml:space="preserve">barber</w:t>
            </w:r>
          </w:p>
        </w:tc>
        <w:tc>
          <w:tcPr>
            <w:tcW w:type="dxa" w:w="42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color w:val="1F1F1F"/>
                <w:sz w:val="17"/>
                <w:szCs w:val="17"/>
              </w:rPr>
              <w:t xml:space="preserve">Secrets Manager (</w:t>
            </w:r>
            <w:r>
              <w:rPr>
                <w:rFonts w:ascii="Consolas" w:cs="Consolas" w:eastAsia="Consolas" w:hAnsi="Consolas"/>
                <w:color w:val="7A5A00"/>
                <w:sz w:val="15"/>
                <w:szCs w:val="15"/>
              </w:rPr>
              <w:t xml:space="preserve">urbanblade/staging/barber/…</w:t>
            </w:r>
            <w:r>
              <w:rPr>
                <w:rFonts w:ascii="Arial" w:cs="Arial" w:eastAsia="Arial" w:hAnsi="Arial"/>
                <w:color w:val="1F1F1F"/>
                <w:sz w:val="17"/>
                <w:szCs w:val="17"/>
              </w:rPr>
              <w:t xml:space="preserve">): </w:t>
            </w:r>
            <w:r>
              <w:rPr>
                <w:rFonts w:ascii="Consolas" w:cs="Consolas" w:eastAsia="Consolas" w:hAnsi="Consolas"/>
                <w:color w:val="7A5A00"/>
                <w:sz w:val="15"/>
                <w:szCs w:val="15"/>
              </w:rPr>
              <w:t xml:space="preserve">APP_KEY</w:t>
            </w:r>
            <w:r>
              <w:rPr>
                <w:rFonts w:ascii="Arial" w:cs="Arial" w:eastAsia="Arial" w:hAnsi="Arial"/>
                <w:color w:val="1F1F1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color w:val="7A5A00"/>
                <w:sz w:val="15"/>
                <w:szCs w:val="15"/>
              </w:rPr>
              <w:t xml:space="preserve">MONGODB_URI</w:t>
            </w:r>
            <w:r>
              <w:rPr>
                <w:rFonts w:ascii="Arial" w:cs="Arial" w:eastAsia="Arial" w:hAnsi="Arial"/>
                <w:color w:val="1F1F1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color w:val="7A5A00"/>
                <w:sz w:val="15"/>
                <w:szCs w:val="15"/>
              </w:rPr>
              <w:t xml:space="preserve">ANALYTICS_MONGODB_URI</w:t>
            </w:r>
            <w:r>
              <w:rPr>
                <w:rFonts w:ascii="Arial" w:cs="Arial" w:eastAsia="Arial" w:hAnsi="Arial"/>
                <w:color w:val="1F1F1F"/>
                <w:sz w:val="17"/>
                <w:szCs w:val="17"/>
              </w:rPr>
              <w:t xml:space="preserve">, claves de Stripe y Google, claves VAPID, credenciales de Firebase y contraseña de correo.</w:t>
            </w:r>
          </w:p>
        </w:tc>
        <w:tc>
          <w:tcPr>
            <w:tcW w:type="dxa" w:w="42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7A5A00"/>
                <w:sz w:val="15"/>
                <w:szCs w:val="15"/>
              </w:rPr>
              <w:t xml:space="preserve">put-secret-value</w:t>
            </w:r>
            <w:r>
              <w:rPr>
                <w:rFonts w:ascii="Arial" w:cs="Arial" w:eastAsia="Arial" w:hAnsi="Arial"/>
                <w:color w:val="1F1F1F"/>
                <w:sz w:val="17"/>
                <w:szCs w:val="17"/>
              </w:rPr>
              <w:t xml:space="preserve"> y luego forzar un despliegue (la tarea en marcha no relee el secreto).</w:t>
            </w:r>
          </w:p>
        </w:tc>
      </w:tr>
      <w:tr>
        <w:trPr>
          <w:cantSplit/>
        </w:trPr>
        <w:tc>
          <w:tcPr>
            <w:tcW w:type="dxa" w:w="14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4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1F1F1F"/>
                <w:sz w:val="17"/>
                <w:szCs w:val="17"/>
              </w:rPr>
              <w:t xml:space="preserve">Secretos de </w:t>
            </w:r>
            <w:r>
              <w:rPr>
                <w:rFonts w:ascii="Consolas" w:cs="Consolas" w:eastAsia="Consolas" w:hAnsi="Consolas"/>
                <w:color w:val="7A5A00"/>
                <w:sz w:val="15"/>
                <w:szCs w:val="15"/>
              </w:rPr>
              <w:t xml:space="preserve">spark</w:t>
            </w:r>
          </w:p>
        </w:tc>
        <w:tc>
          <w:tcPr>
            <w:tcW w:type="dxa" w:w="42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4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color w:val="1F1F1F"/>
                <w:sz w:val="17"/>
                <w:szCs w:val="17"/>
              </w:rPr>
              <w:t xml:space="preserve">Secrets Manager (</w:t>
            </w:r>
            <w:r>
              <w:rPr>
                <w:rFonts w:ascii="Consolas" w:cs="Consolas" w:eastAsia="Consolas" w:hAnsi="Consolas"/>
                <w:color w:val="7A5A00"/>
                <w:sz w:val="15"/>
                <w:szCs w:val="15"/>
              </w:rPr>
              <w:t xml:space="preserve">urbanblade/staging/spark/…</w:t>
            </w:r>
            <w:r>
              <w:rPr>
                <w:rFonts w:ascii="Arial" w:cs="Arial" w:eastAsia="Arial" w:hAnsi="Arial"/>
                <w:color w:val="1F1F1F"/>
                <w:sz w:val="17"/>
                <w:szCs w:val="17"/>
              </w:rPr>
              <w:t xml:space="preserve">).</w:t>
            </w:r>
          </w:p>
        </w:tc>
        <w:tc>
          <w:tcPr>
            <w:tcW w:type="dxa" w:w="42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4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color w:val="1F1F1F"/>
                <w:sz w:val="17"/>
                <w:szCs w:val="17"/>
              </w:rPr>
              <w:t xml:space="preserve">Igual.</w:t>
            </w:r>
          </w:p>
        </w:tc>
      </w:tr>
      <w:tr>
        <w:trPr>
          <w:cantSplit/>
        </w:trPr>
        <w:tc>
          <w:tcPr>
            <w:tcW w:type="dxa" w:w="14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1F1F1F"/>
                <w:sz w:val="17"/>
                <w:szCs w:val="17"/>
              </w:rPr>
              <w:t xml:space="preserve">Variables no secretas</w:t>
            </w:r>
          </w:p>
        </w:tc>
        <w:tc>
          <w:tcPr>
            <w:tcW w:type="dxa" w:w="42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color w:val="1F1F1F"/>
                <w:sz w:val="17"/>
                <w:szCs w:val="17"/>
              </w:rPr>
              <w:t xml:space="preserve">Definición de tarea (</w:t>
            </w:r>
            <w:r>
              <w:rPr>
                <w:rFonts w:ascii="Consolas" w:cs="Consolas" w:eastAsia="Consolas" w:hAnsi="Consolas"/>
                <w:color w:val="7A5A00"/>
                <w:sz w:val="15"/>
                <w:szCs w:val="15"/>
              </w:rPr>
              <w:t xml:space="preserve">APP_URL</w:t>
            </w:r>
            <w:r>
              <w:rPr>
                <w:rFonts w:ascii="Arial" w:cs="Arial" w:eastAsia="Arial" w:hAnsi="Arial"/>
                <w:color w:val="1F1F1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color w:val="7A5A00"/>
                <w:sz w:val="15"/>
                <w:szCs w:val="15"/>
              </w:rPr>
              <w:t xml:space="preserve">FRONTEND_URL</w:t>
            </w:r>
            <w:r>
              <w:rPr>
                <w:rFonts w:ascii="Arial" w:cs="Arial" w:eastAsia="Arial" w:hAnsi="Arial"/>
                <w:color w:val="1F1F1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color w:val="7A5A00"/>
                <w:sz w:val="15"/>
                <w:szCs w:val="15"/>
              </w:rPr>
              <w:t xml:space="preserve">CORS_ALLOWED_ORIGINS</w:t>
            </w:r>
            <w:r>
              <w:rPr>
                <w:rFonts w:ascii="Arial" w:cs="Arial" w:eastAsia="Arial" w:hAnsi="Arial"/>
                <w:color w:val="1F1F1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color w:val="7A5A00"/>
                <w:sz w:val="15"/>
                <w:szCs w:val="15"/>
              </w:rPr>
              <w:t xml:space="preserve">TRUSTED_PROXY_HOPS</w:t>
            </w:r>
            <w:r>
              <w:rPr>
                <w:rFonts w:ascii="Arial" w:cs="Arial" w:eastAsia="Arial" w:hAnsi="Arial"/>
                <w:color w:val="1F1F1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color w:val="7A5A00"/>
                <w:sz w:val="15"/>
                <w:szCs w:val="15"/>
              </w:rPr>
              <w:t xml:space="preserve">MAIL_*</w:t>
            </w:r>
            <w:r>
              <w:rPr>
                <w:rFonts w:ascii="Arial" w:cs="Arial" w:eastAsia="Arial" w:hAnsi="Arial"/>
                <w:color w:val="1F1F1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color w:val="7A5A00"/>
                <w:sz w:val="15"/>
                <w:szCs w:val="15"/>
              </w:rPr>
              <w:t xml:space="preserve">OLLAMA_*</w:t>
            </w:r>
            <w:r>
              <w:rPr>
                <w:rFonts w:ascii="Arial" w:cs="Arial" w:eastAsia="Arial" w:hAnsi="Arial"/>
                <w:color w:val="1F1F1F"/>
                <w:sz w:val="17"/>
                <w:szCs w:val="17"/>
              </w:rPr>
              <w:t xml:space="preserve">…).</w:t>
            </w:r>
          </w:p>
        </w:tc>
        <w:tc>
          <w:tcPr>
            <w:tcW w:type="dxa" w:w="42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color w:val="1F1F1F"/>
                <w:sz w:val="17"/>
                <w:szCs w:val="17"/>
              </w:rPr>
              <w:t xml:space="preserve">Registrar una revisión nueva y actualizar el servicio (requiere un perfil con </w:t>
            </w:r>
            <w:r>
              <w:rPr>
                <w:rFonts w:ascii="Consolas" w:cs="Consolas" w:eastAsia="Consolas" w:hAnsi="Consolas"/>
                <w:color w:val="7A5A00"/>
                <w:sz w:val="15"/>
                <w:szCs w:val="15"/>
              </w:rPr>
              <w:t xml:space="preserve">ecs:RegisterTaskDefinition</w:t>
            </w:r>
            <w:r>
              <w:rPr>
                <w:rFonts w:ascii="Arial" w:cs="Arial" w:eastAsia="Arial" w:hAnsi="Arial"/>
                <w:color w:val="1F1F1F"/>
                <w:sz w:val="17"/>
                <w:szCs w:val="17"/>
              </w:rPr>
              <w:t xml:space="preserve">).</w:t>
            </w:r>
          </w:p>
        </w:tc>
      </w:tr>
    </w:tbl>
    <w:p>
      <w:pPr>
        <w:spacing w:after="140"/>
      </w:pPr>
    </w:p>
    <w:p>
      <w:pPr>
        <w:spacing w:before="0" w:after="100" w:line="276"/>
      </w:pPr>
      <w:r>
        <w:rPr>
          <w:rFonts w:ascii="Arial" w:cs="Arial" w:eastAsia="Arial" w:hAnsi="Arial"/>
          <w:color w:val="1F1F1F"/>
          <w:sz w:val="20"/>
          <w:szCs w:val="20"/>
        </w:rPr>
        <w:t xml:space="preserve">Reglas: nunca pasar un secreto como argumento de línea de comandos que quede en el historial, no pegarlo en un informe y mantener separados test, desarrollo y staging. El procedimiento de rotación por proveedor está en </w:t>
      </w:r>
      <w:r>
        <w:rPr>
          <w:rFonts w:ascii="Consolas" w:cs="Consolas" w:eastAsia="Consolas" w:hAnsi="Consolas"/>
          <w:color w:val="7A5A00"/>
          <w:sz w:val="18"/>
          <w:szCs w:val="18"/>
        </w:rPr>
        <w:t xml:space="preserve">docs/referencia/PLAN_ROTACION_CREDENCIALES.md</w:t>
      </w:r>
      <w:r>
        <w:rPr>
          <w:rFonts w:ascii="Arial" w:cs="Arial" w:eastAsia="Arial" w:hAnsi="Arial"/>
          <w:color w:val="1F1F1F"/>
          <w:sz w:val="20"/>
          <w:szCs w:val="20"/>
        </w:rPr>
        <w:t xml:space="preserve">.</w:t>
      </w:r>
    </w:p>
    <w:p>
      <w:pPr>
        <w:pStyle w:val="Heading2"/>
        <w:keepNext/>
        <w:spacing w:before="260" w:after="110"/>
      </w:pPr>
      <w:r>
        <w:rPr>
          <w:rFonts w:ascii="Arial" w:cs="Arial" w:eastAsia="Arial" w:hAnsi="Arial"/>
          <w:b/>
          <w:bCs/>
          <w:color w:val="4A4A4A"/>
          <w:sz w:val="25"/>
          <w:szCs w:val="25"/>
        </w:rPr>
        <w:t xml:space="preserve">6.1 Variables críticas de la API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459"/>
        <w:gridCol w:w="3537"/>
        <w:gridCol w:w="4084"/>
      </w:tblGrid>
      <w:tr>
        <w:trPr>
          <w:cantSplit/>
          <w:tblHeader/>
        </w:trPr>
        <w:tc>
          <w:tcPr>
            <w:tcW w:type="dxa" w:w="24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4A4A4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Variable</w:t>
            </w:r>
          </w:p>
        </w:tc>
        <w:tc>
          <w:tcPr>
            <w:tcW w:type="dxa" w:w="35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4A4A4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Función</w:t>
            </w:r>
          </w:p>
        </w:tc>
        <w:tc>
          <w:tcPr>
            <w:tcW w:type="dxa" w:w="40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4A4A4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Si falta o es incorrecta</w:t>
            </w:r>
          </w:p>
        </w:tc>
      </w:tr>
      <w:tr>
        <w:trPr>
          <w:cantSplit/>
        </w:trPr>
        <w:tc>
          <w:tcPr>
            <w:tcW w:type="dxa" w:w="24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7A5A00"/>
                <w:sz w:val="15"/>
                <w:szCs w:val="15"/>
              </w:rPr>
              <w:t xml:space="preserve">TRUSTED_PROXY_HOPS=2</w:t>
            </w:r>
          </w:p>
        </w:tc>
        <w:tc>
          <w:tcPr>
            <w:tcW w:type="dxa" w:w="35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color w:val="1F1F1F"/>
                <w:sz w:val="17"/>
                <w:szCs w:val="17"/>
              </w:rPr>
              <w:t xml:space="preserve">Dos proxies propios (CloudFront y ALB).</w:t>
            </w:r>
          </w:p>
        </w:tc>
        <w:tc>
          <w:tcPr>
            <w:tcW w:type="dxa" w:w="40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color w:val="1F1F1F"/>
                <w:sz w:val="17"/>
                <w:szCs w:val="17"/>
              </w:rPr>
              <w:t xml:space="preserve">Todos los clientes comparten una IP y los límites por IP se vuelven globales.</w:t>
            </w:r>
          </w:p>
        </w:tc>
      </w:tr>
      <w:tr>
        <w:trPr>
          <w:cantSplit/>
        </w:trPr>
        <w:tc>
          <w:tcPr>
            <w:tcW w:type="dxa" w:w="24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4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7A5A00"/>
                <w:sz w:val="15"/>
                <w:szCs w:val="15"/>
              </w:rPr>
              <w:t xml:space="preserve">RUN_SCHEDULER=true</w:t>
            </w:r>
          </w:p>
        </w:tc>
        <w:tc>
          <w:tcPr>
            <w:tcW w:type="dxa" w:w="35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4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color w:val="1F1F1F"/>
                <w:sz w:val="17"/>
                <w:szCs w:val="17"/>
              </w:rPr>
              <w:t xml:space="preserve">Corre el planificador dentro del contenedor.</w:t>
            </w:r>
          </w:p>
        </w:tc>
        <w:tc>
          <w:tcPr>
            <w:tcW w:type="dxa" w:w="40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4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color w:val="1F1F1F"/>
                <w:sz w:val="17"/>
                <w:szCs w:val="17"/>
              </w:rPr>
              <w:t xml:space="preserve">Sin ella no hay recordatorios ni tareas programadas.</w:t>
            </w:r>
          </w:p>
        </w:tc>
      </w:tr>
      <w:tr>
        <w:trPr>
          <w:cantSplit/>
        </w:trPr>
        <w:tc>
          <w:tcPr>
            <w:tcW w:type="dxa" w:w="24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7A5A00"/>
                <w:sz w:val="15"/>
                <w:szCs w:val="15"/>
              </w:rPr>
              <w:t xml:space="preserve">CACHE_LIMITER_STORE</w:t>
            </w:r>
            <w:r>
              <w:rPr>
                <w:rFonts w:ascii="Arial" w:cs="Arial" w:eastAsia="Arial" w:hAnsi="Arial"/>
                <w:b/>
                <w:bCs/>
                <w:color w:val="1F1F1F"/>
                <w:sz w:val="17"/>
                <w:szCs w:val="17"/>
              </w:rPr>
              <w:t xml:space="preserve"> y </w:t>
            </w:r>
            <w:r>
              <w:rPr>
                <w:rFonts w:ascii="Consolas" w:cs="Consolas" w:eastAsia="Consolas" w:hAnsi="Consolas"/>
                <w:color w:val="7A5A00"/>
                <w:sz w:val="15"/>
                <w:szCs w:val="15"/>
              </w:rPr>
              <w:t xml:space="preserve">SCHEDULE_CACHE_STORE</w:t>
            </w:r>
          </w:p>
        </w:tc>
        <w:tc>
          <w:tcPr>
            <w:tcW w:type="dxa" w:w="35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color w:val="1F1F1F"/>
                <w:sz w:val="17"/>
                <w:szCs w:val="17"/>
              </w:rPr>
              <w:t xml:space="preserve">Almacén compartido para límites y para el mutex del planificador.</w:t>
            </w:r>
          </w:p>
        </w:tc>
        <w:tc>
          <w:tcPr>
            <w:tcW w:type="dxa" w:w="40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color w:val="1F1F1F"/>
                <w:sz w:val="17"/>
                <w:szCs w:val="17"/>
              </w:rPr>
              <w:t xml:space="preserve">Con varias réplicas las tareas se repiten y los límites se multiplican.</w:t>
            </w:r>
          </w:p>
        </w:tc>
      </w:tr>
      <w:tr>
        <w:trPr>
          <w:cantSplit/>
        </w:trPr>
        <w:tc>
          <w:tcPr>
            <w:tcW w:type="dxa" w:w="24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4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7A5A00"/>
                <w:sz w:val="15"/>
                <w:szCs w:val="15"/>
              </w:rPr>
              <w:t xml:space="preserve">CORS_ALLOWED_ORIGINS</w:t>
            </w:r>
          </w:p>
        </w:tc>
        <w:tc>
          <w:tcPr>
            <w:tcW w:type="dxa" w:w="35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4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color w:val="1F1F1F"/>
                <w:sz w:val="17"/>
                <w:szCs w:val="17"/>
              </w:rPr>
              <w:t xml:space="preserve">Orígenes web permitidos.</w:t>
            </w:r>
          </w:p>
        </w:tc>
        <w:tc>
          <w:tcPr>
            <w:tcW w:type="dxa" w:w="40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4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color w:val="1F1F1F"/>
                <w:sz w:val="17"/>
                <w:szCs w:val="17"/>
              </w:rPr>
              <w:t xml:space="preserve">La web no puede llamar a la API.</w:t>
            </w:r>
          </w:p>
        </w:tc>
      </w:tr>
    </w:tbl>
    <w:p>
      <w:pPr>
        <w:spacing w:after="140"/>
      </w:pPr>
    </w:p>
    <w:p>
      <w:pPr>
        <w:pStyle w:val="Heading1"/>
        <w:keepNext/>
        <w:pageBreakBefore/>
        <w:pBdr>
          <w:bottom w:val="single" w:color="C9A227" w:sz="12" w:space="4"/>
        </w:pBdr>
        <w:spacing w:before="0" w:after="160"/>
      </w:pPr>
      <w:r>
        <w:rPr>
          <w:rFonts w:ascii="Arial" w:cs="Arial" w:eastAsia="Arial" w:hAnsi="Arial"/>
          <w:b/>
          <w:bCs/>
          <w:color w:val="1F1F1F"/>
          <w:sz w:val="32"/>
          <w:szCs w:val="32"/>
        </w:rPr>
        <w:t xml:space="preserve">7. Datos: MongoDB Atlas, respaldos y archivos</w:t>
      </w:r>
    </w:p>
    <w:p>
      <w:pPr>
        <w:pStyle w:val="Heading2"/>
        <w:keepNext/>
        <w:spacing w:before="260" w:after="110"/>
      </w:pPr>
      <w:r>
        <w:rPr>
          <w:rFonts w:ascii="Arial" w:cs="Arial" w:eastAsia="Arial" w:hAnsi="Arial"/>
          <w:b/>
          <w:bCs/>
          <w:color w:val="4A4A4A"/>
          <w:sz w:val="25"/>
          <w:szCs w:val="25"/>
        </w:rPr>
        <w:t xml:space="preserve">7.1 Atlas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color w:val="1F1F1F"/>
          <w:sz w:val="20"/>
          <w:szCs w:val="20"/>
        </w:rPr>
        <w:t xml:space="preserve">Operación y analítica usan </w:t>
      </w:r>
      <w:r>
        <w:rPr>
          <w:rFonts w:ascii="Arial" w:cs="Arial" w:eastAsia="Arial" w:hAnsi="Arial"/>
          <w:b/>
          <w:bCs/>
          <w:color w:val="1F1F1F"/>
          <w:sz w:val="20"/>
          <w:szCs w:val="20"/>
        </w:rPr>
        <w:t xml:space="preserve">conexiones y alcances distintos</w:t>
      </w:r>
      <w:r>
        <w:rPr>
          <w:rFonts w:ascii="Arial" w:cs="Arial" w:eastAsia="Arial" w:hAnsi="Arial"/>
          <w:color w:val="1F1F1F"/>
          <w:sz w:val="20"/>
          <w:szCs w:val="20"/>
        </w:rPr>
        <w:t xml:space="preserve">. La web y Android nunca reciben credenciales de la base.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color w:val="1F1F1F"/>
          <w:sz w:val="20"/>
          <w:szCs w:val="20"/>
        </w:rPr>
        <w:t xml:space="preserve">Cada consumidor usa una credencial de mínimo privilegio: la API operativa lee y escribe en su base, la capa analítica solo lee, Spark lee el origen y publica derivados en una base aparte.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color w:val="1F1F1F"/>
          <w:sz w:val="20"/>
          <w:szCs w:val="20"/>
        </w:rPr>
        <w:t xml:space="preserve">Verifica periódicamente la lista de acceso de red y los privilegios efectivos </w:t>
      </w:r>
      <w:r>
        <w:rPr>
          <w:rFonts w:ascii="Arial" w:cs="Arial" w:eastAsia="Arial" w:hAnsi="Arial"/>
          <w:b/>
          <w:bCs/>
          <w:color w:val="1F1F1F"/>
          <w:sz w:val="20"/>
          <w:szCs w:val="20"/>
        </w:rPr>
        <w:t xml:space="preserve">sin escribir documentos de prueba</w:t>
      </w:r>
      <w:r>
        <w:rPr>
          <w:rFonts w:ascii="Arial" w:cs="Arial" w:eastAsia="Arial" w:hAnsi="Arial"/>
          <w:color w:val="1F1F1F"/>
          <w:sz w:val="20"/>
          <w:szCs w:val="20"/>
        </w:rPr>
        <w:t xml:space="preserve"> en la base operativa.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color w:val="1F1F1F"/>
          <w:sz w:val="20"/>
          <w:szCs w:val="20"/>
        </w:rPr>
        <w:t xml:space="preserve">Los pagos y el inventario usan transacciones, que necesitan un replica set.</w:t>
      </w:r>
    </w:p>
    <w:p>
      <w:pPr>
        <w:spacing w:after="60"/>
      </w:pPr>
    </w:p>
    <w:p>
      <w:pPr>
        <w:pStyle w:val="Heading2"/>
        <w:keepNext/>
        <w:spacing w:before="260" w:after="110"/>
      </w:pPr>
      <w:r>
        <w:rPr>
          <w:rFonts w:ascii="Arial" w:cs="Arial" w:eastAsia="Arial" w:hAnsi="Arial"/>
          <w:b/>
          <w:bCs/>
          <w:color w:val="4A4A4A"/>
          <w:sz w:val="25"/>
          <w:szCs w:val="25"/>
        </w:rPr>
        <w:t xml:space="preserve">7.2 Respaldos y recuperación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348"/>
        <w:gridCol w:w="2741"/>
        <w:gridCol w:w="3991"/>
      </w:tblGrid>
      <w:tr>
        <w:trPr>
          <w:cantSplit/>
          <w:tblHeader/>
        </w:trPr>
        <w:tc>
          <w:tcPr>
            <w:tcW w:type="dxa" w:w="33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4A4A4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Elemento</w:t>
            </w:r>
          </w:p>
        </w:tc>
        <w:tc>
          <w:tcPr>
            <w:tcW w:type="dxa" w:w="27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4A4A4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Qué permite</w:t>
            </w:r>
          </w:p>
        </w:tc>
        <w:tc>
          <w:tcPr>
            <w:tcW w:type="dxa" w:w="39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4A4A4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Qué falta comprobar</w:t>
            </w:r>
          </w:p>
        </w:tc>
      </w:tr>
      <w:tr>
        <w:trPr>
          <w:cantSplit/>
        </w:trPr>
        <w:tc>
          <w:tcPr>
            <w:tcW w:type="dxa" w:w="33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1F1F1F"/>
                <w:sz w:val="17"/>
                <w:szCs w:val="17"/>
              </w:rPr>
              <w:t xml:space="preserve">Exportación ZIP de la aplicación (</w:t>
            </w:r>
            <w:r>
              <w:rPr>
                <w:rFonts w:ascii="Consolas" w:cs="Consolas" w:eastAsia="Consolas" w:hAnsi="Consolas"/>
                <w:color w:val="7A5A00"/>
                <w:sz w:val="15"/>
                <w:szCs w:val="15"/>
              </w:rPr>
              <w:t xml:space="preserve">DatabaseBackupService</w:t>
            </w:r>
            <w:r>
              <w:rPr>
                <w:rFonts w:ascii="Arial" w:cs="Arial" w:eastAsia="Arial" w:hAnsi="Arial"/>
                <w:b/>
                <w:bCs/>
                <w:color w:val="1F1F1F"/>
                <w:sz w:val="17"/>
                <w:szCs w:val="17"/>
              </w:rPr>
              <w:t xml:space="preserve">)</w:t>
            </w:r>
          </w:p>
        </w:tc>
        <w:tc>
          <w:tcPr>
            <w:tcW w:type="dxa" w:w="27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color w:val="1F1F1F"/>
                <w:sz w:val="17"/>
                <w:szCs w:val="17"/>
              </w:rPr>
              <w:t xml:space="preserve">Copia de datos desde la aplicación.</w:t>
            </w:r>
          </w:p>
        </w:tc>
        <w:tc>
          <w:tcPr>
            <w:tcW w:type="dxa" w:w="39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color w:val="1F1F1F"/>
                <w:sz w:val="17"/>
                <w:szCs w:val="17"/>
              </w:rPr>
              <w:t xml:space="preserve">Que incluya las colecciones esperadas; no conserva todos los índices.</w:t>
            </w:r>
          </w:p>
        </w:tc>
      </w:tr>
      <w:tr>
        <w:trPr>
          <w:cantSplit/>
        </w:trPr>
        <w:tc>
          <w:tcPr>
            <w:tcW w:type="dxa" w:w="33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4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1F1F1F"/>
                <w:sz w:val="17"/>
                <w:szCs w:val="17"/>
              </w:rPr>
              <w:t xml:space="preserve">Scripts de respaldo cifrado (</w:t>
            </w:r>
            <w:r>
              <w:rPr>
                <w:rFonts w:ascii="Consolas" w:cs="Consolas" w:eastAsia="Consolas" w:hAnsi="Consolas"/>
                <w:color w:val="7A5A00"/>
                <w:sz w:val="15"/>
                <w:szCs w:val="15"/>
              </w:rPr>
              <w:t xml:space="preserve">scripts/</w:t>
            </w:r>
            <w:r>
              <w:rPr>
                <w:rFonts w:ascii="Arial" w:cs="Arial" w:eastAsia="Arial" w:hAnsi="Arial"/>
                <w:b/>
                <w:bCs/>
                <w:color w:val="1F1F1F"/>
                <w:sz w:val="17"/>
                <w:szCs w:val="17"/>
              </w:rPr>
              <w:t xml:space="preserve">)</w:t>
            </w:r>
          </w:p>
        </w:tc>
        <w:tc>
          <w:tcPr>
            <w:tcW w:type="dxa" w:w="27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4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color w:val="1F1F1F"/>
                <w:sz w:val="17"/>
                <w:szCs w:val="17"/>
              </w:rPr>
              <w:t xml:space="preserve">Preparar, cifrar, publicar y ensayar copias.</w:t>
            </w:r>
          </w:p>
        </w:tc>
        <w:tc>
          <w:tcPr>
            <w:tcW w:type="dxa" w:w="39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4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color w:val="1F1F1F"/>
                <w:sz w:val="17"/>
                <w:szCs w:val="17"/>
              </w:rPr>
              <w:t xml:space="preserve">Parámetros, permisos y que estén realmente programados.</w:t>
            </w:r>
          </w:p>
        </w:tc>
      </w:tr>
      <w:tr>
        <w:trPr>
          <w:cantSplit/>
        </w:trPr>
        <w:tc>
          <w:tcPr>
            <w:tcW w:type="dxa" w:w="33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1F1F1F"/>
                <w:sz w:val="17"/>
                <w:szCs w:val="17"/>
              </w:rPr>
              <w:t xml:space="preserve">Backup y recuperación de Atlas</w:t>
            </w:r>
          </w:p>
        </w:tc>
        <w:tc>
          <w:tcPr>
            <w:tcW w:type="dxa" w:w="27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color w:val="1F1F1F"/>
                <w:sz w:val="17"/>
                <w:szCs w:val="17"/>
              </w:rPr>
              <w:t xml:space="preserve">Según el nivel contratado.</w:t>
            </w:r>
          </w:p>
        </w:tc>
        <w:tc>
          <w:tcPr>
            <w:tcW w:type="dxa" w:w="39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color w:val="1F1F1F"/>
                <w:sz w:val="17"/>
                <w:szCs w:val="17"/>
              </w:rPr>
              <w:t xml:space="preserve">Qué está habilitado hoy en el clúster.</w:t>
            </w:r>
          </w:p>
        </w:tc>
      </w:tr>
      <w:tr>
        <w:trPr>
          <w:cantSplit/>
        </w:trPr>
        <w:tc>
          <w:tcPr>
            <w:tcW w:type="dxa" w:w="33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4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1F1F1F"/>
                <w:sz w:val="17"/>
                <w:szCs w:val="17"/>
              </w:rPr>
              <w:t xml:space="preserve">Ensayo de restauración</w:t>
            </w:r>
          </w:p>
        </w:tc>
        <w:tc>
          <w:tcPr>
            <w:tcW w:type="dxa" w:w="27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4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color w:val="1F1F1F"/>
                <w:sz w:val="17"/>
                <w:szCs w:val="17"/>
              </w:rPr>
              <w:t xml:space="preserve">Prueba de que un respaldo se recupera.</w:t>
            </w:r>
          </w:p>
        </w:tc>
        <w:tc>
          <w:tcPr>
            <w:tcW w:type="dxa" w:w="39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4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color w:val="1F1F1F"/>
                <w:sz w:val="17"/>
                <w:szCs w:val="17"/>
              </w:rPr>
              <w:t xml:space="preserve">Fecha, integridad, tiempos y destino aislado.</w:t>
            </w:r>
          </w:p>
        </w:tc>
      </w:tr>
    </w:tbl>
    <w:p>
      <w:pPr>
        <w:spacing w:after="140"/>
      </w:pPr>
    </w:p>
    <w:p>
      <w:pPr>
        <w:spacing w:before="0" w:after="100" w:line="276"/>
      </w:pPr>
      <w:r>
        <w:rPr>
          <w:rFonts w:ascii="Arial" w:cs="Arial" w:eastAsia="Arial" w:hAnsi="Arial"/>
          <w:color w:val="1F1F1F"/>
          <w:sz w:val="20"/>
          <w:szCs w:val="20"/>
        </w:rPr>
        <w:t xml:space="preserve">Ni los ensayos sintéticos ni un RPO/RTO propuesto demuestran que exista un respaldo externo de datos operativos. </w:t>
      </w:r>
      <w:r>
        <w:rPr>
          <w:rFonts w:ascii="Arial" w:cs="Arial" w:eastAsia="Arial" w:hAnsi="Arial"/>
          <w:b/>
          <w:bCs/>
          <w:color w:val="1F1F1F"/>
          <w:sz w:val="20"/>
          <w:szCs w:val="20"/>
        </w:rPr>
        <w:t xml:space="preserve">Acuerda y ensaya</w:t>
      </w:r>
      <w:r>
        <w:rPr>
          <w:rFonts w:ascii="Arial" w:cs="Arial" w:eastAsia="Arial" w:hAnsi="Arial"/>
          <w:color w:val="1F1F1F"/>
          <w:sz w:val="20"/>
          <w:szCs w:val="20"/>
        </w:rPr>
        <w:t xml:space="preserve"> RPO, RTO, retención y alertas. Al restaurar: verifica hash y origen, restaura primero en un destino aislado, valida índices y funciones críticas (no solo conteos) y acuerda el corte y la reversión antes de tocar datos operativos. Detalle en </w:t>
      </w:r>
      <w:r>
        <w:rPr>
          <w:rFonts w:ascii="Consolas" w:cs="Consolas" w:eastAsia="Consolas" w:hAnsi="Consolas"/>
          <w:color w:val="7A5A00"/>
          <w:sz w:val="18"/>
          <w:szCs w:val="18"/>
        </w:rPr>
        <w:t xml:space="preserve">docs/referencia/CONTINUIDAD_OPERATIVA.md</w:t>
      </w:r>
      <w:r>
        <w:rPr>
          <w:rFonts w:ascii="Arial" w:cs="Arial" w:eastAsia="Arial" w:hAnsi="Arial"/>
          <w:color w:val="1F1F1F"/>
          <w:sz w:val="20"/>
          <w:szCs w:val="20"/>
        </w:rPr>
        <w:t xml:space="preserve">.</w:t>
      </w:r>
    </w:p>
    <w:p>
      <w:pPr>
        <w:pStyle w:val="Heading2"/>
        <w:keepNext/>
        <w:spacing w:before="260" w:after="110"/>
      </w:pPr>
      <w:r>
        <w:rPr>
          <w:rFonts w:ascii="Arial" w:cs="Arial" w:eastAsia="Arial" w:hAnsi="Arial"/>
          <w:b/>
          <w:bCs/>
          <w:color w:val="4A4A4A"/>
          <w:sz w:val="25"/>
          <w:szCs w:val="25"/>
        </w:rPr>
        <w:t xml:space="preserve">7.3 Archivos</w:t>
      </w:r>
    </w:p>
    <w:p>
      <w:pPr>
        <w:spacing w:before="0" w:after="100" w:line="276"/>
      </w:pPr>
      <w:r>
        <w:rPr>
          <w:rFonts w:ascii="Arial" w:cs="Arial" w:eastAsia="Arial" w:hAnsi="Arial"/>
          <w:color w:val="1F1F1F"/>
          <w:sz w:val="20"/>
          <w:szCs w:val="20"/>
        </w:rPr>
        <w:t xml:space="preserve">Las imágenes públicas y los comprobantes usan buckets distintos. Los comprobantes se sirven con URL temporal de 15 minutos. El almacenamiento local de reserva comparte </w:t>
      </w:r>
      <w:r>
        <w:rPr>
          <w:rFonts w:ascii="Consolas" w:cs="Consolas" w:eastAsia="Consolas" w:hAnsi="Consolas"/>
          <w:color w:val="7A5A00"/>
          <w:sz w:val="18"/>
          <w:szCs w:val="18"/>
        </w:rPr>
        <w:t xml:space="preserve">storage/app/public</w:t>
      </w:r>
      <w:r>
        <w:rPr>
          <w:rFonts w:ascii="Arial" w:cs="Arial" w:eastAsia="Arial" w:hAnsi="Arial"/>
          <w:color w:val="1F1F1F"/>
          <w:sz w:val="20"/>
          <w:szCs w:val="20"/>
        </w:rPr>
        <w:t xml:space="preserve"> y </w:t>
      </w:r>
      <w:r>
        <w:rPr>
          <w:rFonts w:ascii="Arial" w:cs="Arial" w:eastAsia="Arial" w:hAnsi="Arial"/>
          <w:b/>
          <w:bCs/>
          <w:color w:val="1F1F1F"/>
          <w:sz w:val="20"/>
          <w:szCs w:val="20"/>
        </w:rPr>
        <w:t xml:space="preserve">no</w:t>
      </w:r>
      <w:r>
        <w:rPr>
          <w:rFonts w:ascii="Arial" w:cs="Arial" w:eastAsia="Arial" w:hAnsi="Arial"/>
          <w:color w:val="1F1F1F"/>
          <w:sz w:val="20"/>
          <w:szCs w:val="20"/>
        </w:rPr>
        <w:t xml:space="preserve"> ofrece el mismo aislamiento que S3 privado.</w:t>
      </w:r>
    </w:p>
    <w:p>
      <w:pPr>
        <w:pStyle w:val="Heading1"/>
        <w:keepNext/>
        <w:pageBreakBefore/>
        <w:pBdr>
          <w:bottom w:val="single" w:color="C9A227" w:sz="12" w:space="4"/>
        </w:pBdr>
        <w:spacing w:before="0" w:after="160"/>
      </w:pPr>
      <w:r>
        <w:rPr>
          <w:rFonts w:ascii="Arial" w:cs="Arial" w:eastAsia="Arial" w:hAnsi="Arial"/>
          <w:b/>
          <w:bCs/>
          <w:color w:val="1F1F1F"/>
          <w:sz w:val="32"/>
          <w:szCs w:val="32"/>
        </w:rPr>
        <w:t xml:space="preserve">8. Dominio, certificado y DNS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color w:val="1F1F1F"/>
          <w:sz w:val="20"/>
          <w:szCs w:val="20"/>
        </w:rPr>
        <w:t xml:space="preserve">El dominio </w:t>
      </w:r>
      <w:r>
        <w:rPr>
          <w:rFonts w:ascii="Consolas" w:cs="Consolas" w:eastAsia="Consolas" w:hAnsi="Consolas"/>
          <w:color w:val="7A5A00"/>
          <w:sz w:val="18"/>
          <w:szCs w:val="18"/>
        </w:rPr>
        <w:t xml:space="preserve">urbanblade.com.mx</w:t>
      </w:r>
      <w:r>
        <w:rPr>
          <w:rFonts w:ascii="Arial" w:cs="Arial" w:eastAsia="Arial" w:hAnsi="Arial"/>
          <w:color w:val="1F1F1F"/>
          <w:sz w:val="20"/>
          <w:szCs w:val="20"/>
        </w:rPr>
        <w:t xml:space="preserve"> se compró en GoDaddy; </w:t>
      </w:r>
      <w:r>
        <w:rPr>
          <w:rFonts w:ascii="Arial" w:cs="Arial" w:eastAsia="Arial" w:hAnsi="Arial"/>
          <w:b/>
          <w:bCs/>
          <w:color w:val="1F1F1F"/>
          <w:sz w:val="20"/>
          <w:szCs w:val="20"/>
        </w:rPr>
        <w:t xml:space="preserve">el DNS lo atiende Route 53</w:t>
      </w:r>
      <w:r>
        <w:rPr>
          <w:rFonts w:ascii="Arial" w:cs="Arial" w:eastAsia="Arial" w:hAnsi="Arial"/>
          <w:color w:val="1F1F1F"/>
          <w:sz w:val="20"/>
          <w:szCs w:val="20"/>
        </w:rPr>
        <w:t xml:space="preserve"> y GoDaddy solo conserva los servidores de nombres. Los registros de GoDaddy ya no tienen efecto: edita únicamente en Route 53.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color w:val="1F1F1F"/>
          <w:sz w:val="20"/>
          <w:szCs w:val="20"/>
        </w:rPr>
        <w:t xml:space="preserve">El certificado de ACM (región </w:t>
      </w:r>
      <w:r>
        <w:rPr>
          <w:rFonts w:ascii="Consolas" w:cs="Consolas" w:eastAsia="Consolas" w:hAnsi="Consolas"/>
          <w:color w:val="7A5A00"/>
          <w:sz w:val="18"/>
          <w:szCs w:val="18"/>
        </w:rPr>
        <w:t xml:space="preserve">us-east-1</w:t>
      </w:r>
      <w:r>
        <w:rPr>
          <w:rFonts w:ascii="Arial" w:cs="Arial" w:eastAsia="Arial" w:hAnsi="Arial"/>
          <w:color w:val="1F1F1F"/>
          <w:sz w:val="20"/>
          <w:szCs w:val="20"/>
        </w:rPr>
        <w:t xml:space="preserve">) cubre el dominio raíz, </w:t>
      </w:r>
      <w:r>
        <w:rPr>
          <w:rFonts w:ascii="Consolas" w:cs="Consolas" w:eastAsia="Consolas" w:hAnsi="Consolas"/>
          <w:color w:val="7A5A00"/>
          <w:sz w:val="18"/>
          <w:szCs w:val="18"/>
        </w:rPr>
        <w:t xml:space="preserve">www</w:t>
      </w:r>
      <w:r>
        <w:rPr>
          <w:rFonts w:ascii="Arial" w:cs="Arial" w:eastAsia="Arial" w:hAnsi="Arial"/>
          <w:color w:val="1F1F1F"/>
          <w:sz w:val="20"/>
          <w:szCs w:val="20"/>
        </w:rPr>
        <w:t xml:space="preserve">, </w:t>
      </w:r>
      <w:r>
        <w:rPr>
          <w:rFonts w:ascii="Consolas" w:cs="Consolas" w:eastAsia="Consolas" w:hAnsi="Consolas"/>
          <w:color w:val="7A5A00"/>
          <w:sz w:val="18"/>
          <w:szCs w:val="18"/>
        </w:rPr>
        <w:t xml:space="preserve">api</w:t>
      </w:r>
      <w:r>
        <w:rPr>
          <w:rFonts w:ascii="Arial" w:cs="Arial" w:eastAsia="Arial" w:hAnsi="Arial"/>
          <w:color w:val="1F1F1F"/>
          <w:sz w:val="20"/>
          <w:szCs w:val="20"/>
        </w:rPr>
        <w:t xml:space="preserve"> y </w:t>
      </w:r>
      <w:r>
        <w:rPr>
          <w:rFonts w:ascii="Consolas" w:cs="Consolas" w:eastAsia="Consolas" w:hAnsi="Consolas"/>
          <w:color w:val="7A5A00"/>
          <w:sz w:val="18"/>
          <w:szCs w:val="18"/>
        </w:rPr>
        <w:t xml:space="preserve">spark</w:t>
      </w:r>
      <w:r>
        <w:rPr>
          <w:rFonts w:ascii="Arial" w:cs="Arial" w:eastAsia="Arial" w:hAnsi="Arial"/>
          <w:color w:val="1F1F1F"/>
          <w:sz w:val="20"/>
          <w:szCs w:val="20"/>
        </w:rPr>
        <w:t xml:space="preserve"> y se renueva solo mientras existan sus registros de validación en la zona. </w:t>
      </w:r>
      <w:r>
        <w:rPr>
          <w:rFonts w:ascii="Arial" w:cs="Arial" w:eastAsia="Arial" w:hAnsi="Arial"/>
          <w:b/>
          <w:bCs/>
          <w:color w:val="1F1F1F"/>
          <w:sz w:val="20"/>
          <w:szCs w:val="20"/>
        </w:rPr>
        <w:t xml:space="preserve">No los borres.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color w:val="1F1F1F"/>
          <w:sz w:val="20"/>
          <w:szCs w:val="20"/>
        </w:rPr>
        <w:t xml:space="preserve">Para agregar un subdominio: pide un certificado nuevo con la lista completa de nombres, asócialo y su alias a la distribución de CloudFront y crea el registro en Route 53.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color w:val="1F1F1F"/>
          <w:sz w:val="20"/>
          <w:szCs w:val="20"/>
        </w:rPr>
        <w:t xml:space="preserve">Para distinguir CloudFront de GoDaddy al diagnosticar, busca la cabecera </w:t>
      </w:r>
      <w:r>
        <w:rPr>
          <w:rFonts w:ascii="Consolas" w:cs="Consolas" w:eastAsia="Consolas" w:hAnsi="Consolas"/>
          <w:color w:val="7A5A00"/>
          <w:sz w:val="18"/>
          <w:szCs w:val="18"/>
        </w:rPr>
        <w:t xml:space="preserve">Via: … (CloudFront)</w:t>
      </w:r>
      <w:r>
        <w:rPr>
          <w:rFonts w:ascii="Arial" w:cs="Arial" w:eastAsia="Arial" w:hAnsi="Arial"/>
          <w:color w:val="1F1F1F"/>
          <w:sz w:val="20"/>
          <w:szCs w:val="20"/>
        </w:rPr>
        <w:t xml:space="preserve">. Una respuesta 200 por sí sola no prueba nada.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color w:val="1F1F1F"/>
          <w:sz w:val="20"/>
          <w:szCs w:val="20"/>
        </w:rPr>
        <w:t xml:space="preserve">Renueva el dominio a tiempo (septiembre de 2027) y activa la renovación automática.</w:t>
      </w:r>
    </w:p>
    <w:p>
      <w:pPr>
        <w:spacing w:after="60"/>
      </w:pPr>
    </w:p>
    <w:p>
      <w:pPr>
        <w:pStyle w:val="Heading1"/>
        <w:keepNext/>
        <w:pageBreakBefore/>
        <w:pBdr>
          <w:bottom w:val="single" w:color="C9A227" w:sz="12" w:space="4"/>
        </w:pBdr>
        <w:spacing w:before="0" w:after="160"/>
      </w:pPr>
      <w:r>
        <w:rPr>
          <w:rFonts w:ascii="Arial" w:cs="Arial" w:eastAsia="Arial" w:hAnsi="Arial"/>
          <w:b/>
          <w:bCs/>
          <w:color w:val="1F1F1F"/>
          <w:sz w:val="32"/>
          <w:szCs w:val="32"/>
        </w:rPr>
        <w:t xml:space="preserve">9. Usuarios de la aplicación</w:t>
      </w:r>
    </w:p>
    <w:p>
      <w:pPr>
        <w:spacing w:before="0" w:after="100" w:line="276"/>
      </w:pPr>
      <w:r>
        <w:rPr>
          <w:rFonts w:ascii="Arial" w:cs="Arial" w:eastAsia="Arial" w:hAnsi="Arial"/>
          <w:color w:val="1F1F1F"/>
          <w:sz w:val="20"/>
          <w:szCs w:val="20"/>
        </w:rPr>
        <w:t xml:space="preserve">Los roles son </w:t>
      </w:r>
      <w:r>
        <w:rPr>
          <w:rFonts w:ascii="Arial" w:cs="Arial" w:eastAsia="Arial" w:hAnsi="Arial"/>
          <w:b/>
          <w:bCs/>
          <w:color w:val="1F1F1F"/>
          <w:sz w:val="20"/>
          <w:szCs w:val="20"/>
        </w:rPr>
        <w:t xml:space="preserve">administrador, recepcionista, barbero, cliente e ingeniero</w:t>
      </w:r>
      <w:r>
        <w:rPr>
          <w:rFonts w:ascii="Arial" w:cs="Arial" w:eastAsia="Arial" w:hAnsi="Arial"/>
          <w:color w:val="1F1F1F"/>
          <w:sz w:val="20"/>
          <w:szCs w:val="20"/>
        </w:rPr>
        <w:t xml:space="preserve">. El registro público y Google solo crean clientes; el personal lo da de alta un administrador desde la aplicación. Reglas: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color w:val="1F1F1F"/>
          <w:sz w:val="20"/>
          <w:szCs w:val="20"/>
        </w:rPr>
        <w:t xml:space="preserve">No publicar contraseñas temporales ni ejecutar </w:t>
      </w:r>
      <w:r>
        <w:rPr>
          <w:rFonts w:ascii="Consolas" w:cs="Consolas" w:eastAsia="Consolas" w:hAnsi="Consolas"/>
          <w:color w:val="7A5A00"/>
          <w:sz w:val="18"/>
          <w:szCs w:val="18"/>
        </w:rPr>
        <w:t xml:space="preserve">tinker</w:t>
      </w:r>
      <w:r>
        <w:rPr>
          <w:rFonts w:ascii="Arial" w:cs="Arial" w:eastAsia="Arial" w:hAnsi="Arial"/>
          <w:color w:val="1F1F1F"/>
          <w:sz w:val="20"/>
          <w:szCs w:val="20"/>
        </w:rPr>
        <w:t xml:space="preserve"> con credenciales en el comando.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color w:val="1F1F1F"/>
          <w:sz w:val="20"/>
          <w:szCs w:val="20"/>
        </w:rPr>
        <w:t xml:space="preserve">Un usuario eliminado lógicamente puede seguir ocupando su correo en el índice único; no uses </w:t>
      </w:r>
      <w:r>
        <w:rPr>
          <w:rFonts w:ascii="Consolas" w:cs="Consolas" w:eastAsia="Consolas" w:hAnsi="Consolas"/>
          <w:color w:val="7A5A00"/>
          <w:sz w:val="18"/>
          <w:szCs w:val="18"/>
        </w:rPr>
        <w:t xml:space="preserve">forceDelete</w:t>
      </w:r>
      <w:r>
        <w:rPr>
          <w:rFonts w:ascii="Arial" w:cs="Arial" w:eastAsia="Arial" w:hAnsi="Arial"/>
          <w:color w:val="1F1F1F"/>
          <w:sz w:val="20"/>
          <w:szCs w:val="20"/>
        </w:rPr>
        <w:t xml:space="preserve"> como solución rutinaria.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color w:val="1F1F1F"/>
          <w:sz w:val="20"/>
          <w:szCs w:val="20"/>
        </w:rPr>
        <w:t xml:space="preserve">En producción mantén </w:t>
      </w:r>
      <w:r>
        <w:rPr>
          <w:rFonts w:ascii="Consolas" w:cs="Consolas" w:eastAsia="Consolas" w:hAnsi="Consolas"/>
          <w:color w:val="7A5A00"/>
          <w:sz w:val="18"/>
          <w:szCs w:val="18"/>
        </w:rPr>
        <w:t xml:space="preserve">FIRST_USER_ADMIN_ENABLED=false</w:t>
      </w:r>
      <w:r>
        <w:rPr>
          <w:rFonts w:ascii="Arial" w:cs="Arial" w:eastAsia="Arial" w:hAnsi="Arial"/>
          <w:color w:val="1F1F1F"/>
          <w:sz w:val="20"/>
          <w:szCs w:val="20"/>
        </w:rPr>
        <w:t xml:space="preserve"> y crea el administrador con el seeder.</w:t>
      </w:r>
    </w:p>
    <w:p>
      <w:pPr>
        <w:spacing w:after="60"/>
      </w:pPr>
    </w:p>
    <w:p>
      <w:pPr>
        <w:pStyle w:val="Heading1"/>
        <w:keepNext/>
        <w:pageBreakBefore/>
        <w:pBdr>
          <w:bottom w:val="single" w:color="C9A227" w:sz="12" w:space="4"/>
        </w:pBdr>
        <w:spacing w:before="0" w:after="160"/>
      </w:pPr>
      <w:r>
        <w:rPr>
          <w:rFonts w:ascii="Arial" w:cs="Arial" w:eastAsia="Arial" w:hAnsi="Arial"/>
          <w:b/>
          <w:bCs/>
          <w:color w:val="1F1F1F"/>
          <w:sz w:val="32"/>
          <w:szCs w:val="32"/>
        </w:rPr>
        <w:t xml:space="preserve">10. Seguridad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364"/>
        <w:gridCol w:w="7716"/>
      </w:tblGrid>
      <w:tr>
        <w:trPr>
          <w:cantSplit/>
          <w:tblHeader/>
        </w:trPr>
        <w:tc>
          <w:tcPr>
            <w:tcW w:type="dxa" w:w="23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4A4A4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Control</w:t>
            </w:r>
          </w:p>
        </w:tc>
        <w:tc>
          <w:tcPr>
            <w:tcW w:type="dxa" w:w="77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4A4A4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Qué verificar</w:t>
            </w:r>
          </w:p>
        </w:tc>
      </w:tr>
      <w:tr>
        <w:trPr>
          <w:cantSplit/>
        </w:trPr>
        <w:tc>
          <w:tcPr>
            <w:tcW w:type="dxa" w:w="23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1F1F1F"/>
                <w:sz w:val="17"/>
                <w:szCs w:val="17"/>
              </w:rPr>
              <w:t xml:space="preserve">Red</w:t>
            </w:r>
          </w:p>
        </w:tc>
        <w:tc>
          <w:tcPr>
            <w:tcW w:type="dxa" w:w="77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color w:val="1F1F1F"/>
                <w:sz w:val="17"/>
                <w:szCs w:val="17"/>
              </w:rPr>
              <w:t xml:space="preserve">El ALB solo acepta tráfico de CloudFront; grupos de seguridad por puerto.</w:t>
            </w:r>
          </w:p>
        </w:tc>
      </w:tr>
      <w:tr>
        <w:trPr>
          <w:cantSplit/>
        </w:trPr>
        <w:tc>
          <w:tcPr>
            <w:tcW w:type="dxa" w:w="23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4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1F1F1F"/>
                <w:sz w:val="17"/>
                <w:szCs w:val="17"/>
              </w:rPr>
              <w:t xml:space="preserve">HTTPS</w:t>
            </w:r>
          </w:p>
        </w:tc>
        <w:tc>
          <w:tcPr>
            <w:tcW w:type="dxa" w:w="77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4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color w:val="1F1F1F"/>
                <w:sz w:val="17"/>
                <w:szCs w:val="17"/>
              </w:rPr>
              <w:t xml:space="preserve">CloudFront con ACM; HSTS en la web.</w:t>
            </w:r>
          </w:p>
        </w:tc>
      </w:tr>
      <w:tr>
        <w:trPr>
          <w:cantSplit/>
        </w:trPr>
        <w:tc>
          <w:tcPr>
            <w:tcW w:type="dxa" w:w="23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1F1F1F"/>
                <w:sz w:val="17"/>
                <w:szCs w:val="17"/>
              </w:rPr>
              <w:t xml:space="preserve">IAM</w:t>
            </w:r>
          </w:p>
        </w:tc>
        <w:tc>
          <w:tcPr>
            <w:tcW w:type="dxa" w:w="77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color w:val="1F1F1F"/>
                <w:sz w:val="17"/>
                <w:szCs w:val="17"/>
              </w:rPr>
              <w:t xml:space="preserve">Mínimo privilegio, un usuario por persona, claves rotadas.</w:t>
            </w:r>
          </w:p>
        </w:tc>
      </w:tr>
      <w:tr>
        <w:trPr>
          <w:cantSplit/>
        </w:trPr>
        <w:tc>
          <w:tcPr>
            <w:tcW w:type="dxa" w:w="23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4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1F1F1F"/>
                <w:sz w:val="17"/>
                <w:szCs w:val="17"/>
              </w:rPr>
              <w:t xml:space="preserve">Secretos</w:t>
            </w:r>
          </w:p>
        </w:tc>
        <w:tc>
          <w:tcPr>
            <w:tcW w:type="dxa" w:w="77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4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color w:val="1F1F1F"/>
                <w:sz w:val="17"/>
                <w:szCs w:val="17"/>
              </w:rPr>
              <w:t xml:space="preserve">Solo en Secrets Manager; escaneo de secretos en CI (Gitleaks).</w:t>
            </w:r>
          </w:p>
        </w:tc>
      </w:tr>
      <w:tr>
        <w:trPr>
          <w:cantSplit/>
        </w:trPr>
        <w:tc>
          <w:tcPr>
            <w:tcW w:type="dxa" w:w="23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1F1F1F"/>
                <w:sz w:val="17"/>
                <w:szCs w:val="17"/>
              </w:rPr>
              <w:t xml:space="preserve">Imágenes</w:t>
            </w:r>
          </w:p>
        </w:tc>
        <w:tc>
          <w:tcPr>
            <w:tcW w:type="dxa" w:w="77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color w:val="1F1F1F"/>
                <w:sz w:val="17"/>
                <w:szCs w:val="17"/>
              </w:rPr>
              <w:t xml:space="preserve">Escaneo con Trivy en CI.</w:t>
            </w:r>
          </w:p>
        </w:tc>
      </w:tr>
      <w:tr>
        <w:trPr>
          <w:cantSplit/>
        </w:trPr>
        <w:tc>
          <w:tcPr>
            <w:tcW w:type="dxa" w:w="23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4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1F1F1F"/>
                <w:sz w:val="17"/>
                <w:szCs w:val="17"/>
              </w:rPr>
              <w:t xml:space="preserve">Comprobantes</w:t>
            </w:r>
          </w:p>
        </w:tc>
        <w:tc>
          <w:tcPr>
            <w:tcW w:type="dxa" w:w="77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4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color w:val="1F1F1F"/>
                <w:sz w:val="17"/>
                <w:szCs w:val="17"/>
              </w:rPr>
              <w:t xml:space="preserve">Bucket privado y URL temporal.</w:t>
            </w:r>
          </w:p>
        </w:tc>
      </w:tr>
      <w:tr>
        <w:trPr>
          <w:cantSplit/>
        </w:trPr>
        <w:tc>
          <w:tcPr>
            <w:tcW w:type="dxa" w:w="23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1F1F1F"/>
                <w:sz w:val="17"/>
                <w:szCs w:val="17"/>
              </w:rPr>
              <w:t xml:space="preserve">Bucket de imágenes</w:t>
            </w:r>
          </w:p>
        </w:tc>
        <w:tc>
          <w:tcPr>
            <w:tcW w:type="dxa" w:w="77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color w:val="1F1F1F"/>
                <w:sz w:val="17"/>
                <w:szCs w:val="17"/>
              </w:rPr>
              <w:t xml:space="preserve">Lectura pública de objetos: confirma que solo contiene imágenes públicas.</w:t>
            </w:r>
          </w:p>
        </w:tc>
      </w:tr>
      <w:tr>
        <w:trPr>
          <w:cantSplit/>
        </w:trPr>
        <w:tc>
          <w:tcPr>
            <w:tcW w:type="dxa" w:w="23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4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1F1F1F"/>
                <w:sz w:val="17"/>
                <w:szCs w:val="17"/>
              </w:rPr>
              <w:t xml:space="preserve">Webhook de Stripe</w:t>
            </w:r>
          </w:p>
        </w:tc>
        <w:tc>
          <w:tcPr>
            <w:tcW w:type="dxa" w:w="77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4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color w:val="1F1F1F"/>
                <w:sz w:val="17"/>
                <w:szCs w:val="17"/>
              </w:rPr>
              <w:t xml:space="preserve">Verificación de firma; el destino debe estar en la misma cuenta que emite las claves.</w:t>
            </w:r>
          </w:p>
        </w:tc>
      </w:tr>
    </w:tbl>
    <w:p>
      <w:pPr>
        <w:spacing w:after="140"/>
      </w:pPr>
    </w:p>
    <w:p>
      <w:pPr>
        <w:pStyle w:val="Heading1"/>
        <w:keepNext/>
        <w:pageBreakBefore/>
        <w:pBdr>
          <w:bottom w:val="single" w:color="C9A227" w:sz="12" w:space="4"/>
        </w:pBdr>
        <w:spacing w:before="0" w:after="160"/>
      </w:pPr>
      <w:r>
        <w:rPr>
          <w:rFonts w:ascii="Arial" w:cs="Arial" w:eastAsia="Arial" w:hAnsi="Arial"/>
          <w:b/>
          <w:bCs/>
          <w:color w:val="1F1F1F"/>
          <w:sz w:val="32"/>
          <w:szCs w:val="32"/>
        </w:rPr>
        <w:t xml:space="preserve">11. Respuesta a incidentes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608"/>
        <w:gridCol w:w="5472"/>
      </w:tblGrid>
      <w:tr>
        <w:trPr>
          <w:cantSplit/>
          <w:tblHeader/>
        </w:trPr>
        <w:tc>
          <w:tcPr>
            <w:tcW w:type="dxa" w:w="46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4A4A4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Situación</w:t>
            </w:r>
          </w:p>
        </w:tc>
        <w:tc>
          <w:tcPr>
            <w:tcW w:type="dxa" w:w="54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4A4A4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Pasos</w:t>
            </w:r>
          </w:p>
        </w:tc>
      </w:tr>
      <w:tr>
        <w:trPr>
          <w:cantSplit/>
        </w:trPr>
        <w:tc>
          <w:tcPr>
            <w:tcW w:type="dxa" w:w="46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1F1F1F"/>
                <w:sz w:val="17"/>
                <w:szCs w:val="17"/>
              </w:rPr>
              <w:t xml:space="preserve">"La app no responde" o 502/504</w:t>
            </w:r>
          </w:p>
        </w:tc>
        <w:tc>
          <w:tcPr>
            <w:tcW w:type="dxa" w:w="54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color w:val="1F1F1F"/>
                <w:sz w:val="17"/>
                <w:szCs w:val="17"/>
              </w:rPr>
              <w:t xml:space="preserve">1) </w:t>
            </w:r>
            <w:r>
              <w:rPr>
                <w:rFonts w:ascii="Consolas" w:cs="Consolas" w:eastAsia="Consolas" w:hAnsi="Consolas"/>
                <w:color w:val="7A5A00"/>
                <w:sz w:val="15"/>
                <w:szCs w:val="15"/>
              </w:rPr>
              <w:t xml:space="preserve">describe-services</w:t>
            </w:r>
            <w:r>
              <w:rPr>
                <w:rFonts w:ascii="Arial" w:cs="Arial" w:eastAsia="Arial" w:hAnsi="Arial"/>
                <w:color w:val="1F1F1F"/>
                <w:sz w:val="17"/>
                <w:szCs w:val="17"/>
              </w:rPr>
              <w:t xml:space="preserve">: ¿</w:t>
            </w:r>
            <w:r>
              <w:rPr>
                <w:rFonts w:ascii="Consolas" w:cs="Consolas" w:eastAsia="Consolas" w:hAnsi="Consolas"/>
                <w:color w:val="7A5A00"/>
                <w:sz w:val="15"/>
                <w:szCs w:val="15"/>
              </w:rPr>
              <w:t xml:space="preserve">running</w:t>
            </w:r>
            <w:r>
              <w:rPr>
                <w:rFonts w:ascii="Arial" w:cs="Arial" w:eastAsia="Arial" w:hAnsi="Arial"/>
                <w:color w:val="1F1F1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Consolas" w:hAnsi="Consolas"/>
                <w:color w:val="7A5A00"/>
                <w:sz w:val="15"/>
                <w:szCs w:val="15"/>
              </w:rPr>
              <w:t xml:space="preserve">desired</w:t>
            </w:r>
            <w:r>
              <w:rPr>
                <w:rFonts w:ascii="Arial" w:cs="Arial" w:eastAsia="Arial" w:hAnsi="Arial"/>
                <w:color w:val="1F1F1F"/>
                <w:sz w:val="17"/>
                <w:szCs w:val="17"/>
              </w:rPr>
              <w:t xml:space="preserve">? 2) Revisa los logs al arrancar. 3) Revisa el estado de salud del grupo de destino. 4) No invalides caché: CloudFront no cachea nada aquí.</w:t>
            </w:r>
          </w:p>
        </w:tc>
      </w:tr>
      <w:tr>
        <w:trPr>
          <w:cantSplit/>
        </w:trPr>
        <w:tc>
          <w:tcPr>
            <w:tcW w:type="dxa" w:w="46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4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1F1F1F"/>
                <w:sz w:val="17"/>
                <w:szCs w:val="17"/>
              </w:rPr>
              <w:t xml:space="preserve">Servicio atascado (0 tareas, despliegues abiertos, sin eventos)</w:t>
            </w:r>
          </w:p>
        </w:tc>
        <w:tc>
          <w:tcPr>
            <w:tcW w:type="dxa" w:w="54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4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color w:val="1F1F1F"/>
                <w:sz w:val="17"/>
                <w:szCs w:val="17"/>
              </w:rPr>
              <w:t xml:space="preserve">Pasó con el frontend el 24-oct-2026 por una tarea Spot interrumpida. Respalda la configuración del servicio y recréalo con autorización del propietario.</w:t>
            </w:r>
          </w:p>
        </w:tc>
      </w:tr>
      <w:tr>
        <w:trPr>
          <w:cantSplit/>
        </w:trPr>
        <w:tc>
          <w:tcPr>
            <w:tcW w:type="dxa" w:w="46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1F1F1F"/>
                <w:sz w:val="17"/>
                <w:szCs w:val="17"/>
              </w:rPr>
              <w:t xml:space="preserve">Recordatorios repetidos</w:t>
            </w:r>
          </w:p>
        </w:tc>
        <w:tc>
          <w:tcPr>
            <w:tcW w:type="dxa" w:w="54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color w:val="1F1F1F"/>
                <w:sz w:val="17"/>
                <w:szCs w:val="17"/>
              </w:rPr>
              <w:t xml:space="preserve">Hay más de una réplica con planificador sin almacén compartido: aplica </w:t>
            </w:r>
            <w:r>
              <w:rPr>
                <w:rFonts w:ascii="Consolas" w:cs="Consolas" w:eastAsia="Consolas" w:hAnsi="Consolas"/>
                <w:color w:val="7A5A00"/>
                <w:sz w:val="15"/>
                <w:szCs w:val="15"/>
              </w:rPr>
              <w:t xml:space="preserve">SCHEDULE_CACHE_STORE</w:t>
            </w:r>
            <w:r>
              <w:rPr>
                <w:rFonts w:ascii="Arial" w:cs="Arial" w:eastAsia="Arial" w:hAnsi="Arial"/>
                <w:color w:val="1F1F1F"/>
                <w:sz w:val="17"/>
                <w:szCs w:val="17"/>
              </w:rPr>
              <w:t xml:space="preserve"> o deja una réplica.</w:t>
            </w:r>
          </w:p>
        </w:tc>
      </w:tr>
      <w:tr>
        <w:trPr>
          <w:cantSplit/>
        </w:trPr>
        <w:tc>
          <w:tcPr>
            <w:tcW w:type="dxa" w:w="46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4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1F1F1F"/>
                <w:sz w:val="17"/>
                <w:szCs w:val="17"/>
              </w:rPr>
              <w:t xml:space="preserve">Se expuso un secreto</w:t>
            </w:r>
          </w:p>
        </w:tc>
        <w:tc>
          <w:tcPr>
            <w:tcW w:type="dxa" w:w="54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4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color w:val="1F1F1F"/>
                <w:sz w:val="17"/>
                <w:szCs w:val="17"/>
              </w:rPr>
              <w:t xml:space="preserve">No copiar el valor. Informar por el canal privado, verificar si es real, rotar con el procedimiento y evaluar historial y logs. Borrar el archivo no revoca la credencial.</w:t>
            </w:r>
          </w:p>
        </w:tc>
      </w:tr>
      <w:tr>
        <w:trPr>
          <w:cantSplit/>
        </w:trPr>
        <w:tc>
          <w:tcPr>
            <w:tcW w:type="dxa" w:w="46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1F1F1F"/>
                <w:sz w:val="17"/>
                <w:szCs w:val="17"/>
              </w:rPr>
              <w:t xml:space="preserve">Pagos que no concilian</w:t>
            </w:r>
          </w:p>
        </w:tc>
        <w:tc>
          <w:tcPr>
            <w:tcW w:type="dxa" w:w="54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color w:val="1F1F1F"/>
                <w:sz w:val="17"/>
                <w:szCs w:val="17"/>
              </w:rPr>
              <w:t xml:space="preserve">Revisa que el webhook de Stripe apunte a </w:t>
            </w:r>
            <w:r>
              <w:rPr>
                <w:rFonts w:ascii="Consolas" w:cs="Consolas" w:eastAsia="Consolas" w:hAnsi="Consolas"/>
                <w:color w:val="7A5A00"/>
                <w:sz w:val="15"/>
                <w:szCs w:val="15"/>
              </w:rPr>
              <w:t xml:space="preserve">https://api.urbanblade.com.mx/api/stripe/webhook</w:t>
            </w:r>
            <w:r>
              <w:rPr>
                <w:rFonts w:ascii="Arial" w:cs="Arial" w:eastAsia="Arial" w:hAnsi="Arial"/>
                <w:color w:val="1F1F1F"/>
                <w:sz w:val="17"/>
                <w:szCs w:val="17"/>
              </w:rPr>
              <w:t xml:space="preserve"> y que el secreto de firma sea el del destino.</w:t>
            </w:r>
          </w:p>
        </w:tc>
      </w:tr>
      <w:tr>
        <w:trPr>
          <w:cantSplit/>
        </w:trPr>
        <w:tc>
          <w:tcPr>
            <w:tcW w:type="dxa" w:w="46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4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1F1F1F"/>
                <w:sz w:val="17"/>
                <w:szCs w:val="17"/>
              </w:rPr>
              <w:t xml:space="preserve">Correo que no llega</w:t>
            </w:r>
          </w:p>
        </w:tc>
        <w:tc>
          <w:tcPr>
            <w:tcW w:type="dxa" w:w="54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4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color w:val="1F1F1F"/>
                <w:sz w:val="17"/>
                <w:szCs w:val="17"/>
              </w:rPr>
              <w:t xml:space="preserve">Ejecuta </w:t>
            </w:r>
            <w:r>
              <w:rPr>
                <w:rFonts w:ascii="Consolas" w:cs="Consolas" w:eastAsia="Consolas" w:hAnsi="Consolas"/>
                <w:color w:val="7A5A00"/>
                <w:sz w:val="15"/>
                <w:szCs w:val="15"/>
              </w:rPr>
              <w:t xml:space="preserve">php artisan urbanblade:mail-check &lt;correo&gt;</w:t>
            </w:r>
            <w:r>
              <w:rPr>
                <w:rFonts w:ascii="Arial" w:cs="Arial" w:eastAsia="Arial" w:hAnsi="Arial"/>
                <w:color w:val="1F1F1F"/>
                <w:sz w:val="17"/>
                <w:szCs w:val="17"/>
              </w:rPr>
              <w:t xml:space="preserve">; revisa que el mailer no sea </w:t>
            </w:r>
            <w:r>
              <w:rPr>
                <w:rFonts w:ascii="Consolas" w:cs="Consolas" w:eastAsia="Consolas" w:hAnsi="Consolas"/>
                <w:color w:val="7A5A00"/>
                <w:sz w:val="15"/>
                <w:szCs w:val="15"/>
              </w:rPr>
              <w:t xml:space="preserve">log</w:t>
            </w:r>
            <w:r>
              <w:rPr>
                <w:rFonts w:ascii="Arial" w:cs="Arial" w:eastAsia="Arial" w:hAnsi="Arial"/>
                <w:color w:val="1F1F1F"/>
                <w:sz w:val="17"/>
                <w:szCs w:val="17"/>
              </w:rPr>
              <w:t xml:space="preserve"> y el límite diario de Gmail (~500).</w:t>
            </w:r>
          </w:p>
        </w:tc>
      </w:tr>
    </w:tbl>
    <w:p>
      <w:pPr>
        <w:spacing w:after="140"/>
      </w:pPr>
    </w:p>
    <w:p>
      <w:pPr>
        <w:pStyle w:val="Heading1"/>
        <w:keepNext/>
        <w:pageBreakBefore/>
        <w:pBdr>
          <w:bottom w:val="single" w:color="C9A227" w:sz="12" w:space="4"/>
        </w:pBdr>
        <w:spacing w:before="0" w:after="160"/>
      </w:pPr>
      <w:r>
        <w:rPr>
          <w:rFonts w:ascii="Arial" w:cs="Arial" w:eastAsia="Arial" w:hAnsi="Arial"/>
          <w:b/>
          <w:bCs/>
          <w:color w:val="1F1F1F"/>
          <w:sz w:val="32"/>
          <w:szCs w:val="32"/>
        </w:rPr>
        <w:t xml:space="preserve">12. Lo que el administrador no hace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color w:val="1F1F1F"/>
          <w:sz w:val="20"/>
          <w:szCs w:val="20"/>
        </w:rPr>
        <w:t xml:space="preserve">No ejecuta migraciones, semillas ni limpiezas de colecciones sin confirmar la base y tener respaldo.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color w:val="1F1F1F"/>
          <w:sz w:val="20"/>
          <w:szCs w:val="20"/>
        </w:rPr>
        <w:t xml:space="preserve">No borra recursos para "recuperar salud": usa el procedimiento de reversión acordado.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color w:val="1F1F1F"/>
          <w:sz w:val="20"/>
          <w:szCs w:val="20"/>
        </w:rPr>
        <w:t xml:space="preserve">No desactiva las guardas de entorno para hacer pasar un error.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color w:val="1F1F1F"/>
          <w:sz w:val="20"/>
          <w:szCs w:val="20"/>
        </w:rPr>
        <w:t xml:space="preserve">No reescribe el historial publicado de Git ni fuerza pushes.</w:t>
      </w:r>
    </w:p>
    <w:p>
      <w:pPr>
        <w:spacing w:after="60"/>
      </w:pPr>
    </w:p>
    <w:sectPr>
      <w:footerReference w:type="default" r:id="rId6"/>
      <w:pgSz w:w="12240" w:h="15840" w:orient="portrait"/>
      <w:pgMar w:top="900" w:right="1080" w:bottom="1000" w:left="1080" w:header="400" w:footer="4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9A227" w:sz="8" w:space="4"/>
      </w:pBdr>
    </w:pPr>
    <w:r>
      <w:rPr>
        <w:rFonts w:ascii="Arial" w:cs="Arial" w:eastAsia="Arial" w:hAnsi="Arial"/>
        <w:color w:val="595959"/>
        <w:sz w:val="16"/>
        <w:szCs w:val="16"/>
      </w:rPr>
      <w:t xml:space="preserve">UrbanBlade · Administrador de Sistemas · página </w:t>
    </w:r>
    <w:r>
      <w:rPr>
        <w:rFonts w:ascii="Arial" w:cs="Arial" w:eastAsia="Arial" w:hAnsi="Arial"/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  <w:lvl w:ilvl="1" w15:tentative="1">
      <w:start w:val="1"/>
      <w:numFmt w:val="bullet"/>
      <w:lvlText w:val="–"/>
      <w:lvlJc w:val="left"/>
      <w:pPr>
        <w:ind w:left="100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  <w:rPr>
        <w:b/>
        <w:bCs/>
        <w:color w:val="8A6D12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Arial" w:cs="Arial" w:eastAsia="Arial" w:hAnsi="Arial"/>
      <w:b/>
      <w:bCs/>
      <w:sz w:val="25"/>
      <w:szCs w:val="25"/>
    </w:rPr>
  </w:style>
  <w:style w:type="paragraph" w:styleId="Heading3">
    <w:name w:val="Heading 3"/>
    <w:basedOn w:val="Normal"/>
    <w:next w:val="Normal"/>
    <w:qFormat/>
    <w:pPr>
      <w:outlineLvl w:val="2"/>
    </w:pPr>
    <w:rPr>
      <w:rFonts w:ascii="Arial" w:cs="Arial" w:eastAsia="Arial" w:hAnsi="Arial"/>
      <w:b/>
      <w:bCs/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image" Target="media/1b0a71bbf4a7afa0b70023fb654e9ca486464019.png"/><Relationship Id="rId8" Type="http://schemas.openxmlformats.org/officeDocument/2006/relationships/image" Target="media/5948c1eb746f91bfbbe7b60dfda244f3b96b4d66.png"/><Relationship Id="rId9" Type="http://schemas.openxmlformats.org/officeDocument/2006/relationships/image" Target="media/d7beccaa6700822d441b0a0f64b240c36cee26c9.png"/><Relationship Id="rId10" Type="http://schemas.openxmlformats.org/officeDocument/2006/relationships/image" Target="media/c825194227ad8a21e6920bed72d87eb76b80b02a.png"/><Relationship Id="rId11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UrbanBlade — Administrador de Sistemas</dc:title>
  <dc:creator>Equipo UrbanBlade</dc:creator>
  <dc:description>Guía de operación diaria del entorno de pruebas de UrbanBlade en AWS, MongoDB Atlas y los servicios asociados.</dc:description>
  <cp:lastModifiedBy>Un-named</cp:lastModifiedBy>
  <cp:revision>1</cp:revision>
  <dcterms:created xsi:type="dcterms:W3CDTF">2026-10-28T18:29:20.730Z</dcterms:created>
  <dcterms:modified xsi:type="dcterms:W3CDTF">2026-10-28T18:29:20.730Z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