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2.6 Some useful numeric and statistical functions include:</w:t>
      </w:r>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6" w:name="exercise"/>
      <w:bookmarkEnd w:id="46"/>
      <w:r>
        <w:t xml:space="preserve">2.7 Exercise</w:t>
      </w:r>
    </w:p>
    <w:p>
      <w:pPr>
        <w:pStyle w:val="Compact"/>
        <w:numPr>
          <w:numId w:val="1009"/>
          <w:ilvl w:val="0"/>
        </w:numPr>
      </w:pPr>
      <w:r>
        <w:t xml:space="preserve">Find the mean, median, max and min for variables AGE and WEIGHT in the dataset offenders.</w:t>
      </w:r>
    </w:p>
    <w:p>
      <w:pPr>
        <w:pStyle w:val="Compact"/>
        <w:numPr>
          <w:numId w:val="1009"/>
          <w:ilvl w:val="0"/>
        </w:numPr>
      </w:pPr>
      <w:r>
        <w:t xml:space="preserve">By changing the SENTENCE class to factor output the levels of this variable.</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 R code which uses the pipe operator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outputs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1"/>
      <w:bookmarkEnd w:id="54"/>
      <w:r>
        <w:t xml:space="preserve">3.6 Exercises</w:t>
      </w:r>
    </w:p>
    <w:p>
      <w:pPr>
        <w:pStyle w:val="Compact"/>
        <w:numPr>
          <w:numId w:val="1010"/>
          <w:ilvl w:val="0"/>
        </w:numPr>
      </w:pPr>
      <w:r>
        <w:t xml:space="preserve">Using group_by and summarise, calculate the average and median age for females in the West.</w:t>
      </w:r>
    </w:p>
    <w:p>
      <w:pPr>
        <w:pStyle w:val="Compact"/>
        <w:numPr>
          <w:numId w:val="1010"/>
          <w:ilvl w:val="0"/>
        </w:numPr>
      </w:pPr>
      <w:r>
        <w:t xml:space="preserve">How many have heights of less than 2 metres, what are their (recorded) heights and gender(s)?</w:t>
      </w:r>
    </w:p>
    <w:p>
      <w:pPr>
        <w:pStyle w:val="Compact"/>
        <w:numPr>
          <w:numId w:val="1010"/>
          <w:ilvl w:val="0"/>
        </w:numPr>
      </w:pPr>
      <w:r>
        <w:t xml:space="preserve">Produce a table showing the counts of height (including missing values).</w:t>
      </w:r>
    </w:p>
    <w:p>
      <w:pPr>
        <w:pStyle w:val="Compact"/>
        <w:numPr>
          <w:numId w:val="1010"/>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"2019-01-10"</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2"/>
      <w:bookmarkEnd w:id="57"/>
      <w:r>
        <w:t xml:space="preserve">4.2 Exercises</w:t>
      </w:r>
    </w:p>
    <w:p>
      <w:pPr>
        <w:pStyle w:val="Compact"/>
        <w:numPr>
          <w:numId w:val="1011"/>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w:t>
      </w:r>
    </w:p>
    <w:p>
      <w:pPr>
        <w:pStyle w:val="Compact"/>
        <w:numPr>
          <w:numId w:val="1011"/>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1"/>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3"/>
      <w:bookmarkEnd w:id="62"/>
      <w:r>
        <w:t xml:space="preserve">5.4 Exercises</w:t>
      </w:r>
    </w:p>
    <w:p>
      <w:pPr>
        <w:pStyle w:val="Compact"/>
        <w:numPr>
          <w:numId w:val="1012"/>
          <w:ilvl w:val="0"/>
        </w:numPr>
      </w:pPr>
      <w:r>
        <w:t xml:space="preserve">Creating a new dataset called offenders_trial_age which includes the data in offenders_trial and the age column of offenders.</w:t>
      </w:r>
    </w:p>
    <w:p>
      <w:pPr>
        <w:pStyle w:val="Compact"/>
        <w:numPr>
          <w:numId w:val="1012"/>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use the is.na() function).</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3"/>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3"/>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3"/>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e3de7e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5dbae0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e71d2a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2019-01-10T15:27:47Z</dcterms:created>
  <dcterms:modified xsi:type="dcterms:W3CDTF">2019-01-10T15:27:47Z</dcterms:modified>
</cp:coreProperties>
</file>