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CAB5C" w14:textId="7234FEAC" w:rsidR="00827643" w:rsidRDefault="00B53C71">
      <w:pPr>
        <w:rPr>
          <w:rFonts w:ascii="inherit" w:eastAsia="PingFang SC" w:hAnsi="inherit"/>
          <w:b/>
          <w:bCs/>
          <w:color w:val="000000"/>
          <w:sz w:val="30"/>
          <w:szCs w:val="30"/>
        </w:rPr>
      </w:pPr>
      <w:r w:rsidRPr="00B53C71">
        <w:rPr>
          <w:rFonts w:ascii="inherit" w:eastAsia="PingFang SC" w:hAnsi="inherit"/>
          <w:b/>
          <w:bCs/>
          <w:color w:val="000000"/>
          <w:sz w:val="30"/>
          <w:szCs w:val="30"/>
        </w:rPr>
        <w:t>KİŞİSEL VERİLERİN KORUNMASI KANUNU</w:t>
      </w:r>
    </w:p>
    <w:p w14:paraId="67DF0F18" w14:textId="77777777" w:rsidR="00B53C71" w:rsidRPr="00B53C71" w:rsidRDefault="00B53C71" w:rsidP="00B53C71">
      <w:pPr>
        <w:widowControl/>
        <w:spacing w:line="305" w:lineRule="atLeast"/>
        <w:ind w:firstLine="709"/>
        <w:textAlignment w:val="center"/>
        <w:rPr>
          <w:rFonts w:ascii="PingFang SC" w:eastAsia="PingFang SC" w:hAnsi="PingFang SC" w:cs="宋体"/>
          <w:color w:val="000000"/>
          <w:kern w:val="0"/>
          <w:sz w:val="24"/>
          <w14:ligatures w14:val="none"/>
        </w:rPr>
      </w:pPr>
      <w:r w:rsidRPr="00B53C71">
        <w:rPr>
          <w:rFonts w:ascii="inherit" w:eastAsia="PingFang SC" w:hAnsi="inherit" w:cs="宋体"/>
          <w:b/>
          <w:bCs/>
          <w:color w:val="000000"/>
          <w:kern w:val="0"/>
          <w:sz w:val="24"/>
          <w14:ligatures w14:val="none"/>
        </w:rPr>
        <w:t>Veri Sorumluları Sicili</w:t>
      </w:r>
    </w:p>
    <w:p w14:paraId="7352FA4F"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MADDE 16-</w:t>
      </w:r>
      <w:r w:rsidRPr="00B53C71">
        <w:rPr>
          <w:rFonts w:ascii="inherit" w:eastAsia="PingFang SC" w:hAnsi="inherit" w:cs="宋体"/>
          <w:color w:val="000000"/>
          <w:kern w:val="0"/>
          <w:sz w:val="24"/>
          <w14:ligatures w14:val="none"/>
        </w:rPr>
        <w:t> (1) Kurulun gözetiminde, Başkanlık tarafından kamuya açık olarak Veri Sorumluları Sicili tutulur.</w:t>
      </w:r>
    </w:p>
    <w:p w14:paraId="5159ACCC"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(2) Kişisel verileri işleyen gerçek ve tüzel kişiler, veri işlemeye başlamadan önce Veri Sorumluları Siciline kaydolmak zorundadır. Ancak, işlenen kişisel verinin niteliği, sayısı, veri işlemenin kanundan kaynaklanması veya üçüncü kişilere aktarılma durumu gibi Kurulca belirlenecek objektif kriterler göz önüne alınmak suretiyle, Kurul tarafından, Veri Sorumluları Siciline kayıt zorunluluğuna istisna getirilebilir.</w:t>
      </w:r>
    </w:p>
    <w:p w14:paraId="7846F0F0"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(3) Veri Sorumluları Siciline kayıt başvurusu aşağıdaki hususları içeren bir bildirimle yapılır:</w:t>
      </w:r>
    </w:p>
    <w:p w14:paraId="5496176E"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a) Veri sorumlusu ve varsa temsilcisinin kimlik ve adres bilgileri.</w:t>
      </w:r>
    </w:p>
    <w:p w14:paraId="1D0DB48D"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b) Kişisel verilerin hangi amaçla işleneceği.</w:t>
      </w:r>
    </w:p>
    <w:p w14:paraId="31D433AE"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c) Veri konusu kişi grubu ve grupları ile bu kişilere ait veri kategorileri hakkındaki açıklamalar.</w:t>
      </w:r>
    </w:p>
    <w:p w14:paraId="34CF655D"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ç) Kişisel verilerin aktarılabileceği alıcı veya alıcı grupları.</w:t>
      </w:r>
    </w:p>
    <w:p w14:paraId="137081BF"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d) Yabancı ülkelere aktarımı öngörülen kişisel veriler.</w:t>
      </w:r>
    </w:p>
    <w:p w14:paraId="5E2E3182"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e) Kişisel veri güvenliğine ilişkin alınan tedbirler.</w:t>
      </w:r>
    </w:p>
    <w:p w14:paraId="2D2E401D"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f) Kişisel verilerin işlendikleri amaç için gerekli olan azami süre.</w:t>
      </w:r>
    </w:p>
    <w:p w14:paraId="625E63FC"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(4) Üçüncü fıkra uyarınca verilen bilgilerde meydana gelen değişiklikler derhâl Başkanlığa bildirilir.</w:t>
      </w:r>
    </w:p>
    <w:p w14:paraId="5A2EB760"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(5) Veri Sorumluları Siciline ilişkin diğer usul ve esaslar yönetmelikle düzenlenir.</w:t>
      </w:r>
    </w:p>
    <w:p w14:paraId="226C6D59" w14:textId="77777777" w:rsidR="00B53C71" w:rsidRDefault="00B53C71">
      <w:pPr>
        <w:rPr>
          <w:sz w:val="30"/>
          <w:szCs w:val="30"/>
        </w:rPr>
      </w:pPr>
    </w:p>
    <w:p w14:paraId="4B334967" w14:textId="77777777" w:rsidR="00B53C71" w:rsidRPr="00B53C71" w:rsidRDefault="00B53C71" w:rsidP="00B53C71">
      <w:pPr>
        <w:widowControl/>
        <w:spacing w:line="305" w:lineRule="atLeast"/>
        <w:ind w:firstLine="709"/>
        <w:textAlignment w:val="center"/>
        <w:rPr>
          <w:rFonts w:ascii="PingFang SC" w:eastAsia="PingFang SC" w:hAnsi="PingFang SC" w:cs="宋体"/>
          <w:color w:val="000000"/>
          <w:kern w:val="0"/>
          <w:sz w:val="24"/>
          <w14:ligatures w14:val="none"/>
        </w:rPr>
      </w:pPr>
      <w:r w:rsidRPr="00B53C71">
        <w:rPr>
          <w:rFonts w:ascii="inherit" w:eastAsia="PingFang SC" w:hAnsi="inherit" w:cs="宋体"/>
          <w:b/>
          <w:bCs/>
          <w:color w:val="000000"/>
          <w:kern w:val="0"/>
          <w:sz w:val="24"/>
          <w14:ligatures w14:val="none"/>
        </w:rPr>
        <w:t>Kabahatler</w:t>
      </w:r>
      <w:bookmarkStart w:id="0" w:name="_ftnref1"/>
      <w:r w:rsidRPr="00B53C71">
        <w:rPr>
          <w:rFonts w:ascii="Times New Roman" w:eastAsia="PingFang SC" w:hAnsi="Times New Roman" w:cs="Times New Roman"/>
          <w:b/>
          <w:bCs/>
          <w:color w:val="000000"/>
          <w:kern w:val="0"/>
          <w:sz w:val="24"/>
          <w:vertAlign w:val="superscript"/>
          <w14:ligatures w14:val="none"/>
        </w:rPr>
        <w:t>[1]</w:t>
      </w:r>
      <w:bookmarkEnd w:id="0"/>
    </w:p>
    <w:p w14:paraId="0993E441"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MADDE 18-</w:t>
      </w:r>
      <w:r w:rsidRPr="00B53C71">
        <w:rPr>
          <w:rFonts w:ascii="inherit" w:eastAsia="PingFang SC" w:hAnsi="inherit" w:cs="宋体"/>
          <w:color w:val="000000"/>
          <w:kern w:val="0"/>
          <w:sz w:val="24"/>
          <w14:ligatures w14:val="none"/>
        </w:rPr>
        <w:t xml:space="preserve"> (1) Bu </w:t>
      </w:r>
      <w:proofErr w:type="gramStart"/>
      <w:r w:rsidRPr="00B53C71">
        <w:rPr>
          <w:rFonts w:ascii="inherit" w:eastAsia="PingFang SC" w:hAnsi="inherit" w:cs="宋体"/>
          <w:color w:val="000000"/>
          <w:kern w:val="0"/>
          <w:sz w:val="24"/>
          <w14:ligatures w14:val="none"/>
        </w:rPr>
        <w:t>Kanunun;</w:t>
      </w:r>
      <w:proofErr w:type="gramEnd"/>
    </w:p>
    <w:p w14:paraId="09A835BB"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a) 10 uncu maddesinde öngörülen aydınlatma yükümlülüğünü yerine getirmeyenler hakkında 5.000 Türk lirasından 100.000 Türk lirasına kadar,</w:t>
      </w:r>
    </w:p>
    <w:p w14:paraId="15220F8B"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b) 12 nci maddesinde öngörülen veri güvenliğine ilişkin yükümlülükleri yerine getirmeyenler hakkında 15.000 Türk lirasından 1.000.000 Türk lirasına kadar,</w:t>
      </w:r>
    </w:p>
    <w:p w14:paraId="56BAFB58"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c) 15 inci maddesi uyarınca Kurul tarafından verilen kararları yerine getirmeyenler hakkında 25.000 Türk lirasından 1.000.000 Türk lirasına kadar,</w:t>
      </w:r>
    </w:p>
    <w:p w14:paraId="5E49537B"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ç) 16 ncı maddesinde öngörülen Veri Sorumluları Siciline kayıt ve bildirim yükümlülüğüne aykırı hareket edenler hakkında 20.000 Türk lirasından 1.000.000 Türk lirasına kadar,</w:t>
      </w:r>
    </w:p>
    <w:p w14:paraId="3E1480D5"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d) </w:t>
      </w:r>
      <w:r w:rsidRPr="00B53C71">
        <w:rPr>
          <w:rFonts w:ascii="inherit" w:eastAsia="PingFang SC" w:hAnsi="inherit" w:cs="宋体"/>
          <w:b/>
          <w:bCs/>
          <w:color w:val="000000"/>
          <w:kern w:val="0"/>
          <w:sz w:val="24"/>
          <w14:ligatures w14:val="none"/>
        </w:rPr>
        <w:t>(Ek:2/3/2024-7499/35 md.) </w:t>
      </w:r>
      <w:r w:rsidRPr="00B53C71">
        <w:rPr>
          <w:rFonts w:ascii="inherit" w:eastAsia="PingFang SC" w:hAnsi="inherit" w:cs="宋体"/>
          <w:color w:val="000000"/>
          <w:kern w:val="0"/>
          <w:sz w:val="24"/>
          <w14:ligatures w14:val="none"/>
        </w:rPr>
        <w:t>9 uncu maddenin beşinci fıkrasında öngörülen bildirim yükümlülüğünü yerine getirmeyenler hakkında 50.000 Türk lirasından 1.000.000 Türk lirasına kadar,</w:t>
      </w:r>
    </w:p>
    <w:p w14:paraId="339F3B7A"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idari para cezası verilir.</w:t>
      </w:r>
    </w:p>
    <w:p w14:paraId="7EB997D3"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lastRenderedPageBreak/>
        <w:t>(2) </w:t>
      </w:r>
      <w:r w:rsidRPr="00B53C71">
        <w:rPr>
          <w:rFonts w:ascii="inherit" w:eastAsia="PingFang SC" w:hAnsi="inherit" w:cs="宋体"/>
          <w:b/>
          <w:bCs/>
          <w:color w:val="000000"/>
          <w:kern w:val="0"/>
          <w:sz w:val="24"/>
          <w14:ligatures w14:val="none"/>
        </w:rPr>
        <w:t>(Değişik:2/3/2024-7499/35 md.) </w:t>
      </w:r>
      <w:r w:rsidRPr="00B53C71">
        <w:rPr>
          <w:rFonts w:ascii="inherit" w:eastAsia="PingFang SC" w:hAnsi="inherit" w:cs="宋体"/>
          <w:color w:val="000000"/>
          <w:kern w:val="0"/>
          <w:sz w:val="24"/>
          <w14:ligatures w14:val="none"/>
        </w:rPr>
        <w:t>Birinci fıkranın (a), (b), (c) ve (ç) bentlerinde öngörülen idari para cezaları veri sorumlusu, (d) bendinde öngörülen idari para cezası veri sorumlusu veya veri işleyen gerçek kişiler ile özel hukuk tüzel kişileri hakkında uygulanır.</w:t>
      </w:r>
    </w:p>
    <w:p w14:paraId="3102780F"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(3) </w:t>
      </w:r>
      <w:r w:rsidRPr="00B53C71">
        <w:rPr>
          <w:rFonts w:ascii="inherit" w:eastAsia="PingFang SC" w:hAnsi="inherit" w:cs="宋体"/>
          <w:b/>
          <w:bCs/>
          <w:color w:val="000000"/>
          <w:kern w:val="0"/>
          <w:sz w:val="24"/>
          <w14:ligatures w14:val="none"/>
        </w:rPr>
        <w:t>(Ek:2/3/2024-7499/35 md.) </w:t>
      </w:r>
      <w:r w:rsidRPr="00B53C71">
        <w:rPr>
          <w:rFonts w:ascii="inherit" w:eastAsia="PingFang SC" w:hAnsi="inherit" w:cs="宋体"/>
          <w:color w:val="000000"/>
          <w:kern w:val="0"/>
          <w:sz w:val="24"/>
          <w14:ligatures w14:val="none"/>
        </w:rPr>
        <w:t>Kurulca verilen idari para cezalarına karşı, idare mahkemelerinde dava açılabilir.</w:t>
      </w:r>
    </w:p>
    <w:p w14:paraId="46C49B69"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(4) Birinci fıkrada sayılan eylemlerin kamu kurum ve kuruluşları ile kamu kurumu niteliğindeki meslek kuruluşları bünyesinde işlenmesi hâlinde, Kurulun yapacağı bildirim üzerine, ilgili kamu kurum ve kuruluşunda görev yapan memurlar ve diğer kamu görevlileri ile kamu kurumu niteliğindeki meslek kuruluşlarında görev yapanlar hakkında disiplin hükümlerine göre işlem yapılır ve sonucu Kurula bildirilir.</w:t>
      </w:r>
    </w:p>
    <w:p w14:paraId="7F8ADB50"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 </w:t>
      </w:r>
    </w:p>
    <w:p w14:paraId="3DC64CBB" w14:textId="77777777" w:rsidR="00B53C71" w:rsidRPr="00B53C71" w:rsidRDefault="00B53C71" w:rsidP="00B53C71">
      <w:pPr>
        <w:widowControl/>
        <w:spacing w:line="305" w:lineRule="atLeast"/>
        <w:ind w:firstLine="709"/>
        <w:textAlignment w:val="center"/>
        <w:rPr>
          <w:rFonts w:ascii="PingFang SC" w:eastAsia="PingFang SC" w:hAnsi="PingFang SC" w:cs="宋体"/>
          <w:color w:val="000000"/>
          <w:kern w:val="0"/>
          <w:sz w:val="24"/>
          <w14:ligatures w14:val="none"/>
        </w:rPr>
      </w:pPr>
      <w:r w:rsidRPr="00B53C71">
        <w:rPr>
          <w:rFonts w:ascii="inherit" w:eastAsia="PingFang SC" w:hAnsi="inherit" w:cs="宋体"/>
          <w:b/>
          <w:bCs/>
          <w:color w:val="000000"/>
          <w:kern w:val="0"/>
          <w:sz w:val="24"/>
          <w14:ligatures w14:val="none"/>
        </w:rPr>
        <w:t>İstisnalar</w:t>
      </w:r>
    </w:p>
    <w:p w14:paraId="7B7A7D58"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MADDE 28- </w:t>
      </w:r>
      <w:r w:rsidRPr="00B53C71">
        <w:rPr>
          <w:rFonts w:ascii="inherit" w:eastAsia="PingFang SC" w:hAnsi="inherit" w:cs="宋体"/>
          <w:color w:val="000000"/>
          <w:kern w:val="0"/>
          <w:sz w:val="24"/>
          <w14:ligatures w14:val="none"/>
        </w:rPr>
        <w:t>(1) Bu Kanun hükümleri aşağıdaki hâllerde uygulanmaz:</w:t>
      </w:r>
    </w:p>
    <w:p w14:paraId="252789E3"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a) Kişisel verilerin, üçüncü kişilere verilmemek ve veri güvenliğine ilişkin yükümlülüklere uyulmak kaydıyla gerçek kişiler tarafından tamamen kendisiyle veya aynı konutta yaşayan aile fertleriyle ilgili faaliyetler kapsamında işlenmesi.</w:t>
      </w:r>
    </w:p>
    <w:p w14:paraId="78E1991C"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b) Kişisel verilerin resmi istatistik ile anonim hâle getirilmek suretiyle araştırma, planlama ve istatistik gibi amaçlarla işlenmesi.</w:t>
      </w:r>
    </w:p>
    <w:p w14:paraId="01BBCA9A"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c) Kişisel verilerin millî savunmayı, millî güvenliği, kamu güvenliğini, kamu düzenini, ekonomik güvenliği, özel hayatın gizliliğini veya kişilik haklarını ihlal etmemek ya da suç teşkil etmemek kaydıyla, sanat, tarih, edebiyat veya bilimsel amaçlarla ya da ifade özgürlüğü kapsamında işlenmesi.</w:t>
      </w:r>
    </w:p>
    <w:p w14:paraId="1C5819FD"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ç) Kişisel verilerin millî savunmayı, millî güvenliği, kamu güvenliğini, kamu düzenini veya ekonomik güvenliği sağlamaya yönelik olarak kanunla görev ve yetki verilmiş kamu kurum ve kuruluşları tarafından yürütülen önleyici, koruyucu ve istihbari faaliyetler kapsamında işlenmesi.</w:t>
      </w:r>
    </w:p>
    <w:p w14:paraId="7AE9C08C"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d) Kişisel verilerin soruşturma, kovuşturma, yargılama veya infaz işlemlerine ilişkin olarak yargı makamları veya infaz mercileri tarafından işlenmesi.</w:t>
      </w:r>
    </w:p>
    <w:p w14:paraId="748CB032"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(2) Bu Kanunun amacına ve temel ilkelerine uygun ve orantılı olmak kaydıyla veri sorumlusunun aydınlatma yükümlülüğünü düzenleyen 10 uncu, zararın giderilmesini talep etme hakkı hariç, ilgili kişinin haklarını düzenleyen 11 inci ve Veri Sorumluları Siciline kayıt yükümlülüğünü düzenleyen 16 ncı maddeleri aşağıdaki hâllerde uygulanmaz:</w:t>
      </w:r>
    </w:p>
    <w:p w14:paraId="5450593C"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a) Kişisel veri işlemenin suç işlenmesinin önlenmesi veya suç soruşturması için gerekli olması.</w:t>
      </w:r>
    </w:p>
    <w:p w14:paraId="297C425E"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b) İlgili kişinin kendisi tarafından alenileştirilmiş kişisel verilerin işlenmesi.</w:t>
      </w:r>
    </w:p>
    <w:p w14:paraId="1F0AD562"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c) Kişisel veri işlemenin kanunun verdiği yetkiye dayanılarak görevli ve yetkili kamu kurum ve kuruluşları ile kamu kurumu niteliğindeki meslek kuruluşlarınca, denetleme veya düzenleme görevlerinin yürütülmesi ile disiplin soruşturma veya kovuşturması için gerekli olması.</w:t>
      </w:r>
    </w:p>
    <w:p w14:paraId="7DA8E425"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lastRenderedPageBreak/>
        <w:t>ç) Kişisel veri işlemenin bütçe, vergi ve mali konulara ilişkin olarak Devletin ekonomik ve mali çıkarlarının korunması için gerekli olması.</w:t>
      </w:r>
    </w:p>
    <w:p w14:paraId="53454D96"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 </w:t>
      </w:r>
    </w:p>
    <w:p w14:paraId="107F638E" w14:textId="77777777" w:rsidR="00B53C71" w:rsidRPr="00B53C71" w:rsidRDefault="00B53C71" w:rsidP="00B53C71">
      <w:pPr>
        <w:widowControl/>
        <w:spacing w:line="305" w:lineRule="atLeast"/>
        <w:ind w:firstLine="709"/>
        <w:textAlignment w:val="center"/>
        <w:rPr>
          <w:rFonts w:ascii="PingFang SC" w:eastAsia="PingFang SC" w:hAnsi="PingFang SC" w:cs="宋体"/>
          <w:color w:val="000000"/>
          <w:kern w:val="0"/>
          <w:sz w:val="24"/>
          <w14:ligatures w14:val="none"/>
        </w:rPr>
      </w:pPr>
      <w:r w:rsidRPr="00B53C71">
        <w:rPr>
          <w:rFonts w:ascii="inherit" w:eastAsia="PingFang SC" w:hAnsi="inherit" w:cs="宋体"/>
          <w:b/>
          <w:bCs/>
          <w:color w:val="000000"/>
          <w:kern w:val="0"/>
          <w:sz w:val="24"/>
          <w14:ligatures w14:val="none"/>
        </w:rPr>
        <w:t>Yönetmelik</w:t>
      </w:r>
    </w:p>
    <w:p w14:paraId="021AF2D1"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MADDE 31-</w:t>
      </w:r>
      <w:r w:rsidRPr="00B53C71">
        <w:rPr>
          <w:rFonts w:ascii="inherit" w:eastAsia="PingFang SC" w:hAnsi="inherit" w:cs="宋体"/>
          <w:color w:val="000000"/>
          <w:kern w:val="0"/>
          <w:sz w:val="24"/>
          <w14:ligatures w14:val="none"/>
        </w:rPr>
        <w:t> (1) Bu Kanunun uygulanmasına ilişkin yönetmelikler Kurum tarafından yürürlüğe konulur.</w:t>
      </w:r>
    </w:p>
    <w:p w14:paraId="5EE1E031"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 </w:t>
      </w:r>
    </w:p>
    <w:p w14:paraId="1A628E59"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Geçiş hükümleri</w:t>
      </w:r>
    </w:p>
    <w:p w14:paraId="51FBAEF1"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GEÇİCİ MADDE 1-</w:t>
      </w:r>
      <w:r w:rsidRPr="00B53C71">
        <w:rPr>
          <w:rFonts w:ascii="inherit" w:eastAsia="PingFang SC" w:hAnsi="inherit" w:cs="宋体"/>
          <w:color w:val="000000"/>
          <w:kern w:val="0"/>
          <w:sz w:val="24"/>
          <w14:ligatures w14:val="none"/>
        </w:rPr>
        <w:t> (1) Bu Kanunun yayımı tarihinden itibaren altı ay içinde 21 inci maddede öngörülen usule göre Kurul üyeleri seçilir ve Başkanlık teşkilatı oluşturulur.</w:t>
      </w:r>
    </w:p>
    <w:p w14:paraId="3F733FBF"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(2) Veri sorumluları, Kurul tarafından belirlenen ve ilan edilen süre içinde Veri Sorumluları Siciline kayıt yaptırmak zorundadır.</w:t>
      </w:r>
    </w:p>
    <w:p w14:paraId="43616751"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(3) Bu Kanunun yayımı tarihinden önce işlenmiş olan kişisel veriler, yayımı tarihinden itibaren iki yıl içinde bu Kanun hükümlerine uygun hâle getirilir. Bu Kanun hükümlerine aykırı olduğu tespit edilen kişisel veriler derhâl silinir, yok edilir veya anonim hâle getirilir. Ancak bu Kanunun yayımı tarihinden önce hukuka uygun olarak alınmış rızalar, bir yıl içinde aksine bir irade beyanında bulunulmaması hâlinde, bu Kanuna uygun kabul edilir.</w:t>
      </w:r>
    </w:p>
    <w:p w14:paraId="0AC55B9B"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(4) Bu Kanunda öngörülen yönetmelikler bu Kanunun yayımı tarihinden itibaren bir yıl içinde yürürlüğe konulur.</w:t>
      </w:r>
    </w:p>
    <w:p w14:paraId="5058003B"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(5) Bu Kanunun yayımı tarihinden itibaren bir yıl içinde, kamu kurum ve kuruluşlarında bu Kanunun uygulanmasıyla ilgili koordinasyonu sağlamak üzere üst düzey bir yönetici belirlenerek Başkanlığa bildirilir.</w:t>
      </w:r>
    </w:p>
    <w:p w14:paraId="5B0DB6BE"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(6) İlk seçilen Başkan, İkinci Başkan ve kura ile belirlenen iki üye altı yıl; diğer beş üye ise dört yıl görev yapar.</w:t>
      </w:r>
    </w:p>
    <w:p w14:paraId="382872A9"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 xml:space="preserve">(7) Kuruma bütçe tahsis edilene </w:t>
      </w:r>
      <w:proofErr w:type="gramStart"/>
      <w:r w:rsidRPr="00B53C71">
        <w:rPr>
          <w:rFonts w:ascii="inherit" w:eastAsia="PingFang SC" w:hAnsi="inherit" w:cs="宋体"/>
          <w:color w:val="000000"/>
          <w:kern w:val="0"/>
          <w:sz w:val="24"/>
          <w14:ligatures w14:val="none"/>
        </w:rPr>
        <w:t>kadar;</w:t>
      </w:r>
      <w:proofErr w:type="gramEnd"/>
    </w:p>
    <w:p w14:paraId="02C39CDB"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a) Kurumun giderleri Başbakanlık bütçesinden karşılanır.</w:t>
      </w:r>
    </w:p>
    <w:p w14:paraId="256540C5"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b) Kurumun hizmetlerini yerine getirmesi amacıyla bina, araç, gereç, mefruşat ve donanım gibi gerekli tüm destek hizmetleri Başbakanlıkça sağlanır.</w:t>
      </w:r>
    </w:p>
    <w:p w14:paraId="38729CC9"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(8) Kurumun hizmet birimleri faaliyete geçinceye kadar sekretarya hizmetleri Başbakanlık tarafından yerine getirilir.</w:t>
      </w:r>
    </w:p>
    <w:p w14:paraId="1FF5A5FC"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 </w:t>
      </w:r>
    </w:p>
    <w:p w14:paraId="2DED7BA8"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GEÇİCİ MADDE 2-</w:t>
      </w:r>
      <w:r w:rsidRPr="00B53C71">
        <w:rPr>
          <w:rFonts w:ascii="inherit" w:eastAsia="PingFang SC" w:hAnsi="inherit" w:cs="宋体"/>
          <w:color w:val="000000"/>
          <w:kern w:val="0"/>
          <w:sz w:val="24"/>
          <w14:ligatures w14:val="none"/>
        </w:rPr>
        <w:t> </w:t>
      </w:r>
      <w:r w:rsidRPr="00B53C71">
        <w:rPr>
          <w:rFonts w:ascii="inherit" w:eastAsia="PingFang SC" w:hAnsi="inherit" w:cs="宋体"/>
          <w:b/>
          <w:bCs/>
          <w:color w:val="000000"/>
          <w:kern w:val="0"/>
          <w:sz w:val="24"/>
          <w14:ligatures w14:val="none"/>
        </w:rPr>
        <w:t>(Ek:28/11/2017-7061/120 md.)</w:t>
      </w:r>
    </w:p>
    <w:p w14:paraId="0AAD9DF9"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 xml:space="preserve">(1) En az dört yıllık lisans öğrenimi veren siyasal bilgiler, iktisadi ve idari bilimler, iktisat, hukuk ve işletme fakültelerinden, mühendislik fakültelerinin elektronik, elektrik-elektronik, elektronik ve haberleşme, bilgisayar, bilişim sistemleri mühendisliği bölümlerinden ya da bunlara denkliği Yükseköğretim Kurulu tarafından kabul edilen yurt içi ve yurt dışındaki yükseköğrenim kurumlarından mezun olanlardan; mesleğe özel yarışma sınavı ile girilen ve belirli süreli meslek içi eğitimden ve özel bir yeterlik sınavından sonra 657 sayılı Kanunun 36 ncı maddesinin “Ortak Hükümler” başlıklı bölümünün (A) fıkrasının (11) numaralı bendinde belirtilen unvanlara ilişkin kurumların merkez teşkilatlarına ait kadrolara atanmış ve bu kadrolarda aylıksız izin süreleri hariç en </w:t>
      </w:r>
      <w:r w:rsidRPr="00B53C71">
        <w:rPr>
          <w:rFonts w:ascii="inherit" w:eastAsia="PingFang SC" w:hAnsi="inherit" w:cs="宋体"/>
          <w:color w:val="000000"/>
          <w:kern w:val="0"/>
          <w:sz w:val="24"/>
          <w14:ligatures w14:val="none"/>
        </w:rPr>
        <w:lastRenderedPageBreak/>
        <w:t>az iki yıl bulunmuş olanlar ile öğretim üyesi kadrolarında bulunanlar, Yabancı Dil Bilgisi Seviye Tespit Sınavından en az yetmiş puan almış olmak ve atama tarihi itibarıyla kırk yaşından gün almamış olmak kaydıyla, bu maddenin yürürlüğe girdiği tarihten itibaren bir yıl içinde Kişisel Verileri Koruma Uzmanı olarak atanabilirler. Bu şekilde atanacakların sayısı on beşi geçemez.</w:t>
      </w:r>
    </w:p>
    <w:p w14:paraId="419206F0"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 </w:t>
      </w:r>
    </w:p>
    <w:p w14:paraId="1A2108D8"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b/>
          <w:bCs/>
          <w:color w:val="000000"/>
          <w:kern w:val="0"/>
          <w:sz w:val="24"/>
          <w14:ligatures w14:val="none"/>
        </w:rPr>
        <w:t>GEÇİCİ MADDE 3- (Ek:2/3/2024-7499/36 md.)</w:t>
      </w:r>
    </w:p>
    <w:p w14:paraId="005D1047"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(1) 9 uncu maddenin bu maddeyi ihdas eden Kanunla değiştirilmeden önceki birinci fıkrası, maddenin yürürlüğe giren değişik haliyle birlikte 1/9/2024 tarihine kadar uygulanmaya devam olunur.</w:t>
      </w:r>
    </w:p>
    <w:p w14:paraId="0D46240D"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(2) 1/6/2024 tarihi itibarıyla sulh ceza hâkimliklerinde görülmekte olan başvurular, bu hâkimliklerce görülmeye devam olunur.</w:t>
      </w:r>
    </w:p>
    <w:p w14:paraId="56E1B94D" w14:textId="77777777" w:rsidR="00B53C71" w:rsidRPr="00B53C71" w:rsidRDefault="00B53C71" w:rsidP="00B53C71">
      <w:pPr>
        <w:widowControl/>
        <w:spacing w:line="305" w:lineRule="atLeast"/>
        <w:ind w:firstLine="709"/>
        <w:textAlignment w:val="center"/>
        <w:rPr>
          <w:rFonts w:ascii="PingFang SC" w:eastAsia="PingFang SC" w:hAnsi="PingFang SC" w:cs="宋体" w:hint="eastAsia"/>
          <w:color w:val="000000"/>
          <w:kern w:val="0"/>
          <w:sz w:val="24"/>
          <w14:ligatures w14:val="none"/>
        </w:rPr>
      </w:pPr>
      <w:r w:rsidRPr="00B53C71">
        <w:rPr>
          <w:rFonts w:ascii="inherit" w:eastAsia="PingFang SC" w:hAnsi="inherit" w:cs="宋体"/>
          <w:color w:val="000000"/>
          <w:kern w:val="0"/>
          <w:sz w:val="24"/>
          <w14:ligatures w14:val="none"/>
        </w:rPr>
        <w:t> </w:t>
      </w:r>
    </w:p>
    <w:p w14:paraId="776BD245" w14:textId="77777777" w:rsidR="00B53C71" w:rsidRPr="00B53C71" w:rsidRDefault="00B53C71">
      <w:pPr>
        <w:rPr>
          <w:rFonts w:hint="eastAsia"/>
          <w:sz w:val="30"/>
          <w:szCs w:val="30"/>
        </w:rPr>
      </w:pPr>
    </w:p>
    <w:sectPr w:rsidR="00B53C71" w:rsidRPr="00B53C7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inherit">
    <w:altName w:val="Cambria"/>
    <w:panose1 w:val="020B0604020202020204"/>
    <w:charset w:val="00"/>
    <w:family w:val="roman"/>
    <w:pitch w:val="default"/>
  </w:font>
  <w:font w:name="PingFang SC">
    <w:panose1 w:val="020B0400000000000000"/>
    <w:charset w:val="86"/>
    <w:family w:val="swiss"/>
    <w:pitch w:val="variable"/>
    <w:sig w:usb0="A00002FF" w:usb1="7ACFFDFB" w:usb2="00000017"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doNotDisplayPageBoundaries/>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71"/>
    <w:rsid w:val="00451B72"/>
    <w:rsid w:val="006F0D71"/>
    <w:rsid w:val="007A19A8"/>
    <w:rsid w:val="00827643"/>
    <w:rsid w:val="009535A7"/>
    <w:rsid w:val="00B53C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91E95FC"/>
  <w15:chartTrackingRefBased/>
  <w15:docId w15:val="{7BEFC217-A20C-C44B-8036-282D696C3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3C7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3C7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3C71"/>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3C7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3C71"/>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53C7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3C7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C7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3C71"/>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53C7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3C7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3C71"/>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3C71"/>
    <w:rPr>
      <w:rFonts w:cstheme="majorBidi"/>
      <w:color w:val="2F5496" w:themeColor="accent1" w:themeShade="BF"/>
      <w:sz w:val="28"/>
      <w:szCs w:val="28"/>
    </w:rPr>
  </w:style>
  <w:style w:type="character" w:customStyle="1" w:styleId="50">
    <w:name w:val="标题 5 字符"/>
    <w:basedOn w:val="a0"/>
    <w:link w:val="5"/>
    <w:uiPriority w:val="9"/>
    <w:semiHidden/>
    <w:rsid w:val="00B53C71"/>
    <w:rPr>
      <w:rFonts w:cstheme="majorBidi"/>
      <w:color w:val="2F5496" w:themeColor="accent1" w:themeShade="BF"/>
      <w:sz w:val="24"/>
    </w:rPr>
  </w:style>
  <w:style w:type="character" w:customStyle="1" w:styleId="60">
    <w:name w:val="标题 6 字符"/>
    <w:basedOn w:val="a0"/>
    <w:link w:val="6"/>
    <w:uiPriority w:val="9"/>
    <w:semiHidden/>
    <w:rsid w:val="00B53C71"/>
    <w:rPr>
      <w:rFonts w:cstheme="majorBidi"/>
      <w:b/>
      <w:bCs/>
      <w:color w:val="2F5496" w:themeColor="accent1" w:themeShade="BF"/>
    </w:rPr>
  </w:style>
  <w:style w:type="character" w:customStyle="1" w:styleId="70">
    <w:name w:val="标题 7 字符"/>
    <w:basedOn w:val="a0"/>
    <w:link w:val="7"/>
    <w:uiPriority w:val="9"/>
    <w:semiHidden/>
    <w:rsid w:val="00B53C71"/>
    <w:rPr>
      <w:rFonts w:cstheme="majorBidi"/>
      <w:b/>
      <w:bCs/>
      <w:color w:val="595959" w:themeColor="text1" w:themeTint="A6"/>
    </w:rPr>
  </w:style>
  <w:style w:type="character" w:customStyle="1" w:styleId="80">
    <w:name w:val="标题 8 字符"/>
    <w:basedOn w:val="a0"/>
    <w:link w:val="8"/>
    <w:uiPriority w:val="9"/>
    <w:semiHidden/>
    <w:rsid w:val="00B53C71"/>
    <w:rPr>
      <w:rFonts w:cstheme="majorBidi"/>
      <w:color w:val="595959" w:themeColor="text1" w:themeTint="A6"/>
    </w:rPr>
  </w:style>
  <w:style w:type="character" w:customStyle="1" w:styleId="90">
    <w:name w:val="标题 9 字符"/>
    <w:basedOn w:val="a0"/>
    <w:link w:val="9"/>
    <w:uiPriority w:val="9"/>
    <w:semiHidden/>
    <w:rsid w:val="00B53C71"/>
    <w:rPr>
      <w:rFonts w:eastAsiaTheme="majorEastAsia" w:cstheme="majorBidi"/>
      <w:color w:val="595959" w:themeColor="text1" w:themeTint="A6"/>
    </w:rPr>
  </w:style>
  <w:style w:type="paragraph" w:styleId="a3">
    <w:name w:val="Title"/>
    <w:basedOn w:val="a"/>
    <w:next w:val="a"/>
    <w:link w:val="a4"/>
    <w:uiPriority w:val="10"/>
    <w:qFormat/>
    <w:rsid w:val="00B53C7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53C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53C7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53C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53C71"/>
    <w:pPr>
      <w:spacing w:before="160" w:after="160"/>
      <w:jc w:val="center"/>
    </w:pPr>
    <w:rPr>
      <w:i/>
      <w:iCs/>
      <w:color w:val="404040" w:themeColor="text1" w:themeTint="BF"/>
    </w:rPr>
  </w:style>
  <w:style w:type="character" w:customStyle="1" w:styleId="a8">
    <w:name w:val="引用 字符"/>
    <w:basedOn w:val="a0"/>
    <w:link w:val="a7"/>
    <w:uiPriority w:val="29"/>
    <w:rsid w:val="00B53C71"/>
    <w:rPr>
      <w:i/>
      <w:iCs/>
      <w:color w:val="404040" w:themeColor="text1" w:themeTint="BF"/>
    </w:rPr>
  </w:style>
  <w:style w:type="paragraph" w:styleId="a9">
    <w:name w:val="List Paragraph"/>
    <w:basedOn w:val="a"/>
    <w:uiPriority w:val="34"/>
    <w:qFormat/>
    <w:rsid w:val="00B53C71"/>
    <w:pPr>
      <w:ind w:left="720"/>
      <w:contextualSpacing/>
    </w:pPr>
  </w:style>
  <w:style w:type="character" w:styleId="aa">
    <w:name w:val="Intense Emphasis"/>
    <w:basedOn w:val="a0"/>
    <w:uiPriority w:val="21"/>
    <w:qFormat/>
    <w:rsid w:val="00B53C71"/>
    <w:rPr>
      <w:i/>
      <w:iCs/>
      <w:color w:val="2F5496" w:themeColor="accent1" w:themeShade="BF"/>
    </w:rPr>
  </w:style>
  <w:style w:type="paragraph" w:styleId="ab">
    <w:name w:val="Intense Quote"/>
    <w:basedOn w:val="a"/>
    <w:next w:val="a"/>
    <w:link w:val="ac"/>
    <w:uiPriority w:val="30"/>
    <w:qFormat/>
    <w:rsid w:val="00B53C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53C71"/>
    <w:rPr>
      <w:i/>
      <w:iCs/>
      <w:color w:val="2F5496" w:themeColor="accent1" w:themeShade="BF"/>
    </w:rPr>
  </w:style>
  <w:style w:type="character" w:styleId="ad">
    <w:name w:val="Intense Reference"/>
    <w:basedOn w:val="a0"/>
    <w:uiPriority w:val="32"/>
    <w:qFormat/>
    <w:rsid w:val="00B53C71"/>
    <w:rPr>
      <w:b/>
      <w:bCs/>
      <w:smallCaps/>
      <w:color w:val="2F5496" w:themeColor="accent1" w:themeShade="BF"/>
      <w:spacing w:val="5"/>
    </w:rPr>
  </w:style>
  <w:style w:type="character" w:styleId="ae">
    <w:name w:val="footnote reference"/>
    <w:basedOn w:val="a0"/>
    <w:uiPriority w:val="99"/>
    <w:semiHidden/>
    <w:unhideWhenUsed/>
    <w:rsid w:val="00B53C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1243</Words>
  <Characters>7087</Characters>
  <Application>Microsoft Office Word</Application>
  <DocSecurity>0</DocSecurity>
  <Lines>59</Lines>
  <Paragraphs>16</Paragraphs>
  <ScaleCrop>false</ScaleCrop>
  <Company/>
  <LinksUpToDate>false</LinksUpToDate>
  <CharactersWithSpaces>8314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Hui Ye</dc:creator>
  <cp:keywords/>
  <dc:description/>
  <cp:lastModifiedBy>Hui Ye</cp:lastModifiedBy>
  <cp:revision>1</cp:revision>
  <dcterms:created xsi:type="dcterms:W3CDTF">2025-08-29T02:18:00Z</dcterms:created>
  <dcterms:modified xsi:type="dcterms:W3CDTF">2025-08-29T02:19:00Z</dcterms:modified>
</cp:coreProperties>
</file>