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Bridging Language and STEM Learning</w:t>
      </w:r>
    </w:p>
    <w:p>
      <w:pPr>
        <w:pStyle w:val="Subtitle"/>
      </w:pPr>
      <w:r>
        <w:t>Product vision and ideation brief | Working draft | 9 October 2026</w:t>
      </w:r>
    </w:p>
    <w:p>
      <w:pPr>
        <w:pStyle w:val="Heading1"/>
      </w:pPr>
      <w:r>
        <w:t>Executive thesis</w:t>
      </w:r>
    </w:p>
    <w:p>
      <w:r>
        <w:t>A student should be able to understand STEM in a familiar regional language while progressively acquiring the English technical vocabulary, problem-solving fluency, and practical software skills needed for higher education and employment. The goal is independence, not perpetual translation.</w:t>
      </w:r>
    </w:p>
    <w:p>
      <w:pPr>
        <w:pStyle w:val="Heading1"/>
      </w:pPr>
      <w:r>
        <w:t>Problem</w:t>
      </w:r>
    </w:p>
    <w:p>
      <w:r>
        <w:t>Students transitioning from regional-language schooling to English-medium technical education may face a compound barrier: understanding new technical ideas, reading and answering English questions, and operating industry software taught primarily in English.</w:t>
      </w:r>
    </w:p>
    <w:p>
      <w:r>
        <w:t>Illustrative journey: an Odia-medium student enters an English-medium engineering program. A correct conceptual understanding may be obscured by difficulty interpreting an English question or articulating an answer. This is a product hypothesis, not yet validated user research.</w:t>
      </w:r>
    </w:p>
    <w:p>
      <w:pPr>
        <w:pStyle w:val="Heading1"/>
      </w:pPr>
      <w:r>
        <w:t>Product proposition</w:t>
      </w:r>
    </w:p>
    <w:p>
      <w:r>
        <w:t>A syllabus-grounded adaptive learning environment that connects concepts, regional-language explanations, canonical English STEM terms, visualizations, exercises, and hands-on labs.</w:t>
      </w:r>
    </w:p>
    <w:p>
      <w:r>
        <w:t>Unlike a generic translator or chatbot, it diagnoses whether a learner is blocked by conceptual misunderstanding, English comprehension, or practical execution—and adapts the next learning step accordingly.</w:t>
      </w:r>
    </w:p>
    <w:p>
      <w:pPr>
        <w:pStyle w:val="Heading1"/>
      </w:pPr>
      <w:r>
        <w:t>Student learning journey</w:t>
      </w:r>
    </w:p>
    <w:p>
      <w:r>
        <w:t>1. Choose course/chapter and preferred language; optionally take a short diagnostic.</w:t>
      </w:r>
    </w:p>
    <w:p>
      <w:r>
        <w:t>2. Explore a concept map showing prerequisites, relationships, and mapped practicals.</w:t>
      </w:r>
    </w:p>
    <w:p>
      <w:r>
        <w:t>3. Learn a concept through regional-language explanation with stable English technical terminology and diagrams.</w:t>
      </w:r>
    </w:p>
    <w:p>
      <w:r>
        <w:t>4. Attempt an English-language problem; receive diagnosis and targeted hints rather than automatic answers.</w:t>
      </w:r>
    </w:p>
    <w:p>
      <w:r>
        <w:t>5. Enter a guided practical exercise in a relevant engineering tool; predict outputs, inspect results, debug, and explain why.</w:t>
      </w:r>
    </w:p>
    <w:p>
      <w:r>
        <w:t>6. Articulate the outcome in English; receive targeted vocabulary and explanation practice.</w:t>
      </w:r>
    </w:p>
    <w:p>
      <w:r>
        <w:t>7. Revisit concepts with reduced assistance and increasing English exposure as evidence of mastery grows.</w:t>
      </w:r>
    </w:p>
    <w:p>
      <w:pPr>
        <w:pStyle w:val="Heading1"/>
      </w:pPr>
      <w:r>
        <w:t>Distinctive principles</w:t>
      </w:r>
    </w:p>
    <w:p>
      <w:r>
        <w:t>Language as scaffolding: explain in the familiar language without replacing canonical terminology.</w:t>
      </w:r>
    </w:p>
    <w:p>
      <w:r>
        <w:t>Separate mastery dimensions: conceptual knowledge, technical vocabulary, academic English, and practical application.</w:t>
      </w:r>
    </w:p>
    <w:p>
      <w:r>
        <w:t>Theory-to-practice alignment: practical work provides evidence about specific concept nodes.</w:t>
      </w:r>
    </w:p>
    <w:p>
      <w:r>
        <w:t>Adaptive fade-out: decrease hints and regional-language support as competence develops.</w:t>
      </w:r>
    </w:p>
    <w:p>
      <w:r>
        <w:t>Content is an adaptive experience, not merely a generated lecture or chat response.</w:t>
      </w:r>
    </w:p>
    <w:p>
      <w:pPr>
        <w:pStyle w:val="Heading1"/>
      </w:pPr>
      <w:r>
        <w:t>Prototype scope: 10 days</w:t>
      </w:r>
    </w:p>
    <w:p>
      <w:r>
        <w:t>One chapter visualized as a concept graph (roughly ten nodes as a planning target), two or three deep concept lessons, and one complete concept-to-lab-to-English explanation loop.</w:t>
      </w:r>
    </w:p>
    <w:p>
      <w:r>
        <w:t>One initial regional language, one selected technical tool, one clear visual practical output, and one intentionally introduced debug scenario. The precise chapter, concept, language, and software remain undecided.</w:t>
      </w:r>
    </w:p>
    <w:p>
      <w:pPr>
        <w:pStyle w:val="Heading1"/>
      </w:pPr>
      <w:r>
        <w:t>Open questions and validation</w:t>
      </w:r>
    </w:p>
    <w:p>
      <w:r>
        <w:t>Which chapter offers a visually compelling practical linked to a teachable concept? MATLAB/Simulink is a candidate; VLSI is illustrative, not a commitment.</w:t>
      </w:r>
    </w:p>
    <w:p>
      <w:r>
        <w:t>How much code-switching is helpful, and when should English exposure increase?</w:t>
      </w:r>
    </w:p>
    <w:p>
      <w:r>
        <w:t>Can a short assessment reliably distinguish linguistic difficulty from conceptual misunderstanding?</w:t>
      </w:r>
    </w:p>
    <w:p>
      <w:r>
        <w:t>What accessibility, cost, and connectivity constraints matter for the target student population?</w:t>
      </w:r>
    </w:p>
    <w:p>
      <w:r>
        <w:t>Validate with students and instructors; measure concept learning, practical transfer, and English articulation separately.</w:t>
      </w:r>
    </w:p>
    <w:p>
      <w:pPr>
        <w:pStyle w:val="Heading1"/>
      </w:pPr>
      <w:r>
        <w:t>Hackathon positioning</w:t>
      </w:r>
    </w:p>
    <w:p>
      <w:r>
        <w:t>Submitted under a media/content/digital-experiences framing: AI-generated and adaptive educational content becomes a personalized interactive learning medium. Gemini and Google Cloud are required implementation constraints. Verify current competition rules and submission requirements before finalizing.</w:t>
      </w:r>
    </w:p>
    <w:sectPr w:rsidR="00FC693F" w:rsidRPr="0006063C" w:rsidSect="00034616">
      <w:pgSz w:w="12240" w:h="15840"/>
      <w:pgMar w:top="1440" w:right="1800" w:bottom="1440" w:left="1800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