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jc w:val="both"/>
        <w:rPr>
          <w:color w:val="000000"/>
        </w:rPr>
      </w:pP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:rsidR="00F17303" w:rsidRDefault="00F17303">
      <w:pPr>
        <w:spacing w:after="0" w:line="360" w:lineRule="auto"/>
        <w:jc w:val="both"/>
      </w:pPr>
    </w:p>
    <w:p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:rsidR="001C5E0C" w:rsidRDefault="001C5E0C">
      <w:pPr>
        <w:spacing w:after="0" w:line="360" w:lineRule="auto"/>
        <w:rPr>
          <w:b/>
          <w:u w:val="single"/>
        </w:rPr>
      </w:pPr>
    </w:p>
    <w:p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de consumo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permanente</w:t>
      </w:r>
    </w:p>
    <w:p w:rsidR="001C5E0C" w:rsidRDefault="00F9500A" w:rsidP="0051163A">
      <w:pPr>
        <w:tabs>
          <w:tab w:val="left" w:pos="6480"/>
        </w:tabs>
        <w:spacing w:after="0" w:line="288" w:lineRule="auto"/>
      </w:pPr>
      <w:proofErr w:type="gramStart"/>
      <w:r>
        <w:t xml:space="preserve">(  </w:t>
      </w:r>
      <w:proofErr w:type="gramEnd"/>
      <w:r>
        <w:t xml:space="preserve"> ) Equipamento de TI</w:t>
      </w:r>
      <w:r w:rsidR="003303D0">
        <w:tab/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não continuado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sem dedicação exclusiva de mão de obra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com dedicação exclusiva de mão de obra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:rsidR="001C5E0C" w:rsidRPr="00202EC8" w:rsidRDefault="00202EC8">
      <w:pPr>
        <w:spacing w:after="0" w:line="360" w:lineRule="auto"/>
      </w:pPr>
      <w:proofErr w:type="gramStart"/>
      <w:r w:rsidRPr="00202EC8">
        <w:t xml:space="preserve">{{ </w:t>
      </w:r>
      <w:proofErr w:type="spellStart"/>
      <w:r w:rsidRPr="00202EC8">
        <w:t>contrato</w:t>
      </w:r>
      <w:proofErr w:type="gramEnd"/>
      <w:r w:rsidRPr="00202EC8">
        <w:t>_descriçao</w:t>
      </w:r>
      <w:proofErr w:type="spellEnd"/>
      <w:r w:rsidRPr="00202EC8">
        <w:t xml:space="preserve"> }}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Modalidades da Lei nº 14.133/21 e (Decreto nº 1.525/2022 – Regulamentação)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Utilização à ARP - Órgão Participante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 xml:space="preserve">*Ata de Registro de Preço: </w:t>
      </w:r>
      <w:r>
        <w:rPr>
          <w:color w:val="CC0000"/>
          <w:highlight w:val="white"/>
        </w:rPr>
        <w:t>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Adesão à ARP de outro Órgão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*Ata de Registro de Preço:</w:t>
      </w:r>
      <w:r>
        <w:rPr>
          <w:color w:val="CC0000"/>
          <w:highlight w:val="white"/>
        </w:rPr>
        <w:t xml:space="preserve"> 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*Edital que originou a ARP:</w:t>
      </w:r>
      <w:r>
        <w:rPr>
          <w:color w:val="CC0000"/>
          <w:highlight w:val="white"/>
        </w:rPr>
        <w:t xml:space="preserve"> [identificação do procedimento licitatório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publicação da ARP:</w:t>
      </w:r>
      <w:r>
        <w:rPr>
          <w:color w:val="CC0000"/>
          <w:highlight w:val="white"/>
        </w:rPr>
        <w:t xml:space="preserve"> [ed. do diário oficial e data de publicação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vigência da ARP:</w:t>
      </w:r>
      <w:r>
        <w:rPr>
          <w:color w:val="CC0000"/>
          <w:highlight w:val="white"/>
        </w:rPr>
        <w:t xml:space="preserve"> [data limite de vigência da ARP]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Dispensa/Inexigibilidade</w:t>
      </w:r>
      <w:r>
        <w:rPr>
          <w:highlight w:val="white"/>
        </w:rPr>
        <w:t xml:space="preserve"> </w:t>
      </w:r>
      <w:r>
        <w:rPr>
          <w:b/>
          <w:highlight w:val="white"/>
        </w:rPr>
        <w:t>da Lei nº 14.133/21 e (Decreto nº 1.525/2022 – Regulamentação)</w:t>
      </w:r>
    </w:p>
    <w:p w:rsidR="001C5E0C" w:rsidRDefault="001C5E0C">
      <w:pPr>
        <w:spacing w:after="0" w:line="240" w:lineRule="auto"/>
        <w:jc w:val="both"/>
        <w:rPr>
          <w:highlight w:val="white"/>
        </w:rPr>
      </w:pPr>
    </w:p>
    <w:p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:rsidR="001C5E0C" w:rsidRDefault="00F9500A">
      <w:pPr>
        <w:spacing w:after="0" w:line="240" w:lineRule="auto"/>
        <w:jc w:val="both"/>
      </w:pPr>
      <w:r>
        <w:lastRenderedPageBreak/>
        <w:t xml:space="preserve"> Justificativa:</w:t>
      </w:r>
      <w:r w:rsidR="00202EC8">
        <w:t xml:space="preserve"> </w:t>
      </w:r>
      <w:proofErr w:type="gramStart"/>
      <w:r w:rsidR="00202EC8">
        <w:t xml:space="preserve">{{ </w:t>
      </w:r>
      <w:proofErr w:type="spellStart"/>
      <w:r w:rsidR="00202EC8">
        <w:t>ETP</w:t>
      </w:r>
      <w:proofErr w:type="gramEnd"/>
      <w:r w:rsidR="00202EC8">
        <w:t>_just</w:t>
      </w:r>
      <w:proofErr w:type="spellEnd"/>
      <w:r w:rsidR="00202EC8">
        <w:t xml:space="preserve"> }}</w:t>
      </w:r>
      <w:r>
        <w:t>.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:rsidR="001C5E0C" w:rsidRDefault="001C5E0C">
      <w:pPr>
        <w:widowControl w:val="0"/>
        <w:spacing w:after="0" w:line="240" w:lineRule="auto"/>
        <w:jc w:val="both"/>
        <w:rPr>
          <w:b/>
        </w:rPr>
      </w:pP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proofErr w:type="gramStart"/>
      <w:r w:rsidR="00202EC8">
        <w:t xml:space="preserve">{{ </w:t>
      </w:r>
      <w:proofErr w:type="spellStart"/>
      <w:r w:rsidR="00202EC8">
        <w:t>ETP</w:t>
      </w:r>
      <w:proofErr w:type="gramEnd"/>
      <w:r w:rsidR="00202EC8">
        <w:t>_</w:t>
      </w:r>
      <w:r w:rsidR="00202EC8">
        <w:t>obj</w:t>
      </w:r>
      <w:r w:rsidR="00CF26B2">
        <w:t>_just</w:t>
      </w:r>
      <w:proofErr w:type="spellEnd"/>
      <w:r w:rsidR="00202EC8">
        <w:t xml:space="preserve"> }}</w:t>
      </w:r>
      <w:r>
        <w:t>.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valor previsto no PTA para essa aquisição/contratação]</w:t>
      </w:r>
    </w:p>
    <w:p w:rsidR="001C5E0C" w:rsidRDefault="001C5E0C">
      <w:pPr>
        <w:spacing w:after="0" w:line="360" w:lineRule="auto"/>
        <w:rPr>
          <w:color w:val="CC0000"/>
        </w:rPr>
      </w:pPr>
    </w:p>
    <w:p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 w:rsidTr="00202EC8">
        <w:trPr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202EC8" w:rsidTr="00202EC8">
        <w:trPr>
          <w:gridAfter w:val="4"/>
          <w:wAfter w:w="8919" w:type="dxa"/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{%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 xml:space="preserve"> for i in </w:t>
            </w:r>
            <w:proofErr w:type="spellStart"/>
            <w:r>
              <w:rPr>
                <w:color w:val="000000"/>
              </w:rPr>
              <w:t>tbl_itens</w:t>
            </w:r>
            <w:proofErr w:type="spellEnd"/>
            <w:r>
              <w:rPr>
                <w:color w:val="000000"/>
              </w:rPr>
              <w:t xml:space="preserve"> %}</w:t>
            </w:r>
          </w:p>
        </w:tc>
      </w:tr>
      <w:tr w:rsidR="00202EC8" w:rsidTr="00202EC8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loop.index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i.un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i.qtd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202EC8" w:rsidRDefault="00202EC8" w:rsidP="00CF26B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CF26B2">
              <w:rPr>
                <w:color w:val="000000"/>
              </w:rPr>
              <w:t>i.desc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  <w:tc>
          <w:tcPr>
            <w:tcW w:w="3734" w:type="dxa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i.ref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202EC8" w:rsidTr="00202EC8">
        <w:trPr>
          <w:gridAfter w:val="4"/>
          <w:wAfter w:w="8919" w:type="dxa"/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Pr="00E96F7E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{%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</w:tc>
      </w:tr>
    </w:tbl>
    <w:p w:rsidR="001C5E0C" w:rsidRDefault="001C5E0C">
      <w:pPr>
        <w:spacing w:after="0" w:line="360" w:lineRule="auto"/>
      </w:pPr>
    </w:p>
    <w:p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p w:rsidR="001C5E0C" w:rsidRPr="00202EC8" w:rsidRDefault="00202EC8">
      <w:pPr>
        <w:widowControl w:val="0"/>
        <w:spacing w:after="0" w:line="360" w:lineRule="auto"/>
        <w:jc w:val="both"/>
      </w:pPr>
      <w:proofErr w:type="gramStart"/>
      <w:r w:rsidRPr="00202EC8">
        <w:t xml:space="preserve">{{ </w:t>
      </w:r>
      <w:bookmarkStart w:id="0" w:name="_GoBack"/>
      <w:proofErr w:type="spellStart"/>
      <w:r w:rsidRPr="00202EC8">
        <w:t>contrato</w:t>
      </w:r>
      <w:proofErr w:type="gramEnd"/>
      <w:r w:rsidRPr="00202EC8">
        <w:t>_</w:t>
      </w:r>
      <w:r w:rsidRPr="00202EC8">
        <w:t>obj</w:t>
      </w:r>
      <w:proofErr w:type="spellEnd"/>
      <w:r w:rsidRPr="00202EC8">
        <w:t xml:space="preserve"> </w:t>
      </w:r>
      <w:bookmarkEnd w:id="0"/>
      <w:r w:rsidRPr="00202EC8">
        <w:t>}}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:rsidR="001C5E0C" w:rsidRDefault="00202EC8" w:rsidP="00202EC8">
      <w:pPr>
        <w:tabs>
          <w:tab w:val="left" w:pos="567"/>
        </w:tabs>
        <w:spacing w:after="0" w:line="360" w:lineRule="auto"/>
        <w:jc w:val="both"/>
      </w:pPr>
      <w:proofErr w:type="gramStart"/>
      <w:r>
        <w:t xml:space="preserve">{{ </w:t>
      </w:r>
      <w:proofErr w:type="spellStart"/>
      <w:r w:rsidRPr="00202EC8">
        <w:t>contrato</w:t>
      </w:r>
      <w:proofErr w:type="gramEnd"/>
      <w:r w:rsidRPr="00202EC8">
        <w:t>_</w:t>
      </w:r>
      <w:r>
        <w:t>ata_preço</w:t>
      </w:r>
      <w:proofErr w:type="spellEnd"/>
      <w:r>
        <w:t xml:space="preserve"> }}</w:t>
      </w:r>
    </w:p>
    <w:p w:rsidR="001C5E0C" w:rsidRDefault="001C5E0C" w:rsidP="00202EC8">
      <w:pPr>
        <w:spacing w:after="0" w:line="240" w:lineRule="auto"/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lastRenderedPageBreak/>
        <w:t>10 - Justificativa para aquisição:</w:t>
      </w:r>
    </w:p>
    <w:p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[A justificativa deverá ser breve e baseada na conveniência, necessidade e oportunidade da aquisição, contendo alguns requisitos indispensáveis, tais como: demonstrar a relevância e a necessidade da aquisição, de modo a evidenciar a efetiva aplicabilidade dos recursos públicos empregados bem como os resultados esperados com a contratação].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[Deve a Administração definir se a natureza do objeto a ser contratado é comum nos termos do art. 6°, inciso XIII, da Lei Federal de Licitações nº 14.133/2021, e o art. 80, §1º, do Decreto Estadual nº 1525/2022 ].</w:t>
      </w: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proofErr w:type="gramStart"/>
      <w:r>
        <w:rPr>
          <w:i/>
          <w:color w:val="CC0000"/>
          <w:highlight w:val="white"/>
        </w:rPr>
        <w:t>[Neste</w:t>
      </w:r>
      <w:proofErr w:type="gramEnd"/>
      <w:r>
        <w:rPr>
          <w:i/>
          <w:color w:val="CC0000"/>
          <w:highlight w:val="white"/>
        </w:rPr>
        <w:t xml:space="preserve">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</w:t>
      </w:r>
      <w:proofErr w:type="gramStart"/>
      <w:r>
        <w:rPr>
          <w:i/>
          <w:color w:val="CC0000"/>
          <w:highlight w:val="white"/>
        </w:rPr>
        <w:t>requisitante;]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 xml:space="preserve">[Deve ser relatado como o insumo demandado se relaciona com a atividade ou política pública entregue à competência regimental do setor/órgão/entidade </w:t>
      </w:r>
      <w:proofErr w:type="gramStart"/>
      <w:r>
        <w:rPr>
          <w:i/>
          <w:color w:val="CC0000"/>
          <w:highlight w:val="white"/>
        </w:rPr>
        <w:t>demandante.]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13 – Caso seja composto uma equipe de planejamento da contratação, indicar </w:t>
      </w:r>
      <w:proofErr w:type="gramStart"/>
      <w:r>
        <w:rPr>
          <w:b/>
        </w:rPr>
        <w:t>o(</w:t>
      </w:r>
      <w:proofErr w:type="gramEnd"/>
      <w:r>
        <w:rPr>
          <w:b/>
        </w:rPr>
        <w:t>s) integrante(s) da equipe de planejamento: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[Nome dos responsáveis, telefone e e-mail]</w:t>
      </w:r>
    </w:p>
    <w:p w:rsidR="001C5E0C" w:rsidRDefault="001C5E0C">
      <w:pPr>
        <w:spacing w:after="0" w:line="240" w:lineRule="auto"/>
        <w:jc w:val="center"/>
        <w:rPr>
          <w:b/>
        </w:rPr>
      </w:pPr>
      <w:bookmarkStart w:id="1" w:name="_heading=h.gjdgxs" w:colFirst="0" w:colLast="0"/>
      <w:bookmarkEnd w:id="1"/>
    </w:p>
    <w:p w:rsidR="001C5E0C" w:rsidRDefault="001C5E0C">
      <w:pPr>
        <w:spacing w:after="0" w:line="240" w:lineRule="auto"/>
        <w:jc w:val="center"/>
        <w:rPr>
          <w:b/>
        </w:rPr>
      </w:pPr>
    </w:p>
    <w:p w:rsidR="001C5E0C" w:rsidRDefault="001C5E0C">
      <w:pPr>
        <w:spacing w:after="0" w:line="360" w:lineRule="auto"/>
        <w:jc w:val="both"/>
      </w:pPr>
    </w:p>
    <w:p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proofErr w:type="gramStart"/>
      <w:r w:rsidR="00202EC8">
        <w:rPr>
          <w:color w:val="000000"/>
        </w:rPr>
        <w:t>{{ data</w:t>
      </w:r>
      <w:proofErr w:type="gramEnd"/>
      <w:r w:rsidR="00202EC8">
        <w:rPr>
          <w:color w:val="000000"/>
        </w:rPr>
        <w:t xml:space="preserve"> }}</w:t>
      </w:r>
      <w:r>
        <w:rPr>
          <w:color w:val="000000"/>
        </w:rPr>
        <w:t>.</w:t>
      </w:r>
    </w:p>
    <w:p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EA" w:rsidRDefault="005328EA">
      <w:pPr>
        <w:spacing w:after="0" w:line="240" w:lineRule="auto"/>
      </w:pPr>
      <w:r>
        <w:separator/>
      </w:r>
    </w:p>
  </w:endnote>
  <w:endnote w:type="continuationSeparator" w:id="0">
    <w:p w:rsidR="005328EA" w:rsidRDefault="0053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9679D5" wp14:editId="5ECCA5D6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CF26B2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CF26B2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 xml:space="preserve">Av. Dr. Hélio Ribeiro, nº 1000, Res. </w:t>
    </w:r>
    <w:proofErr w:type="spellStart"/>
    <w:r w:rsidRPr="00A1294E">
      <w:rPr>
        <w:rFonts w:ascii="Arial" w:hAnsi="Arial" w:cs="Arial"/>
        <w:sz w:val="16"/>
        <w:szCs w:val="16"/>
      </w:rPr>
      <w:t>Paiaguás</w:t>
    </w:r>
    <w:proofErr w:type="spellEnd"/>
    <w:r w:rsidRPr="00A1294E">
      <w:rPr>
        <w:rFonts w:ascii="Arial" w:hAnsi="Arial" w:cs="Arial"/>
        <w:sz w:val="16"/>
        <w:szCs w:val="16"/>
      </w:rPr>
      <w:t xml:space="preserve"> – Cuiabá-MT – CEP 78048-910</w:t>
    </w:r>
  </w:p>
  <w:p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EA" w:rsidRDefault="005328EA">
      <w:pPr>
        <w:spacing w:after="0" w:line="240" w:lineRule="auto"/>
      </w:pPr>
      <w:r>
        <w:separator/>
      </w:r>
    </w:p>
  </w:footnote>
  <w:footnote w:type="continuationSeparator" w:id="0">
    <w:p w:rsidR="005328EA" w:rsidRDefault="0053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7A9951" wp14:editId="495867EE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F97F571" wp14:editId="63AFE40A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7F571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" filled="f" stroked="f">
              <v:textbox>
                <w:txbxContent>
                  <w:p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C"/>
    <w:rsid w:val="00172098"/>
    <w:rsid w:val="001C5E0C"/>
    <w:rsid w:val="00202EC8"/>
    <w:rsid w:val="003303D0"/>
    <w:rsid w:val="0051163A"/>
    <w:rsid w:val="005328EA"/>
    <w:rsid w:val="00CF26B2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3F3C8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Antonio Roberto Cicero de Sá</cp:lastModifiedBy>
  <cp:revision>3</cp:revision>
  <dcterms:created xsi:type="dcterms:W3CDTF">2025-06-18T18:39:00Z</dcterms:created>
  <dcterms:modified xsi:type="dcterms:W3CDTF">2025-06-18T18:47:00Z</dcterms:modified>
</cp:coreProperties>
</file>