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F5A" w:rsidRDefault="005B2F5A" w:rsidP="005B2F5A">
      <w:pPr>
        <w:pStyle w:val="Default"/>
      </w:pPr>
    </w:p>
    <w:p w:rsidR="005B2F5A" w:rsidRDefault="005B2F5A" w:rsidP="005B2F5A">
      <w:pPr>
        <w:pStyle w:val="Default"/>
        <w:rPr>
          <w:rFonts w:ascii="Century Gothic" w:hAnsi="Century Gothic" w:cs="Century Gothic"/>
          <w:sz w:val="23"/>
          <w:szCs w:val="23"/>
        </w:rPr>
      </w:pPr>
      <w:r>
        <w:rPr>
          <w:rFonts w:ascii="Century Gothic" w:hAnsi="Century Gothic" w:cs="Century Gothic"/>
          <w:b/>
          <w:bCs/>
          <w:sz w:val="23"/>
          <w:szCs w:val="23"/>
        </w:rPr>
        <w:t xml:space="preserve">Introduction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Le terme </w:t>
      </w:r>
      <w:r>
        <w:rPr>
          <w:rFonts w:ascii="Century Gothic" w:hAnsi="Century Gothic" w:cs="Century Gothic"/>
          <w:b/>
          <w:bCs/>
          <w:sz w:val="23"/>
          <w:szCs w:val="23"/>
        </w:rPr>
        <w:t xml:space="preserve">SWOT </w:t>
      </w:r>
      <w:r>
        <w:rPr>
          <w:rFonts w:ascii="Century Gothic" w:hAnsi="Century Gothic" w:cs="Century Gothic"/>
          <w:sz w:val="23"/>
          <w:szCs w:val="23"/>
        </w:rPr>
        <w:t xml:space="preserve">employé dans l'expression, </w:t>
      </w:r>
      <w:r>
        <w:rPr>
          <w:rFonts w:ascii="Century Gothic" w:hAnsi="Century Gothic" w:cs="Century Gothic"/>
          <w:b/>
          <w:bCs/>
          <w:sz w:val="23"/>
          <w:szCs w:val="23"/>
        </w:rPr>
        <w:t xml:space="preserve">analyse SWOT </w:t>
      </w:r>
      <w:r>
        <w:rPr>
          <w:rFonts w:ascii="Century Gothic" w:hAnsi="Century Gothic" w:cs="Century Gothic"/>
          <w:sz w:val="23"/>
          <w:szCs w:val="23"/>
        </w:rPr>
        <w:t xml:space="preserve">ou </w:t>
      </w:r>
      <w:r>
        <w:rPr>
          <w:rFonts w:ascii="Century Gothic" w:hAnsi="Century Gothic" w:cs="Century Gothic"/>
          <w:b/>
          <w:bCs/>
          <w:sz w:val="23"/>
          <w:szCs w:val="23"/>
        </w:rPr>
        <w:t>matrice SWOT</w:t>
      </w:r>
      <w:r>
        <w:rPr>
          <w:rFonts w:ascii="Century Gothic" w:hAnsi="Century Gothic" w:cs="Century Gothic"/>
          <w:sz w:val="23"/>
          <w:szCs w:val="23"/>
        </w:rPr>
        <w:t xml:space="preserve">, est un acronyme dérivé de l'anglais : pour </w:t>
      </w:r>
      <w:r>
        <w:rPr>
          <w:rFonts w:ascii="Century Gothic" w:hAnsi="Century Gothic" w:cs="Century Gothic"/>
          <w:i/>
          <w:iCs/>
          <w:sz w:val="23"/>
          <w:szCs w:val="23"/>
        </w:rPr>
        <w:t>S-</w:t>
      </w:r>
      <w:proofErr w:type="spellStart"/>
      <w:r>
        <w:rPr>
          <w:rFonts w:ascii="Century Gothic" w:hAnsi="Century Gothic" w:cs="Century Gothic"/>
          <w:i/>
          <w:iCs/>
          <w:sz w:val="23"/>
          <w:szCs w:val="23"/>
        </w:rPr>
        <w:t>trengths</w:t>
      </w:r>
      <w:proofErr w:type="spellEnd"/>
      <w:r>
        <w:rPr>
          <w:rFonts w:ascii="Century Gothic" w:hAnsi="Century Gothic" w:cs="Century Gothic"/>
          <w:i/>
          <w:iCs/>
          <w:sz w:val="23"/>
          <w:szCs w:val="23"/>
        </w:rPr>
        <w:t xml:space="preserve"> </w:t>
      </w:r>
      <w:r>
        <w:rPr>
          <w:rFonts w:ascii="Century Gothic" w:hAnsi="Century Gothic" w:cs="Century Gothic"/>
          <w:sz w:val="23"/>
          <w:szCs w:val="23"/>
        </w:rPr>
        <w:t xml:space="preserve">(forces), </w:t>
      </w:r>
      <w:r>
        <w:rPr>
          <w:rFonts w:ascii="Century Gothic" w:hAnsi="Century Gothic" w:cs="Century Gothic"/>
          <w:i/>
          <w:iCs/>
          <w:sz w:val="23"/>
          <w:szCs w:val="23"/>
        </w:rPr>
        <w:t>W-</w:t>
      </w:r>
      <w:proofErr w:type="spellStart"/>
      <w:r>
        <w:rPr>
          <w:rFonts w:ascii="Century Gothic" w:hAnsi="Century Gothic" w:cs="Century Gothic"/>
          <w:i/>
          <w:iCs/>
          <w:sz w:val="23"/>
          <w:szCs w:val="23"/>
        </w:rPr>
        <w:t>eaknesses</w:t>
      </w:r>
      <w:proofErr w:type="spellEnd"/>
      <w:r>
        <w:rPr>
          <w:rFonts w:ascii="Century Gothic" w:hAnsi="Century Gothic" w:cs="Century Gothic"/>
          <w:i/>
          <w:iCs/>
          <w:sz w:val="23"/>
          <w:szCs w:val="23"/>
        </w:rPr>
        <w:t xml:space="preserve"> </w:t>
      </w:r>
      <w:r>
        <w:rPr>
          <w:rFonts w:ascii="Century Gothic" w:hAnsi="Century Gothic" w:cs="Century Gothic"/>
          <w:sz w:val="23"/>
          <w:szCs w:val="23"/>
        </w:rPr>
        <w:t xml:space="preserve">(faiblesses), </w:t>
      </w:r>
      <w:r>
        <w:rPr>
          <w:rFonts w:ascii="Century Gothic" w:hAnsi="Century Gothic" w:cs="Century Gothic"/>
          <w:i/>
          <w:iCs/>
          <w:sz w:val="23"/>
          <w:szCs w:val="23"/>
        </w:rPr>
        <w:t>O-</w:t>
      </w:r>
      <w:proofErr w:type="spellStart"/>
      <w:r>
        <w:rPr>
          <w:rFonts w:ascii="Century Gothic" w:hAnsi="Century Gothic" w:cs="Century Gothic"/>
          <w:i/>
          <w:iCs/>
          <w:sz w:val="23"/>
          <w:szCs w:val="23"/>
        </w:rPr>
        <w:t>pportunities</w:t>
      </w:r>
      <w:proofErr w:type="spellEnd"/>
      <w:r>
        <w:rPr>
          <w:rFonts w:ascii="Century Gothic" w:hAnsi="Century Gothic" w:cs="Century Gothic"/>
          <w:i/>
          <w:iCs/>
          <w:sz w:val="23"/>
          <w:szCs w:val="23"/>
        </w:rPr>
        <w:t xml:space="preserve"> </w:t>
      </w:r>
      <w:r>
        <w:rPr>
          <w:rFonts w:ascii="Century Gothic" w:hAnsi="Century Gothic" w:cs="Century Gothic"/>
          <w:sz w:val="23"/>
          <w:szCs w:val="23"/>
        </w:rPr>
        <w:t xml:space="preserve">(opportunités), </w:t>
      </w:r>
      <w:r>
        <w:rPr>
          <w:rFonts w:ascii="Century Gothic" w:hAnsi="Century Gothic" w:cs="Century Gothic"/>
          <w:i/>
          <w:iCs/>
          <w:sz w:val="23"/>
          <w:szCs w:val="23"/>
        </w:rPr>
        <w:t>T-</w:t>
      </w:r>
      <w:proofErr w:type="spellStart"/>
      <w:r>
        <w:rPr>
          <w:rFonts w:ascii="Century Gothic" w:hAnsi="Century Gothic" w:cs="Century Gothic"/>
          <w:i/>
          <w:iCs/>
          <w:sz w:val="23"/>
          <w:szCs w:val="23"/>
        </w:rPr>
        <w:t>hreats</w:t>
      </w:r>
      <w:proofErr w:type="spellEnd"/>
      <w:r>
        <w:rPr>
          <w:rFonts w:ascii="Century Gothic" w:hAnsi="Century Gothic" w:cs="Century Gothic"/>
          <w:i/>
          <w:iCs/>
          <w:sz w:val="23"/>
          <w:szCs w:val="23"/>
        </w:rPr>
        <w:t xml:space="preserve"> </w:t>
      </w:r>
      <w:r>
        <w:rPr>
          <w:rFonts w:ascii="Century Gothic" w:hAnsi="Century Gothic" w:cs="Century Gothic"/>
          <w:sz w:val="23"/>
          <w:szCs w:val="23"/>
        </w:rPr>
        <w:t xml:space="preserve">(menaces).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Son équivalent en français est donné par : </w:t>
      </w:r>
      <w:r>
        <w:rPr>
          <w:rFonts w:ascii="Century Gothic" w:hAnsi="Century Gothic" w:cs="Century Gothic"/>
          <w:b/>
          <w:bCs/>
          <w:sz w:val="23"/>
          <w:szCs w:val="23"/>
        </w:rPr>
        <w:t xml:space="preserve">analyse MOFF </w:t>
      </w:r>
      <w:r>
        <w:rPr>
          <w:rFonts w:ascii="Century Gothic" w:hAnsi="Century Gothic" w:cs="Century Gothic"/>
          <w:sz w:val="23"/>
          <w:szCs w:val="23"/>
        </w:rPr>
        <w:t xml:space="preserve">« </w:t>
      </w:r>
      <w:proofErr w:type="spellStart"/>
      <w:r>
        <w:rPr>
          <w:rFonts w:ascii="Century Gothic" w:hAnsi="Century Gothic" w:cs="Century Gothic"/>
          <w:sz w:val="23"/>
          <w:szCs w:val="23"/>
        </w:rPr>
        <w:t>M-enaces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O-pportunités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F-orces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F-aiblesses</w:t>
      </w:r>
      <w:proofErr w:type="spellEnd"/>
      <w:r>
        <w:rPr>
          <w:rFonts w:ascii="Century Gothic" w:hAnsi="Century Gothic" w:cs="Century Gothic"/>
          <w:sz w:val="23"/>
          <w:szCs w:val="23"/>
        </w:rPr>
        <w:t xml:space="preserve"> » ou </w:t>
      </w:r>
      <w:r>
        <w:rPr>
          <w:rFonts w:ascii="Century Gothic" w:hAnsi="Century Gothic" w:cs="Century Gothic"/>
          <w:b/>
          <w:bCs/>
          <w:sz w:val="23"/>
          <w:szCs w:val="23"/>
        </w:rPr>
        <w:t xml:space="preserve">analyse AFOM </w:t>
      </w:r>
      <w:r>
        <w:rPr>
          <w:rFonts w:ascii="Century Gothic" w:hAnsi="Century Gothic" w:cs="Century Gothic"/>
          <w:sz w:val="23"/>
          <w:szCs w:val="23"/>
        </w:rPr>
        <w:t xml:space="preserve">« </w:t>
      </w:r>
      <w:proofErr w:type="spellStart"/>
      <w:r>
        <w:rPr>
          <w:rFonts w:ascii="Century Gothic" w:hAnsi="Century Gothic" w:cs="Century Gothic"/>
          <w:sz w:val="23"/>
          <w:szCs w:val="23"/>
        </w:rPr>
        <w:t>A-touts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F-aiblesses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O-pportunités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M-enaces</w:t>
      </w:r>
      <w:proofErr w:type="spellEnd"/>
      <w:r>
        <w:rPr>
          <w:rFonts w:ascii="Century Gothic" w:hAnsi="Century Gothic" w:cs="Century Gothic"/>
          <w:sz w:val="23"/>
          <w:szCs w:val="23"/>
        </w:rPr>
        <w:t xml:space="preserve"> », ou encore </w:t>
      </w:r>
      <w:r>
        <w:rPr>
          <w:rFonts w:ascii="Century Gothic" w:hAnsi="Century Gothic" w:cs="Century Gothic"/>
          <w:b/>
          <w:bCs/>
          <w:sz w:val="23"/>
          <w:szCs w:val="23"/>
        </w:rPr>
        <w:t xml:space="preserve">analyse FFOM </w:t>
      </w:r>
      <w:r>
        <w:rPr>
          <w:rFonts w:ascii="Century Gothic" w:hAnsi="Century Gothic" w:cs="Century Gothic"/>
          <w:sz w:val="23"/>
          <w:szCs w:val="23"/>
        </w:rPr>
        <w:t xml:space="preserve">« </w:t>
      </w:r>
      <w:proofErr w:type="spellStart"/>
      <w:r>
        <w:rPr>
          <w:rFonts w:ascii="Century Gothic" w:hAnsi="Century Gothic" w:cs="Century Gothic"/>
          <w:sz w:val="23"/>
          <w:szCs w:val="23"/>
        </w:rPr>
        <w:t>F-orces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F-aiblesses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O-pportunités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M-enaces</w:t>
      </w:r>
      <w:proofErr w:type="spellEnd"/>
      <w:r>
        <w:rPr>
          <w:rFonts w:ascii="Century Gothic" w:hAnsi="Century Gothic" w:cs="Century Gothic"/>
          <w:sz w:val="23"/>
          <w:szCs w:val="23"/>
        </w:rPr>
        <w:t xml:space="preserve"> » ; on trouve également </w:t>
      </w:r>
      <w:r>
        <w:rPr>
          <w:rFonts w:ascii="Century Gothic" w:hAnsi="Century Gothic" w:cs="Century Gothic"/>
          <w:b/>
          <w:bCs/>
          <w:sz w:val="23"/>
          <w:szCs w:val="23"/>
        </w:rPr>
        <w:t xml:space="preserve">analyse FFOR </w:t>
      </w:r>
      <w:r>
        <w:rPr>
          <w:rFonts w:ascii="Century Gothic" w:hAnsi="Century Gothic" w:cs="Century Gothic"/>
          <w:sz w:val="23"/>
          <w:szCs w:val="23"/>
        </w:rPr>
        <w:t xml:space="preserve">« </w:t>
      </w:r>
      <w:proofErr w:type="spellStart"/>
      <w:r>
        <w:rPr>
          <w:rFonts w:ascii="Century Gothic" w:hAnsi="Century Gothic" w:cs="Century Gothic"/>
          <w:sz w:val="23"/>
          <w:szCs w:val="23"/>
        </w:rPr>
        <w:t>F-orces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F-aiblesses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O-pportunités</w:t>
      </w:r>
      <w:proofErr w:type="spellEnd"/>
      <w:r>
        <w:rPr>
          <w:rFonts w:ascii="Century Gothic" w:hAnsi="Century Gothic" w:cs="Century Gothic"/>
          <w:sz w:val="23"/>
          <w:szCs w:val="23"/>
        </w:rPr>
        <w:t xml:space="preserve"> </w:t>
      </w:r>
      <w:proofErr w:type="spellStart"/>
      <w:r>
        <w:rPr>
          <w:rFonts w:ascii="Century Gothic" w:hAnsi="Century Gothic" w:cs="Century Gothic"/>
          <w:sz w:val="23"/>
          <w:szCs w:val="23"/>
        </w:rPr>
        <w:t>R-isques</w:t>
      </w:r>
      <w:proofErr w:type="spellEnd"/>
      <w:r>
        <w:rPr>
          <w:rFonts w:ascii="Century Gothic" w:hAnsi="Century Gothic" w:cs="Century Gothic"/>
          <w:sz w:val="23"/>
          <w:szCs w:val="23"/>
        </w:rPr>
        <w:t xml:space="preserve"> ». </w:t>
      </w:r>
    </w:p>
    <w:p w:rsidR="005B2F5A" w:rsidRDefault="005B2F5A" w:rsidP="005B2F5A">
      <w:pPr>
        <w:pStyle w:val="Default"/>
        <w:rPr>
          <w:rFonts w:ascii="Century Gothic" w:hAnsi="Century Gothic" w:cs="Century Gothic"/>
          <w:sz w:val="23"/>
          <w:szCs w:val="23"/>
        </w:rPr>
      </w:pPr>
      <w:r>
        <w:rPr>
          <w:rFonts w:ascii="Century Gothic" w:hAnsi="Century Gothic" w:cs="Century Gothic"/>
          <w:b/>
          <w:bCs/>
          <w:sz w:val="23"/>
          <w:szCs w:val="23"/>
        </w:rPr>
        <w:t xml:space="preserve">Présentation préliminaire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Le terme SWOT désigne un outil très apprécié des analystes (consultants, économistes ou financiers) car il peut répondre simplement à un double usage : </w:t>
      </w:r>
    </w:p>
    <w:p w:rsidR="005B2F5A" w:rsidRDefault="005B2F5A" w:rsidP="005B2F5A">
      <w:pPr>
        <w:pStyle w:val="Default"/>
        <w:spacing w:after="30"/>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L'analyse Interne de l'entreprise : son micro environnement </w:t>
      </w:r>
    </w:p>
    <w:p w:rsidR="005B2F5A" w:rsidRDefault="005B2F5A" w:rsidP="005B2F5A">
      <w:pPr>
        <w:pStyle w:val="Default"/>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L'analyse Externe de l'entreprise : son macro environnement </w:t>
      </w:r>
    </w:p>
    <w:p w:rsidR="005B2F5A" w:rsidRDefault="005B2F5A" w:rsidP="005B2F5A">
      <w:pPr>
        <w:pStyle w:val="Default"/>
        <w:rPr>
          <w:rFonts w:ascii="Century Gothic" w:hAnsi="Century Gothic" w:cs="Century Gothic"/>
          <w:sz w:val="23"/>
          <w:szCs w:val="23"/>
        </w:rPr>
      </w:pP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L'outil SWOT (analyse + matrice) est susceptible d'être employé très largement, dans de nombreux domaines, pour analyser, diagnostiquer, décrire : </w:t>
      </w:r>
    </w:p>
    <w:p w:rsidR="005B2F5A" w:rsidRDefault="005B2F5A" w:rsidP="005B2F5A">
      <w:pPr>
        <w:pStyle w:val="Default"/>
        <w:spacing w:after="30"/>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Un état de l'existant : une situation, un environnement ; </w:t>
      </w:r>
    </w:p>
    <w:p w:rsidR="005B2F5A" w:rsidRDefault="005B2F5A" w:rsidP="005B2F5A">
      <w:pPr>
        <w:pStyle w:val="Default"/>
        <w:spacing w:after="30"/>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Le diagnostic d'une dynamique opérationnelle : un processus, un projet ; </w:t>
      </w:r>
    </w:p>
    <w:p w:rsidR="005B2F5A" w:rsidRDefault="005B2F5A" w:rsidP="005B2F5A">
      <w:pPr>
        <w:pStyle w:val="Default"/>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L'évaluation d'une volonté et de ses effets : une politique, une stratégie. </w:t>
      </w:r>
    </w:p>
    <w:p w:rsidR="005B2F5A" w:rsidRDefault="005B2F5A" w:rsidP="005B2F5A">
      <w:pPr>
        <w:pStyle w:val="Default"/>
        <w:rPr>
          <w:rFonts w:ascii="Century Gothic" w:hAnsi="Century Gothic" w:cs="Century Gothic"/>
          <w:sz w:val="23"/>
          <w:szCs w:val="23"/>
        </w:rPr>
      </w:pP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L'outil SWOT est également apprécié - sinon exigé par les décideurs - car le résultat produit par l'outil (matrice SWOT) est le parfait résumé (global, qualifié et hiérarchisé) des éléments à prendre en compte pour une "bonne" décision. </w:t>
      </w:r>
    </w:p>
    <w:p w:rsidR="005B2F5A" w:rsidRDefault="005B2F5A" w:rsidP="005B2F5A">
      <w:pPr>
        <w:pStyle w:val="Default"/>
        <w:rPr>
          <w:rFonts w:ascii="Century Gothic" w:hAnsi="Century Gothic" w:cs="Century Gothic"/>
          <w:sz w:val="23"/>
          <w:szCs w:val="23"/>
        </w:rPr>
      </w:pPr>
    </w:p>
    <w:p w:rsidR="005B2F5A" w:rsidRDefault="005B2F5A" w:rsidP="005B2F5A">
      <w:pPr>
        <w:pStyle w:val="Default"/>
        <w:rPr>
          <w:rFonts w:ascii="Century Gothic" w:hAnsi="Century Gothic" w:cs="Century Gothic"/>
          <w:sz w:val="23"/>
          <w:szCs w:val="23"/>
        </w:rPr>
      </w:pPr>
      <w:r>
        <w:rPr>
          <w:rFonts w:ascii="Century Gothic" w:hAnsi="Century Gothic" w:cs="Century Gothic"/>
          <w:b/>
          <w:bCs/>
          <w:sz w:val="23"/>
          <w:szCs w:val="23"/>
        </w:rPr>
        <w:t xml:space="preserve">Méthode d'emploi de l'outil SWOT </w:t>
      </w:r>
    </w:p>
    <w:p w:rsidR="005B2F5A" w:rsidRDefault="005B2F5A" w:rsidP="005B2F5A">
      <w:pPr>
        <w:pStyle w:val="Default"/>
        <w:rPr>
          <w:rFonts w:ascii="Century Gothic" w:hAnsi="Century Gothic" w:cs="Century Gothic"/>
          <w:sz w:val="23"/>
          <w:szCs w:val="23"/>
        </w:rPr>
      </w:pPr>
      <w:r>
        <w:rPr>
          <w:rFonts w:ascii="Century Gothic" w:hAnsi="Century Gothic" w:cs="Century Gothic"/>
          <w:b/>
          <w:bCs/>
          <w:sz w:val="23"/>
          <w:szCs w:val="23"/>
        </w:rPr>
        <w:t xml:space="preserve">Le résultat à viser : la matrice SWOT ou l'information présentée en forme d'aide à la décision </w:t>
      </w:r>
    </w:p>
    <w:p w:rsidR="005B2F5A" w:rsidRDefault="005B2F5A" w:rsidP="005B2F5A">
      <w:pPr>
        <w:pStyle w:val="Default"/>
        <w:rPr>
          <w:rFonts w:ascii="Century Gothic" w:hAnsi="Century Gothic" w:cs="Century Gothic"/>
          <w:sz w:val="23"/>
          <w:szCs w:val="23"/>
        </w:rPr>
      </w:pPr>
      <w:r>
        <w:rPr>
          <w:rFonts w:ascii="Century Gothic" w:hAnsi="Century Gothic" w:cs="Century Gothic"/>
          <w:b/>
          <w:bCs/>
          <w:sz w:val="23"/>
          <w:szCs w:val="23"/>
        </w:rPr>
        <w:t xml:space="preserve">La forme du résultat attendu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Un tableau au format A4, au maximum. </w:t>
      </w:r>
    </w:p>
    <w:p w:rsidR="005B2F5A" w:rsidRDefault="005B2F5A" w:rsidP="005B2F5A">
      <w:pPr>
        <w:pStyle w:val="Default"/>
        <w:spacing w:after="119"/>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Comportant une grille composée de 4 grandes cases (cf. illustration ci-dessus) </w:t>
      </w:r>
    </w:p>
    <w:p w:rsidR="005B2F5A" w:rsidRDefault="005B2F5A" w:rsidP="005B2F5A">
      <w:pPr>
        <w:pStyle w:val="Default"/>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Verticalement : 2 colonnes. </w:t>
      </w:r>
    </w:p>
    <w:p w:rsidR="005B2F5A" w:rsidRDefault="005B2F5A" w:rsidP="005B2F5A">
      <w:pPr>
        <w:pStyle w:val="Default"/>
        <w:rPr>
          <w:rFonts w:ascii="Century Gothic" w:hAnsi="Century Gothic" w:cs="Century Gothic"/>
          <w:sz w:val="23"/>
          <w:szCs w:val="23"/>
        </w:rPr>
      </w:pP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Celle de gauche recueille la liste des éléments ayant une incidence positive ou favorable sur l'objet étudié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Celle de droite recueille la liste des éléments ayant une incidence négative ou défavorable sur l'objet étudié. </w:t>
      </w:r>
    </w:p>
    <w:p w:rsidR="005B2F5A" w:rsidRDefault="005B2F5A" w:rsidP="005B2F5A">
      <w:pPr>
        <w:pStyle w:val="Default"/>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Horizontalement : 2 lignes. </w:t>
      </w:r>
    </w:p>
    <w:p w:rsidR="005B2F5A" w:rsidRDefault="005B2F5A" w:rsidP="005B2F5A">
      <w:pPr>
        <w:pStyle w:val="Default"/>
        <w:rPr>
          <w:rFonts w:ascii="Century Gothic" w:hAnsi="Century Gothic" w:cs="Century Gothic"/>
          <w:sz w:val="23"/>
          <w:szCs w:val="23"/>
        </w:rPr>
      </w:pP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Celle du haut recueille la liste des éléments dits "internes", c'est-à-dire faisant partie de l'objet étudié, donc réputés pouvant être pilotés ou régulés.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Celle du bas recueille la liste des éléments dits "externes", c'est-à-dire se situant hors de l'objet étudié (dans son environnement), donc réputés </w:t>
      </w:r>
      <w:proofErr w:type="gramStart"/>
      <w:r>
        <w:rPr>
          <w:rFonts w:ascii="Century Gothic" w:hAnsi="Century Gothic" w:cs="Century Gothic"/>
          <w:sz w:val="23"/>
          <w:szCs w:val="23"/>
        </w:rPr>
        <w:t>représenter</w:t>
      </w:r>
      <w:proofErr w:type="gramEnd"/>
      <w:r>
        <w:rPr>
          <w:rFonts w:ascii="Century Gothic" w:hAnsi="Century Gothic" w:cs="Century Gothic"/>
          <w:sz w:val="23"/>
          <w:szCs w:val="23"/>
        </w:rPr>
        <w:t xml:space="preserve"> une véritable contrainte d'ordre externe, c'est-à-dire, a priori, non maîtrisable. </w:t>
      </w:r>
    </w:p>
    <w:p w:rsidR="005B2F5A" w:rsidRDefault="005B2F5A" w:rsidP="005B2F5A">
      <w:pPr>
        <w:pStyle w:val="Default"/>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Au croisement des colonnes et des lignes sont donc constituées 4 cases destinées à recevoir l'information pertinente. </w:t>
      </w:r>
    </w:p>
    <w:p w:rsidR="005B2F5A" w:rsidRDefault="005B2F5A" w:rsidP="005B2F5A">
      <w:pPr>
        <w:pStyle w:val="Default"/>
        <w:rPr>
          <w:rFonts w:ascii="Century Gothic" w:hAnsi="Century Gothic" w:cs="Century Gothic"/>
          <w:sz w:val="23"/>
          <w:szCs w:val="23"/>
        </w:rPr>
      </w:pPr>
      <w:bookmarkStart w:id="0" w:name="_GoBack"/>
      <w:bookmarkEnd w:id="0"/>
    </w:p>
    <w:p w:rsidR="005B2F5A" w:rsidRDefault="005B2F5A" w:rsidP="005B2F5A">
      <w:pPr>
        <w:pStyle w:val="Default"/>
        <w:pageBreakBefore/>
        <w:rPr>
          <w:rFonts w:ascii="Century Gothic" w:hAnsi="Century Gothic" w:cs="Century Gothic"/>
          <w:sz w:val="23"/>
          <w:szCs w:val="23"/>
        </w:rPr>
      </w:pPr>
      <w:r>
        <w:rPr>
          <w:rFonts w:ascii="Century Gothic" w:hAnsi="Century Gothic" w:cs="Century Gothic"/>
          <w:sz w:val="23"/>
          <w:szCs w:val="23"/>
        </w:rPr>
        <w:lastRenderedPageBreak/>
        <w:t xml:space="preserve">Case S </w:t>
      </w:r>
      <w:r>
        <w:rPr>
          <w:rFonts w:ascii="Cambria Math" w:hAnsi="Cambria Math" w:cs="Cambria Math"/>
          <w:sz w:val="23"/>
          <w:szCs w:val="23"/>
        </w:rPr>
        <w:t xml:space="preserve">⇒ </w:t>
      </w:r>
      <w:r>
        <w:rPr>
          <w:rFonts w:ascii="Century Gothic" w:hAnsi="Century Gothic" w:cs="Century Gothic"/>
          <w:sz w:val="23"/>
          <w:szCs w:val="23"/>
        </w:rPr>
        <w:t xml:space="preserve">Les Forces (facteurs positifs et d'origine interne)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Case W </w:t>
      </w:r>
      <w:r>
        <w:rPr>
          <w:rFonts w:ascii="Cambria Math" w:hAnsi="Cambria Math" w:cs="Cambria Math"/>
          <w:sz w:val="23"/>
          <w:szCs w:val="23"/>
        </w:rPr>
        <w:t xml:space="preserve">⇒ </w:t>
      </w:r>
      <w:r>
        <w:rPr>
          <w:rFonts w:ascii="Century Gothic" w:hAnsi="Century Gothic" w:cs="Century Gothic"/>
          <w:sz w:val="23"/>
          <w:szCs w:val="23"/>
        </w:rPr>
        <w:t xml:space="preserve">Les Faiblesses (facteurs négatifs et d'origine interne)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Case O </w:t>
      </w:r>
      <w:r>
        <w:rPr>
          <w:rFonts w:ascii="Cambria Math" w:hAnsi="Cambria Math" w:cs="Cambria Math"/>
          <w:sz w:val="23"/>
          <w:szCs w:val="23"/>
        </w:rPr>
        <w:t xml:space="preserve">⇒ </w:t>
      </w:r>
      <w:r>
        <w:rPr>
          <w:rFonts w:ascii="Century Gothic" w:hAnsi="Century Gothic" w:cs="Century Gothic"/>
          <w:sz w:val="23"/>
          <w:szCs w:val="23"/>
        </w:rPr>
        <w:t xml:space="preserve">Les Opportunités (facteurs positifs et d'origine externe)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Case T </w:t>
      </w:r>
      <w:r>
        <w:rPr>
          <w:rFonts w:ascii="Cambria Math" w:hAnsi="Cambria Math" w:cs="Cambria Math"/>
          <w:sz w:val="23"/>
          <w:szCs w:val="23"/>
        </w:rPr>
        <w:t xml:space="preserve">⇒ </w:t>
      </w:r>
      <w:r>
        <w:rPr>
          <w:rFonts w:ascii="Century Gothic" w:hAnsi="Century Gothic" w:cs="Century Gothic"/>
          <w:sz w:val="23"/>
          <w:szCs w:val="23"/>
        </w:rPr>
        <w:t xml:space="preserve">Les Menaces (facteurs négatifs et d'origine externe) </w:t>
      </w:r>
    </w:p>
    <w:p w:rsidR="005B2F5A" w:rsidRDefault="005B2F5A" w:rsidP="005B2F5A">
      <w:pPr>
        <w:pStyle w:val="Default"/>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La liste figurant dans chaque case ne doit pas compter trop d'éléments </w:t>
      </w:r>
      <w:r>
        <w:rPr>
          <w:rFonts w:ascii="Cambria Math" w:hAnsi="Cambria Math" w:cs="Cambria Math"/>
          <w:sz w:val="23"/>
          <w:szCs w:val="23"/>
        </w:rPr>
        <w:t xml:space="preserve">⇒ </w:t>
      </w:r>
      <w:r>
        <w:rPr>
          <w:rFonts w:ascii="Century Gothic" w:hAnsi="Century Gothic" w:cs="Century Gothic"/>
          <w:sz w:val="23"/>
          <w:szCs w:val="23"/>
        </w:rPr>
        <w:t xml:space="preserve">sous peine de ne pas être véritablement la "synthèse" attendue. </w:t>
      </w:r>
    </w:p>
    <w:p w:rsidR="005B2F5A" w:rsidRDefault="005B2F5A" w:rsidP="005B2F5A">
      <w:pPr>
        <w:pStyle w:val="Default"/>
        <w:rPr>
          <w:rFonts w:ascii="Century Gothic" w:hAnsi="Century Gothic" w:cs="Century Gothic"/>
          <w:sz w:val="23"/>
          <w:szCs w:val="23"/>
        </w:rPr>
      </w:pP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(En général la liste comprend 3 à 5 éléments. Au-delà de 7 éléments, s'interroger sur le caractère nécessaire de cette prolixité...)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Par ailleurs, les meilleurs rédacteurs de matrice SWOT s'attachent à hiérarchiser les éléments listés dans chaque case :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Dans la case "Forces", les éléments sont classés par intensité de force décroissante : les plus forts en tête de liste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Dans la case "Faiblesses", les éléments présentant les faiblesses les plus importantes figurent en tête de liste. </w:t>
      </w:r>
    </w:p>
    <w:p w:rsidR="005B2F5A" w:rsidRDefault="005B2F5A" w:rsidP="005B2F5A">
      <w:pPr>
        <w:pStyle w:val="Default"/>
        <w:rPr>
          <w:rFonts w:ascii="Century Gothic" w:hAnsi="Century Gothic" w:cs="Century Gothic"/>
          <w:sz w:val="23"/>
          <w:szCs w:val="23"/>
        </w:rPr>
      </w:pPr>
      <w:r>
        <w:rPr>
          <w:rFonts w:ascii="Century Gothic" w:hAnsi="Century Gothic" w:cs="Century Gothic"/>
          <w:sz w:val="23"/>
          <w:szCs w:val="23"/>
        </w:rPr>
        <w:t xml:space="preserve">Conduire une analyse SWOT consiste à effectuer deux diagnostics : </w:t>
      </w:r>
    </w:p>
    <w:p w:rsidR="005B2F5A" w:rsidRDefault="005B2F5A" w:rsidP="005B2F5A">
      <w:pPr>
        <w:pStyle w:val="Default"/>
        <w:spacing w:after="121"/>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Un diagnostic interne, qui identifie les forces et les faiblesses du domaine d'activité stratégique. Celles-ci peuvent être déterminées à l'aide d'une série de modèles d'analyse stratégique, tels que la chaîne de valeur, l'étalonnage (</w:t>
      </w:r>
      <w:proofErr w:type="spellStart"/>
      <w:r>
        <w:rPr>
          <w:rFonts w:ascii="Century Gothic" w:hAnsi="Century Gothic" w:cs="Century Gothic"/>
          <w:sz w:val="23"/>
          <w:szCs w:val="23"/>
        </w:rPr>
        <w:t>benchmarking</w:t>
      </w:r>
      <w:proofErr w:type="spellEnd"/>
      <w:r>
        <w:rPr>
          <w:rFonts w:ascii="Century Gothic" w:hAnsi="Century Gothic" w:cs="Century Gothic"/>
          <w:sz w:val="23"/>
          <w:szCs w:val="23"/>
        </w:rPr>
        <w:t xml:space="preserve">) ou l'analyse du tissu culturel. Il peut s'agir par exemple du portefeuille technologique, du niveau de notoriété, de la présence géographique, du réseau de partenaires, de la structure de gouvernement d'entreprise, etc. </w:t>
      </w:r>
    </w:p>
    <w:p w:rsidR="005B2F5A" w:rsidRDefault="005B2F5A" w:rsidP="005B2F5A">
      <w:pPr>
        <w:pStyle w:val="Default"/>
        <w:rPr>
          <w:rFonts w:ascii="Century Gothic" w:hAnsi="Century Gothic" w:cs="Century Gothic"/>
          <w:sz w:val="23"/>
          <w:szCs w:val="23"/>
        </w:rPr>
      </w:pPr>
      <w:r>
        <w:rPr>
          <w:rFonts w:ascii="Wingdings" w:hAnsi="Wingdings" w:cs="Wingdings"/>
          <w:sz w:val="23"/>
          <w:szCs w:val="23"/>
        </w:rPr>
        <w:t></w:t>
      </w:r>
      <w:r>
        <w:rPr>
          <w:rFonts w:ascii="Wingdings" w:hAnsi="Wingdings" w:cs="Wingdings"/>
          <w:sz w:val="23"/>
          <w:szCs w:val="23"/>
        </w:rPr>
        <w:t></w:t>
      </w:r>
      <w:r>
        <w:rPr>
          <w:rFonts w:ascii="Century Gothic" w:hAnsi="Century Gothic" w:cs="Century Gothic"/>
          <w:sz w:val="23"/>
          <w:szCs w:val="23"/>
        </w:rPr>
        <w:t xml:space="preserve">Un diagnostic externe, qui identifie les opportunités et les menaces présentes dans l'environnement. Celles-ci peuvent être déterminées à l'aide d'une série de modèles d'analyse stratégique, tels que le modèle PESTEL, le modèle des 5 forces de la concurrence de Michael Porter ou encore une analyse de scénario. Il peut s'agir par exemple de l'irruption de nouveaux concurrents, de l'apparition d'une nouvelle technologie, de l'émergence d'une nouvelle réglementation, de l'ouverture de nouveaux marchés, etc. </w:t>
      </w:r>
    </w:p>
    <w:p w:rsidR="00F3209C" w:rsidRDefault="00F3209C"/>
    <w:sectPr w:rsidR="00F3209C" w:rsidSect="00C51D98">
      <w:headerReference w:type="default" r:id="rId7"/>
      <w:pgSz w:w="11906" w:h="17338"/>
      <w:pgMar w:top="1400" w:right="535" w:bottom="0" w:left="9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31E" w:rsidRDefault="00EC331E" w:rsidP="005B2F5A">
      <w:pPr>
        <w:spacing w:after="0" w:line="240" w:lineRule="auto"/>
      </w:pPr>
      <w:r>
        <w:separator/>
      </w:r>
    </w:p>
  </w:endnote>
  <w:endnote w:type="continuationSeparator" w:id="0">
    <w:p w:rsidR="00EC331E" w:rsidRDefault="00EC331E" w:rsidP="005B2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31E" w:rsidRDefault="00EC331E" w:rsidP="005B2F5A">
      <w:pPr>
        <w:spacing w:after="0" w:line="240" w:lineRule="auto"/>
      </w:pPr>
      <w:r>
        <w:separator/>
      </w:r>
    </w:p>
  </w:footnote>
  <w:footnote w:type="continuationSeparator" w:id="0">
    <w:p w:rsidR="00EC331E" w:rsidRDefault="00EC331E" w:rsidP="005B2F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F5A" w:rsidRDefault="005B2F5A" w:rsidP="005B2F5A">
    <w:pPr>
      <w:pStyle w:val="Default"/>
      <w:jc w:val="center"/>
      <w:rPr>
        <w:sz w:val="40"/>
        <w:szCs w:val="40"/>
      </w:rPr>
    </w:pPr>
    <w:r>
      <w:rPr>
        <w:sz w:val="40"/>
        <w:szCs w:val="40"/>
      </w:rPr>
      <w:t>SWOT</w:t>
    </w:r>
  </w:p>
  <w:p w:rsidR="005B2F5A" w:rsidRPr="005B2F5A" w:rsidRDefault="005B2F5A" w:rsidP="005B2F5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F5A"/>
    <w:rsid w:val="005B2F5A"/>
    <w:rsid w:val="00EC331E"/>
    <w:rsid w:val="00F32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B2F5A"/>
    <w:pPr>
      <w:autoSpaceDE w:val="0"/>
      <w:autoSpaceDN w:val="0"/>
      <w:adjustRightInd w:val="0"/>
      <w:spacing w:after="0" w:line="240" w:lineRule="auto"/>
    </w:pPr>
    <w:rPr>
      <w:rFonts w:ascii="Trebuchet MS" w:hAnsi="Trebuchet MS" w:cs="Trebuchet MS"/>
      <w:color w:val="000000"/>
      <w:sz w:val="24"/>
      <w:szCs w:val="24"/>
    </w:rPr>
  </w:style>
  <w:style w:type="paragraph" w:styleId="En-tte">
    <w:name w:val="header"/>
    <w:basedOn w:val="Normal"/>
    <w:link w:val="En-tteCar"/>
    <w:uiPriority w:val="99"/>
    <w:unhideWhenUsed/>
    <w:rsid w:val="005B2F5A"/>
    <w:pPr>
      <w:tabs>
        <w:tab w:val="center" w:pos="4536"/>
        <w:tab w:val="right" w:pos="9072"/>
      </w:tabs>
      <w:spacing w:after="0" w:line="240" w:lineRule="auto"/>
    </w:pPr>
  </w:style>
  <w:style w:type="character" w:customStyle="1" w:styleId="En-tteCar">
    <w:name w:val="En-tête Car"/>
    <w:basedOn w:val="Policepardfaut"/>
    <w:link w:val="En-tte"/>
    <w:uiPriority w:val="99"/>
    <w:rsid w:val="005B2F5A"/>
  </w:style>
  <w:style w:type="paragraph" w:styleId="Pieddepage">
    <w:name w:val="footer"/>
    <w:basedOn w:val="Normal"/>
    <w:link w:val="PieddepageCar"/>
    <w:uiPriority w:val="99"/>
    <w:unhideWhenUsed/>
    <w:rsid w:val="005B2F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2F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B2F5A"/>
    <w:pPr>
      <w:autoSpaceDE w:val="0"/>
      <w:autoSpaceDN w:val="0"/>
      <w:adjustRightInd w:val="0"/>
      <w:spacing w:after="0" w:line="240" w:lineRule="auto"/>
    </w:pPr>
    <w:rPr>
      <w:rFonts w:ascii="Trebuchet MS" w:hAnsi="Trebuchet MS" w:cs="Trebuchet MS"/>
      <w:color w:val="000000"/>
      <w:sz w:val="24"/>
      <w:szCs w:val="24"/>
    </w:rPr>
  </w:style>
  <w:style w:type="paragraph" w:styleId="En-tte">
    <w:name w:val="header"/>
    <w:basedOn w:val="Normal"/>
    <w:link w:val="En-tteCar"/>
    <w:uiPriority w:val="99"/>
    <w:unhideWhenUsed/>
    <w:rsid w:val="005B2F5A"/>
    <w:pPr>
      <w:tabs>
        <w:tab w:val="center" w:pos="4536"/>
        <w:tab w:val="right" w:pos="9072"/>
      </w:tabs>
      <w:spacing w:after="0" w:line="240" w:lineRule="auto"/>
    </w:pPr>
  </w:style>
  <w:style w:type="character" w:customStyle="1" w:styleId="En-tteCar">
    <w:name w:val="En-tête Car"/>
    <w:basedOn w:val="Policepardfaut"/>
    <w:link w:val="En-tte"/>
    <w:uiPriority w:val="99"/>
    <w:rsid w:val="005B2F5A"/>
  </w:style>
  <w:style w:type="paragraph" w:styleId="Pieddepage">
    <w:name w:val="footer"/>
    <w:basedOn w:val="Normal"/>
    <w:link w:val="PieddepageCar"/>
    <w:uiPriority w:val="99"/>
    <w:unhideWhenUsed/>
    <w:rsid w:val="005B2F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2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691</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Recup</dc:creator>
  <cp:lastModifiedBy>Recup</cp:lastModifiedBy>
  <cp:revision>1</cp:revision>
  <dcterms:created xsi:type="dcterms:W3CDTF">2016-03-21T07:55:00Z</dcterms:created>
  <dcterms:modified xsi:type="dcterms:W3CDTF">2016-03-21T07:57:00Z</dcterms:modified>
</cp:coreProperties>
</file>