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 xml:space="preserve">Correlation Between Applicant Income </w:t>
      </w:r>
      <w:proofErr w:type="gramStart"/>
      <w:r w:rsidR="00F64527">
        <w:rPr>
          <w:rFonts w:ascii="Times New Roman" w:eastAsia="Times New Roman" w:hAnsi="Times New Roman" w:cs="Times New Roman"/>
        </w:rPr>
        <w:t>And</w:t>
      </w:r>
      <w:proofErr w:type="gramEnd"/>
      <w:r w:rsidR="00F64527">
        <w:rPr>
          <w:rFonts w:ascii="Times New Roman" w:eastAsia="Times New Roman" w:hAnsi="Times New Roman" w:cs="Times New Roman"/>
        </w:rPr>
        <w:t xml:space="preserve">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roofErr w:type="gramStart"/>
      <w:r>
        <w:rPr>
          <w:rFonts w:ascii="Times New Roman" w:eastAsia="Times New Roman" w:hAnsi="Times New Roman" w:cs="Times New Roman"/>
          <w:i/>
          <w:iCs/>
          <w:color w:val="000000" w:themeColor="text1"/>
          <w:highlight w:val="yellow"/>
        </w:rPr>
        <w:t>.</w:t>
      </w:r>
      <w:proofErr w:type="gramEnd"/>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6C9B467C" w:rsidR="00E14FB6" w:rsidRDefault="001605F9" w:rsidP="00262270">
      <w:pPr>
        <w:ind w:left="1440"/>
        <w:rPr>
          <w:rFonts w:ascii="Times New Roman" w:eastAsia="Times New Roman" w:hAnsi="Times New Roman" w:cs="Times New Roman"/>
        </w:rPr>
      </w:pPr>
      <w:r>
        <w:rPr>
          <w:rFonts w:ascii="Times New Roman" w:eastAsia="Times New Roman" w:hAnsi="Times New Roman" w:cs="Times New Roman"/>
          <w:b/>
          <w:bCs/>
        </w:rPr>
        <w:t>The</w:t>
      </w:r>
      <w:r w:rsidR="003A2546">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sidR="003A2546">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sidR="003A2546">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5AB78DE8" w14:textId="1ACF6A9E" w:rsidR="00E14FB6" w:rsidRDefault="003A2546" w:rsidP="0017096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239F875" w14:textId="15A7E6C9" w:rsidR="0017096F" w:rsidRPr="0017096F" w:rsidRDefault="0017096F" w:rsidP="0017096F">
      <w:pPr>
        <w:pStyle w:val="ListParagraph"/>
        <w:ind w:left="1440"/>
        <w:rPr>
          <w:rFonts w:ascii="Times New Roman" w:eastAsia="Times New Roman" w:hAnsi="Times New Roman" w:cs="Times New Roman"/>
          <w:color w:val="0070C0"/>
        </w:rPr>
      </w:pPr>
      <w:r w:rsidRPr="0017096F">
        <w:rPr>
          <w:rFonts w:ascii="Times New Roman" w:eastAsia="Times New Roman" w:hAnsi="Times New Roman" w:cs="Times New Roman"/>
          <w:color w:val="0070C0"/>
        </w:rPr>
        <w:lastRenderedPageBreak/>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82084EF"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roofErr w:type="gramStart"/>
      <w:r w:rsidR="00253C18" w:rsidRPr="00253C18">
        <w:rPr>
          <w:rFonts w:ascii="Times New Roman" w:eastAsia="Times New Roman" w:hAnsi="Times New Roman" w:cs="Times New Roman"/>
          <w:color w:val="BF4E14" w:themeColor="accent2" w:themeShade="BF"/>
        </w:rPr>
        <w:t>The</w:t>
      </w:r>
      <w:proofErr w:type="gramEnd"/>
      <w:r w:rsidR="00253C18" w:rsidRPr="00253C18">
        <w:rPr>
          <w:rFonts w:ascii="Times New Roman" w:eastAsia="Times New Roman" w:hAnsi="Times New Roman" w:cs="Times New Roman"/>
          <w:color w:val="BF4E14" w:themeColor="accent2" w:themeShade="BF"/>
        </w:rPr>
        <w:t xml:space="preserve"> null hypothesis, which states that there is no correlation between loan amount and personal income of applicants, is rejected because the p-value (p &lt; </w:t>
      </w:r>
      <w:r w:rsidR="00253C18" w:rsidRPr="00253C18">
        <w:rPr>
          <w:rFonts w:ascii="Times New Roman" w:eastAsia="Times New Roman" w:hAnsi="Times New Roman" w:cs="Times New Roman"/>
          <w:color w:val="BF4E14" w:themeColor="accent2" w:themeShade="BF"/>
        </w:rPr>
        <w:lastRenderedPageBreak/>
        <w:t>2.2e-16) is extremely low.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w:t>
      </w:r>
      <w:r w:rsidR="00253C18" w:rsidRPr="00253C18">
        <w:rPr>
          <w:rFonts w:ascii="Times New Roman" w:eastAsia="Times New Roman" w:hAnsi="Times New Roman" w:cs="Times New Roman"/>
        </w:rPr>
        <w:t>.</w:t>
      </w:r>
      <w:r w:rsidR="00253C18" w:rsidRPr="00253C18">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sidRPr="0064589D">
        <w:rPr>
          <w:rFonts w:ascii="Times New Roman" w:hAnsi="Times New Roman" w:cs="Times New Roman"/>
          <w:color w:val="FF0000"/>
        </w:rPr>
        <w:t>analyzing</w:t>
      </w:r>
      <w:proofErr w:type="spellEnd"/>
      <w:r w:rsidRPr="0064589D">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lastRenderedPageBreak/>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8DB057C" w14:textId="77777777" w:rsidR="00A000BF" w:rsidRDefault="003A2546" w:rsidP="00A000BF">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94FD64F" w14:textId="3E4CF24D" w:rsidR="00A000BF" w:rsidRPr="005726E5" w:rsidRDefault="00A000BF" w:rsidP="005726E5">
      <w:pPr>
        <w:pStyle w:val="ListParagraph"/>
        <w:numPr>
          <w:ilvl w:val="0"/>
          <w:numId w:val="10"/>
        </w:numPr>
        <w:spacing w:before="240" w:after="240"/>
        <w:ind w:left="1890"/>
        <w:rPr>
          <w:rFonts w:ascii="Times New Roman" w:eastAsia="Times New Roman" w:hAnsi="Times New Roman" w:cs="Times New Roman"/>
          <w:i/>
          <w:iCs/>
          <w:highlight w:val="yellow"/>
        </w:rPr>
      </w:pPr>
      <w:r w:rsidRPr="00A000BF">
        <w:rPr>
          <w:rFonts w:ascii="Times New Roman" w:eastAsia="Times New Roman" w:hAnsi="Times New Roman" w:cs="Times New Roman"/>
          <w:b/>
          <w:bCs/>
          <w:i/>
          <w:iCs/>
          <w:highlight w:val="yellow"/>
        </w:rPr>
        <w:t>Commit Message:</w:t>
      </w:r>
      <w:r w:rsidRPr="00A000BF">
        <w:rPr>
          <w:rFonts w:ascii="Times New Roman" w:eastAsia="Times New Roman" w:hAnsi="Times New Roman" w:cs="Times New Roman"/>
          <w:i/>
          <w:iCs/>
          <w:highlight w:val="yellow"/>
        </w:rPr>
        <w:t xml:space="preserve"> [Insert Commit Message] Brief explanation of the broader impact of the change</w:t>
      </w:r>
    </w:p>
    <w:p w14:paraId="47C246EA" w14:textId="77777777" w:rsidR="009C0EC4" w:rsidRPr="009C0EC4" w:rsidRDefault="009C0EC4" w:rsidP="009C0EC4">
      <w:pPr>
        <w:spacing w:after="160" w:line="259" w:lineRule="auto"/>
        <w:rPr>
          <w:color w:val="0070C0"/>
        </w:rPr>
      </w:pPr>
      <w:r w:rsidRPr="009C0EC4">
        <w:rPr>
          <w:color w:val="0070C0"/>
        </w:rPr>
        <w:t>The GitHub log (Appendix B) demonstrates consistent collaboration and progress throughout the project. Three key commits include:</w:t>
      </w:r>
    </w:p>
    <w:p w14:paraId="032752A2" w14:textId="38A9672E" w:rsidR="009C0EC4" w:rsidRPr="009C0EC4" w:rsidRDefault="00DE2368" w:rsidP="009C0EC4">
      <w:pPr>
        <w:numPr>
          <w:ilvl w:val="0"/>
          <w:numId w:val="14"/>
        </w:numPr>
        <w:spacing w:after="160" w:line="259" w:lineRule="auto"/>
        <w:rPr>
          <w:color w:val="0070C0"/>
        </w:rPr>
      </w:pPr>
      <w:r>
        <w:rPr>
          <w:color w:val="0070C0"/>
        </w:rPr>
        <w:t xml:space="preserve">Add files via upload – </w:t>
      </w:r>
      <w:r w:rsidR="00B92369" w:rsidRPr="00B92369">
        <w:rPr>
          <w:color w:val="0070C0"/>
        </w:rPr>
        <w:t>Added the loan application dataset, enabling analysis and statistical testing</w:t>
      </w:r>
    </w:p>
    <w:p w14:paraId="1699D03E" w14:textId="55DC2AB6" w:rsidR="009C0EC4" w:rsidRPr="009C0EC4" w:rsidRDefault="008C2CB4" w:rsidP="009C0EC4">
      <w:pPr>
        <w:numPr>
          <w:ilvl w:val="0"/>
          <w:numId w:val="14"/>
        </w:numPr>
        <w:spacing w:after="160" w:line="259" w:lineRule="auto"/>
        <w:rPr>
          <w:color w:val="0070C0"/>
        </w:rPr>
      </w:pPr>
      <w:r w:rsidRPr="008C2CB4">
        <w:rPr>
          <w:color w:val="0070C0"/>
        </w:rPr>
        <w:t>Added R Script file for visualization and analysis</w:t>
      </w:r>
      <w:r>
        <w:rPr>
          <w:color w:val="0070C0"/>
        </w:rPr>
        <w:t xml:space="preserve"> – </w:t>
      </w:r>
      <w:r w:rsidR="00B92369" w:rsidRPr="00B92369">
        <w:rPr>
          <w:color w:val="0070C0"/>
        </w:rPr>
        <w:t>Provided core analytical functionality</w:t>
      </w:r>
    </w:p>
    <w:p w14:paraId="25D6A7A1" w14:textId="419BCACA" w:rsidR="009C0EC4" w:rsidRPr="009C0EC4" w:rsidRDefault="008C2CB4" w:rsidP="009C0EC4">
      <w:pPr>
        <w:numPr>
          <w:ilvl w:val="0"/>
          <w:numId w:val="14"/>
        </w:numPr>
        <w:spacing w:after="160" w:line="259" w:lineRule="auto"/>
        <w:rPr>
          <w:color w:val="0070C0"/>
        </w:rPr>
      </w:pPr>
      <w:r w:rsidRPr="008C2CB4">
        <w:rPr>
          <w:color w:val="0070C0"/>
        </w:rPr>
        <w:t>Added graph visualizations</w:t>
      </w:r>
      <w:r>
        <w:rPr>
          <w:color w:val="0070C0"/>
        </w:rPr>
        <w:t xml:space="preserve"> – </w:t>
      </w:r>
      <w:r w:rsidR="00B92369" w:rsidRPr="00B92369">
        <w:rPr>
          <w:color w:val="0070C0"/>
        </w:rPr>
        <w:t>Enhanced interpretation and supported results.</w:t>
      </w:r>
      <w:bookmarkStart w:id="0" w:name="_GoBack"/>
      <w:bookmarkEnd w:id="0"/>
    </w:p>
    <w:p w14:paraId="05D483FA" w14:textId="62B22361" w:rsidR="00E14FB6" w:rsidRPr="009C0EC4" w:rsidRDefault="009C0EC4" w:rsidP="009C0EC4">
      <w:pPr>
        <w:spacing w:after="160" w:line="259" w:lineRule="auto"/>
      </w:pPr>
      <w:r w:rsidRPr="009C0EC4">
        <w:rPr>
          <w:color w:val="0070C0"/>
        </w:rPr>
        <w:t>These commits reflect structured workflow, effective task allocation, and consistent progress monitoring during the project.</w:t>
      </w:r>
      <w:r w:rsidR="003A2546">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284261A9" w14:textId="23B5DE3C"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1EF2F642" w14:textId="09CD4AA9" w:rsidR="00E14FB6" w:rsidRDefault="003A2546" w:rsidP="004A1A55">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46CB11F5"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Agarwal, S., Ben-David, I., Chomsisengphet, S. and Evanoff, D.D., 2018. </w:t>
      </w:r>
      <w:r w:rsidRPr="00523CCA">
        <w:rPr>
          <w:rFonts w:ascii="Times New Roman" w:eastAsia="Times New Roman" w:hAnsi="Times New Roman" w:cs="Times New Roman"/>
          <w:i/>
          <w:iCs/>
          <w:color w:val="0070C0"/>
          <w:lang w:val="en-US"/>
        </w:rPr>
        <w:t>Loan product steering in mortgage markets</w:t>
      </w:r>
      <w:r w:rsidRPr="00523CCA">
        <w:rPr>
          <w:rFonts w:ascii="Times New Roman" w:eastAsia="Times New Roman" w:hAnsi="Times New Roman" w:cs="Times New Roman"/>
          <w:color w:val="0070C0"/>
          <w:lang w:val="en-US"/>
        </w:rPr>
        <w:t>. Journal of Financial Economics, 129(3), pp.702–716.</w:t>
      </w:r>
    </w:p>
    <w:p w14:paraId="777CCE2D" w14:textId="77777777" w:rsidR="00523CCA" w:rsidRPr="00523CCA" w:rsidRDefault="00523CCA" w:rsidP="00523CCA">
      <w:pPr>
        <w:ind w:left="720"/>
        <w:rPr>
          <w:rFonts w:ascii="Times New Roman" w:eastAsia="Times New Roman" w:hAnsi="Times New Roman" w:cs="Times New Roman"/>
          <w:color w:val="0070C0"/>
          <w:lang w:val="en-US"/>
        </w:rPr>
      </w:pPr>
      <w:r w:rsidRPr="00523CCA">
        <w:rPr>
          <w:rFonts w:ascii="Times New Roman" w:eastAsia="Times New Roman" w:hAnsi="Times New Roman" w:cs="Times New Roman"/>
          <w:color w:val="0070C0"/>
          <w:lang w:val="en-US"/>
        </w:rPr>
        <w:t xml:space="preserve">Domanban, P.B., 2024. </w:t>
      </w:r>
      <w:r w:rsidRPr="00523CCA">
        <w:rPr>
          <w:rFonts w:ascii="Times New Roman" w:eastAsia="Times New Roman" w:hAnsi="Times New Roman" w:cs="Times New Roman"/>
          <w:i/>
          <w:iCs/>
          <w:color w:val="0070C0"/>
          <w:lang w:val="en-US"/>
        </w:rPr>
        <w:t>Determinants of loan sizes in microfinance institutions</w:t>
      </w:r>
      <w:r w:rsidRPr="00523CCA">
        <w:rPr>
          <w:rFonts w:ascii="Times New Roman" w:eastAsia="Times New Roman" w:hAnsi="Times New Roman" w:cs="Times New Roman"/>
          <w:color w:val="0070C0"/>
          <w:lang w:val="en-US"/>
        </w:rPr>
        <w:t>. Cogent Economics &amp; Finance, 12(1), pp.1–17.</w:t>
      </w:r>
    </w:p>
    <w:p w14:paraId="131B6E0B" w14:textId="77777777" w:rsidR="004A1A55" w:rsidRDefault="004A1A55">
      <w:pPr>
        <w:ind w:left="720"/>
        <w:rPr>
          <w:rFonts w:ascii="Times New Roman" w:eastAsia="Times New Roman" w:hAnsi="Times New Roman" w:cs="Times New Roman"/>
          <w:color w:val="0070C0"/>
          <w:lang w:val="en-US"/>
        </w:rPr>
      </w:pPr>
    </w:p>
    <w:p w14:paraId="01D95638" w14:textId="77777777" w:rsidR="004A1A55" w:rsidRDefault="004A1A55">
      <w:pPr>
        <w:ind w:left="720"/>
        <w:rPr>
          <w:rFonts w:ascii="Times New Roman" w:eastAsia="Times New Roman" w:hAnsi="Times New Roman" w:cs="Times New Roman"/>
          <w:color w:val="0070C0"/>
          <w:lang w:val="en-US"/>
        </w:rPr>
      </w:pP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7781D5" w14:textId="77777777" w:rsidR="006D5019" w:rsidRDefault="006D5019">
      <w:r>
        <w:separator/>
      </w:r>
    </w:p>
  </w:endnote>
  <w:endnote w:type="continuationSeparator" w:id="0">
    <w:p w14:paraId="4900D4FC" w14:textId="77777777" w:rsidR="006D5019" w:rsidRDefault="006D50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AutoText"/>
      </w:docPartObj>
    </w:sdtPr>
    <w:sdtEnd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AutoText"/>
      </w:docPartObj>
    </w:sdtPr>
    <w:sdtEnd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3706B">
          <w:rPr>
            <w:rStyle w:val="PageNumber"/>
            <w:noProof/>
          </w:rPr>
          <w:t>9</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1818FD" w14:textId="77777777" w:rsidR="006D5019" w:rsidRDefault="006D5019">
      <w:r>
        <w:separator/>
      </w:r>
    </w:p>
  </w:footnote>
  <w:footnote w:type="continuationSeparator" w:id="0">
    <w:p w14:paraId="3246C7EB" w14:textId="77777777" w:rsidR="006D5019" w:rsidRDefault="006D501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367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0D206E"/>
    <w:rsid w:val="001605F9"/>
    <w:rsid w:val="0017096F"/>
    <w:rsid w:val="001A439D"/>
    <w:rsid w:val="001B41FE"/>
    <w:rsid w:val="001F21D3"/>
    <w:rsid w:val="00252074"/>
    <w:rsid w:val="00253C18"/>
    <w:rsid w:val="00262270"/>
    <w:rsid w:val="00277C77"/>
    <w:rsid w:val="002B2943"/>
    <w:rsid w:val="002E4578"/>
    <w:rsid w:val="0036504F"/>
    <w:rsid w:val="003A2546"/>
    <w:rsid w:val="003A57A2"/>
    <w:rsid w:val="004152A2"/>
    <w:rsid w:val="004A1A55"/>
    <w:rsid w:val="00523CCA"/>
    <w:rsid w:val="0052474D"/>
    <w:rsid w:val="0052580B"/>
    <w:rsid w:val="0056472A"/>
    <w:rsid w:val="005726E5"/>
    <w:rsid w:val="005E06CD"/>
    <w:rsid w:val="00611D82"/>
    <w:rsid w:val="00623649"/>
    <w:rsid w:val="0064589D"/>
    <w:rsid w:val="0064711F"/>
    <w:rsid w:val="0065465E"/>
    <w:rsid w:val="00666EAC"/>
    <w:rsid w:val="006D5019"/>
    <w:rsid w:val="006F7EE5"/>
    <w:rsid w:val="007E6556"/>
    <w:rsid w:val="007E7962"/>
    <w:rsid w:val="008855E9"/>
    <w:rsid w:val="008C2CB4"/>
    <w:rsid w:val="008C6FB2"/>
    <w:rsid w:val="008F77E1"/>
    <w:rsid w:val="0094307C"/>
    <w:rsid w:val="00956D04"/>
    <w:rsid w:val="00990949"/>
    <w:rsid w:val="009B5122"/>
    <w:rsid w:val="009C0EC4"/>
    <w:rsid w:val="009F5D6F"/>
    <w:rsid w:val="00A000BF"/>
    <w:rsid w:val="00A31C54"/>
    <w:rsid w:val="00A60FE3"/>
    <w:rsid w:val="00A80C4B"/>
    <w:rsid w:val="00AD364D"/>
    <w:rsid w:val="00AE6CD8"/>
    <w:rsid w:val="00AF40A6"/>
    <w:rsid w:val="00B142E4"/>
    <w:rsid w:val="00B3706B"/>
    <w:rsid w:val="00B5621A"/>
    <w:rsid w:val="00B60BDE"/>
    <w:rsid w:val="00B92369"/>
    <w:rsid w:val="00BE3234"/>
    <w:rsid w:val="00BE58BF"/>
    <w:rsid w:val="00C555DC"/>
    <w:rsid w:val="00CA5CC1"/>
    <w:rsid w:val="00CC16E4"/>
    <w:rsid w:val="00D011ED"/>
    <w:rsid w:val="00D176BA"/>
    <w:rsid w:val="00DA34AA"/>
    <w:rsid w:val="00DE2368"/>
    <w:rsid w:val="00E14FB6"/>
    <w:rsid w:val="00E436E6"/>
    <w:rsid w:val="00E45186"/>
    <w:rsid w:val="00E66555"/>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9</Pages>
  <Words>2434</Words>
  <Characters>13879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Microsoft account</cp:lastModifiedBy>
  <cp:revision>62</cp:revision>
  <dcterms:created xsi:type="dcterms:W3CDTF">2025-10-31T11:57:00Z</dcterms:created>
  <dcterms:modified xsi:type="dcterms:W3CDTF">2025-12-12T14:29:00Z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