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F5597"/>
          <w:sz w:val="30"/>
        </w:rPr>
        <w:t>AUTOMATED TRADING BOT</w:t>
      </w:r>
    </w:p>
    <w:p>
      <w:pPr>
        <w:pStyle w:val="Title"/>
        <w:jc w:val="center"/>
      </w:pPr>
      <w:r>
        <w:t>Implementation Specification v1.0</w:t>
      </w:r>
    </w:p>
    <w:p>
      <w:pPr>
        <w:jc w:val="center"/>
      </w:pPr>
      <w:r>
        <w:rPr>
          <w:b/>
          <w:color w:val="3F6F8F"/>
          <w:sz w:val="32"/>
        </w:rPr>
        <w:t>Baseline and Build Decomposition</w:t>
      </w:r>
    </w:p>
    <w:p>
      <w:pPr>
        <w:spacing w:before="640"/>
        <w:jc w:val="center"/>
      </w:pPr>
      <w:r>
        <w:rPr>
          <w:sz w:val="22"/>
        </w:rPr>
        <w:t>Controlled engineering translation of Technical Design v1.3</w:t>
        <w:br/>
        <w:t>Master Audit Closure v1.4 Corrected</w:t>
        <w:br/>
        <w:t>Master Invariant Register v1.4 (R41-CI001-R41-CI113)</w:t>
      </w:r>
    </w:p>
    <w:p>
      <w:pPr>
        <w:spacing w:before="840"/>
        <w:jc w:val="center"/>
      </w:pPr>
      <w:r>
        <w:t>STATUS: STAGE 0A BASELINE ESTABLISHED • STAGE 0B TRACEABILITY CLOSURE PENDING</w:t>
      </w:r>
    </w:p>
    <w:p>
      <w:pPr>
        <w:jc w:val="center"/>
      </w:pPr>
      <w:r>
        <w:rPr>
          <w:b/>
          <w:color w:val="C00000"/>
          <w:sz w:val="24"/>
        </w:rPr>
        <w:t>LIVE TRADING NOT AUTHORIZED</w:t>
      </w:r>
    </w:p>
    <w:p>
      <w:pPr>
        <w:spacing w:before="1100"/>
        <w:jc w:val="center"/>
      </w:pPr>
      <w:r>
        <w:rPr>
          <w:i/>
        </w:rPr>
        <w:t>Version 1.0 • 9 September 2026 • Controlled baseline</w:t>
      </w:r>
    </w:p>
    <w:p>
      <w:r>
        <w:br w:type="page"/>
      </w:r>
    </w:p>
    <w:p>
      <w:pPr>
        <w:pStyle w:val="Title"/>
      </w:pPr>
      <w:r>
        <w:t>Document Control</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0"/>
            </w:pPr>
            <w:r/>
            <w:r>
              <w:rPr>
                <w:rFonts w:ascii="Aptos" w:hAnsi="Aptos"/>
                <w:b/>
                <w:color w:val="FFFFFF"/>
                <w:sz w:val="14"/>
              </w:rPr>
              <w:t>Field</w:t>
            </w:r>
          </w:p>
        </w:tc>
        <w:tc>
          <w:tcPr>
            <w:tcW w:type="dxa" w:w="7488"/>
            <w:vAlign w:val="center"/>
            <w:shd w:fill="17365D"/>
          </w:tcPr>
          <w:p>
            <w:pPr>
              <w:spacing w:after="0"/>
            </w:pPr>
            <w:r/>
            <w:r>
              <w:rPr>
                <w:rFonts w:ascii="Aptos" w:hAnsi="Aptos"/>
                <w:b/>
                <w:color w:val="FFFFFF"/>
                <w:sz w:val="14"/>
              </w:rPr>
              <w:t>Value</w:t>
            </w:r>
          </w:p>
        </w:tc>
      </w:tr>
      <w:tr>
        <w:trPr>
          <w:cantSplit/>
        </w:trPr>
        <w:tc>
          <w:tcPr>
            <w:tcW w:type="dxa" w:w="2880"/>
            <w:vAlign w:val="center"/>
          </w:tcPr>
          <w:p>
            <w:pPr>
              <w:spacing w:after="0"/>
            </w:pPr>
            <w:r/>
            <w:r>
              <w:rPr>
                <w:rFonts w:ascii="Aptos" w:hAnsi="Aptos"/>
                <w:b w:val="0"/>
                <w:sz w:val="16"/>
              </w:rPr>
              <w:t>Document</w:t>
            </w:r>
          </w:p>
        </w:tc>
        <w:tc>
          <w:tcPr>
            <w:tcW w:type="dxa" w:w="7488"/>
            <w:vAlign w:val="center"/>
          </w:tcPr>
          <w:p>
            <w:pPr>
              <w:spacing w:after="0"/>
            </w:pPr>
            <w:r/>
            <w:r>
              <w:rPr>
                <w:rFonts w:ascii="Aptos" w:hAnsi="Aptos"/>
                <w:b w:val="0"/>
                <w:sz w:val="16"/>
              </w:rPr>
              <w:t>Automated Trading Bot Implementation Specification v1.0</w:t>
            </w:r>
          </w:p>
        </w:tc>
      </w:tr>
      <w:tr>
        <w:trPr>
          <w:cantSplit/>
        </w:trPr>
        <w:tc>
          <w:tcPr>
            <w:tcW w:type="dxa" w:w="2880"/>
            <w:vAlign w:val="center"/>
            <w:shd w:fill="EAF0F8"/>
          </w:tcPr>
          <w:p>
            <w:pPr>
              <w:spacing w:after="0"/>
            </w:pPr>
            <w:r/>
            <w:r>
              <w:rPr>
                <w:rFonts w:ascii="Aptos" w:hAnsi="Aptos"/>
                <w:b w:val="0"/>
                <w:sz w:val="16"/>
              </w:rPr>
              <w:t>Deliverable</w:t>
            </w:r>
          </w:p>
        </w:tc>
        <w:tc>
          <w:tcPr>
            <w:tcW w:type="dxa" w:w="7488"/>
            <w:vAlign w:val="center"/>
            <w:shd w:fill="EAF0F8"/>
          </w:tcPr>
          <w:p>
            <w:pPr>
              <w:spacing w:after="0"/>
            </w:pPr>
            <w:r/>
            <w:r>
              <w:rPr>
                <w:rFonts w:ascii="Aptos" w:hAnsi="Aptos"/>
                <w:b w:val="0"/>
                <w:sz w:val="16"/>
              </w:rPr>
              <w:t>Baseline and Build Decomposition</w:t>
            </w:r>
          </w:p>
        </w:tc>
      </w:tr>
      <w:tr>
        <w:trPr>
          <w:cantSplit/>
        </w:trPr>
        <w:tc>
          <w:tcPr>
            <w:tcW w:type="dxa" w:w="2880"/>
            <w:vAlign w:val="center"/>
          </w:tcPr>
          <w:p>
            <w:pPr>
              <w:spacing w:after="0"/>
            </w:pPr>
            <w:r/>
            <w:r>
              <w:rPr>
                <w:rFonts w:ascii="Aptos" w:hAnsi="Aptos"/>
                <w:b w:val="0"/>
                <w:sz w:val="16"/>
              </w:rPr>
              <w:t>Canonical lineage</w:t>
            </w:r>
          </w:p>
        </w:tc>
        <w:tc>
          <w:tcPr>
            <w:tcW w:type="dxa" w:w="7488"/>
            <w:vAlign w:val="center"/>
          </w:tcPr>
          <w:p>
            <w:pPr>
              <w:spacing w:after="0"/>
            </w:pPr>
            <w:r/>
            <w:r>
              <w:rPr>
                <w:rFonts w:ascii="Aptos" w:hAnsi="Aptos"/>
                <w:b w:val="0"/>
                <w:sz w:val="16"/>
              </w:rPr>
              <w:t>Technical Design v1.3 → Master Audit Closure v1.4 Corrected → Master Invariant Register v1.4</w:t>
            </w:r>
          </w:p>
        </w:tc>
      </w:tr>
      <w:tr>
        <w:trPr>
          <w:cantSplit/>
        </w:trPr>
        <w:tc>
          <w:tcPr>
            <w:tcW w:type="dxa" w:w="2880"/>
            <w:vAlign w:val="center"/>
            <w:shd w:fill="EAF0F8"/>
          </w:tcPr>
          <w:p>
            <w:pPr>
              <w:spacing w:after="0"/>
            </w:pPr>
            <w:r/>
            <w:r>
              <w:rPr>
                <w:rFonts w:ascii="Aptos" w:hAnsi="Aptos"/>
                <w:b w:val="0"/>
                <w:sz w:val="16"/>
              </w:rPr>
              <w:t>Audit status</w:t>
            </w:r>
          </w:p>
        </w:tc>
        <w:tc>
          <w:tcPr>
            <w:tcW w:type="dxa" w:w="7488"/>
            <w:vAlign w:val="center"/>
            <w:shd w:fill="EAF0F8"/>
          </w:tcPr>
          <w:p>
            <w:pPr>
              <w:spacing w:after="0"/>
            </w:pPr>
            <w:r/>
            <w:r>
              <w:rPr>
                <w:rFonts w:ascii="Aptos" w:hAnsi="Aptos"/>
                <w:b w:val="0"/>
                <w:sz w:val="16"/>
              </w:rPr>
              <w:t>Phases through 41 completed and accepted; no Phase 42 required absent a defined reopen trigger</w:t>
            </w:r>
          </w:p>
        </w:tc>
      </w:tr>
      <w:tr>
        <w:trPr>
          <w:cantSplit/>
        </w:trPr>
        <w:tc>
          <w:tcPr>
            <w:tcW w:type="dxa" w:w="2880"/>
            <w:vAlign w:val="center"/>
          </w:tcPr>
          <w:p>
            <w:pPr>
              <w:spacing w:after="0"/>
            </w:pPr>
            <w:r/>
            <w:r>
              <w:rPr>
                <w:rFonts w:ascii="Aptos" w:hAnsi="Aptos"/>
                <w:b w:val="0"/>
                <w:sz w:val="16"/>
              </w:rPr>
              <w:t>Certification boundary</w:t>
            </w:r>
          </w:p>
        </w:tc>
        <w:tc>
          <w:tcPr>
            <w:tcW w:type="dxa" w:w="7488"/>
            <w:vAlign w:val="center"/>
          </w:tcPr>
          <w:p>
            <w:pPr>
              <w:spacing w:after="0"/>
            </w:pPr>
            <w:r/>
            <w:r>
              <w:rPr>
                <w:rFonts w:ascii="Aptos" w:hAnsi="Aptos"/>
                <w:b w:val="0"/>
                <w:sz w:val="16"/>
              </w:rPr>
              <w:t>Architectural consistency PASS; implementation verification PENDING EVIDENCE</w:t>
            </w:r>
          </w:p>
        </w:tc>
      </w:tr>
      <w:tr>
        <w:trPr>
          <w:cantSplit/>
        </w:trPr>
        <w:tc>
          <w:tcPr>
            <w:tcW w:type="dxa" w:w="2880"/>
            <w:vAlign w:val="center"/>
            <w:shd w:fill="EAF0F8"/>
          </w:tcPr>
          <w:p>
            <w:pPr>
              <w:spacing w:after="0"/>
            </w:pPr>
            <w:r/>
            <w:r>
              <w:rPr>
                <w:rFonts w:ascii="Aptos" w:hAnsi="Aptos"/>
                <w:b w:val="0"/>
                <w:sz w:val="16"/>
              </w:rPr>
              <w:t>Permitted lifecycle state</w:t>
            </w:r>
          </w:p>
        </w:tc>
        <w:tc>
          <w:tcPr>
            <w:tcW w:type="dxa" w:w="7488"/>
            <w:vAlign w:val="center"/>
            <w:shd w:fill="EAF0F8"/>
          </w:tcPr>
          <w:p>
            <w:pPr>
              <w:spacing w:after="0"/>
            </w:pPr>
            <w:r/>
            <w:r>
              <w:rPr>
                <w:rFonts w:ascii="Aptos" w:hAnsi="Aptos"/>
                <w:b w:val="0"/>
                <w:sz w:val="16"/>
              </w:rPr>
              <w:t>Governed, isolated, non-executable research preparation only</w:t>
            </w:r>
          </w:p>
        </w:tc>
      </w:tr>
      <w:tr>
        <w:trPr>
          <w:cantSplit/>
        </w:trPr>
        <w:tc>
          <w:tcPr>
            <w:tcW w:type="dxa" w:w="2880"/>
            <w:vAlign w:val="center"/>
          </w:tcPr>
          <w:p>
            <w:pPr>
              <w:spacing w:after="0"/>
            </w:pPr>
            <w:r/>
            <w:r>
              <w:rPr>
                <w:rFonts w:ascii="Aptos" w:hAnsi="Aptos"/>
                <w:b w:val="0"/>
                <w:sz w:val="16"/>
              </w:rPr>
              <w:t>Not authorized</w:t>
            </w:r>
          </w:p>
        </w:tc>
        <w:tc>
          <w:tcPr>
            <w:tcW w:type="dxa" w:w="7488"/>
            <w:vAlign w:val="center"/>
          </w:tcPr>
          <w:p>
            <w:pPr>
              <w:spacing w:after="0"/>
            </w:pPr>
            <w:r/>
            <w:r>
              <w:rPr>
                <w:rFonts w:ascii="Aptos" w:hAnsi="Aptos"/>
                <w:b w:val="0"/>
                <w:sz w:val="16"/>
              </w:rPr>
              <w:t>Shadow, paper, canary, production and live-capital execution</w:t>
            </w:r>
          </w:p>
        </w:tc>
      </w:tr>
      <w:tr>
        <w:trPr>
          <w:cantSplit/>
        </w:trPr>
        <w:tc>
          <w:tcPr>
            <w:tcW w:type="dxa" w:w="2880"/>
            <w:vAlign w:val="center"/>
            <w:shd w:fill="EAF0F8"/>
          </w:tcPr>
          <w:p>
            <w:pPr>
              <w:spacing w:after="0"/>
            </w:pPr>
            <w:r/>
            <w:r>
              <w:rPr>
                <w:rFonts w:ascii="Aptos" w:hAnsi="Aptos"/>
                <w:b w:val="0"/>
                <w:sz w:val="16"/>
              </w:rPr>
              <w:t>Initial trading scope</w:t>
            </w:r>
          </w:p>
        </w:tc>
        <w:tc>
          <w:tcPr>
            <w:tcW w:type="dxa" w:w="7488"/>
            <w:vAlign w:val="center"/>
            <w:shd w:fill="EAF0F8"/>
          </w:tcPr>
          <w:p>
            <w:pPr>
              <w:spacing w:after="0"/>
            </w:pPr>
            <w:r/>
            <w:r>
              <w:rPr>
                <w:rFonts w:ascii="Aptos" w:hAnsi="Aptos"/>
                <w:b w:val="0"/>
                <w:sz w:val="16"/>
              </w:rPr>
              <w:t>Liquid US-listed equities; broad-market and sector ETFs; daily primary timeframe</w:t>
            </w:r>
          </w:p>
        </w:tc>
      </w:tr>
      <w:tr>
        <w:trPr>
          <w:cantSplit/>
        </w:trPr>
        <w:tc>
          <w:tcPr>
            <w:tcW w:type="dxa" w:w="2880"/>
            <w:vAlign w:val="center"/>
          </w:tcPr>
          <w:p>
            <w:pPr>
              <w:spacing w:after="0"/>
            </w:pPr>
            <w:r/>
            <w:r>
              <w:rPr>
                <w:rFonts w:ascii="Aptos" w:hAnsi="Aptos"/>
                <w:b w:val="0"/>
                <w:sz w:val="16"/>
              </w:rPr>
              <w:t>Implementation language</w:t>
            </w:r>
          </w:p>
        </w:tc>
        <w:tc>
          <w:tcPr>
            <w:tcW w:type="dxa" w:w="7488"/>
            <w:vAlign w:val="center"/>
          </w:tcPr>
          <w:p>
            <w:pPr>
              <w:spacing w:after="0"/>
            </w:pPr>
            <w:r/>
            <w:r>
              <w:rPr>
                <w:rFonts w:ascii="Aptos" w:hAnsi="Aptos"/>
                <w:b w:val="0"/>
                <w:sz w:val="16"/>
              </w:rPr>
              <w:t>Python</w:t>
            </w:r>
          </w:p>
        </w:tc>
      </w:tr>
      <w:tr>
        <w:trPr>
          <w:cantSplit/>
        </w:trPr>
        <w:tc>
          <w:tcPr>
            <w:tcW w:type="dxa" w:w="2880"/>
            <w:vAlign w:val="center"/>
            <w:shd w:fill="EAF0F8"/>
          </w:tcPr>
          <w:p>
            <w:pPr>
              <w:spacing w:after="0"/>
            </w:pPr>
            <w:r/>
            <w:r>
              <w:rPr>
                <w:rFonts w:ascii="Aptos" w:hAnsi="Aptos"/>
                <w:b w:val="0"/>
                <w:sz w:val="16"/>
              </w:rPr>
              <w:t>Storage direction</w:t>
            </w:r>
          </w:p>
        </w:tc>
        <w:tc>
          <w:tcPr>
            <w:tcW w:type="dxa" w:w="7488"/>
            <w:vAlign w:val="center"/>
            <w:shd w:fill="EAF0F8"/>
          </w:tcPr>
          <w:p>
            <w:pPr>
              <w:spacing w:after="0"/>
            </w:pPr>
            <w:r/>
            <w:r>
              <w:rPr>
                <w:rFonts w:ascii="Aptos" w:hAnsi="Aptos"/>
                <w:b w:val="0"/>
                <w:sz w:val="16"/>
              </w:rPr>
              <w:t>PostgreSQL operational/event state; immutable Parquet/Arrow analytical datasets</w:t>
            </w:r>
          </w:p>
        </w:tc>
      </w:tr>
      <w:tr>
        <w:trPr>
          <w:cantSplit/>
        </w:trPr>
        <w:tc>
          <w:tcPr>
            <w:tcW w:type="dxa" w:w="2880"/>
            <w:vAlign w:val="center"/>
          </w:tcPr>
          <w:p>
            <w:pPr>
              <w:spacing w:after="0"/>
            </w:pPr>
            <w:r/>
            <w:r>
              <w:rPr>
                <w:rFonts w:ascii="Aptos" w:hAnsi="Aptos"/>
                <w:b w:val="0"/>
                <w:sz w:val="16"/>
              </w:rPr>
              <w:t>Review cadence</w:t>
            </w:r>
          </w:p>
        </w:tc>
        <w:tc>
          <w:tcPr>
            <w:tcW w:type="dxa" w:w="7488"/>
            <w:vAlign w:val="center"/>
          </w:tcPr>
          <w:p>
            <w:pPr>
              <w:spacing w:after="0"/>
            </w:pPr>
            <w:r/>
            <w:r>
              <w:rPr>
                <w:rFonts w:ascii="Aptos" w:hAnsi="Aptos"/>
                <w:b w:val="0"/>
                <w:sz w:val="16"/>
              </w:rPr>
              <w:t>At each milestone gate and upon a material change trigger</w:t>
            </w:r>
          </w:p>
        </w:tc>
      </w:tr>
    </w:tbl>
    <w:p>
      <w:pPr>
        <w:spacing w:after="0"/>
      </w:pPr>
    </w:p>
    <w:p>
      <w:pPr>
        <w:pStyle w:val="Heading1"/>
      </w:pPr>
      <w:r>
        <w:t>Precedence and change rule</w:t>
      </w:r>
    </w:p>
    <w:p>
      <w:pPr>
        <w:spacing w:after="80"/>
      </w:pPr>
      <w:r>
        <w:t>Later canonical corrective wording supersedes weaker predecessor wording while preserving historical provenance. Implementation discoveries reopen only the affected scope unless they invalidate broad architectural assumptions. A new conceptual audit phase is not created merely because implementation begins.</w:t>
      </w:r>
    </w:p>
    <w:p>
      <w:pPr>
        <w:pStyle w:val="Heading1"/>
      </w:pPr>
      <w:r>
        <w:t>Document status legend</w:t>
      </w:r>
    </w:p>
    <w:tbl>
      <w:tblPr>
        <w:tblStyle w:val="TableGrid"/>
        <w:tblW w:type="auto" w:w="0"/>
        <w:jc w:val="center"/>
        <w:tblLook w:firstColumn="1" w:firstRow="1" w:lastColumn="0" w:lastRow="0" w:noHBand="0" w:noVBand="1" w:val="04A0"/>
      </w:tblPr>
      <w:tblGrid>
        <w:gridCol w:w="5112"/>
        <w:gridCol w:w="5112"/>
      </w:tblGrid>
      <w:tr>
        <w:trPr>
          <w:cantSplit/>
        </w:trPr>
        <w:tc>
          <w:tcPr>
            <w:tcW w:type="dxa" w:w="2016"/>
            <w:vAlign w:val="center"/>
            <w:shd w:fill="17365D"/>
          </w:tcPr>
          <w:p>
            <w:pPr>
              <w:spacing w:after="0"/>
            </w:pPr>
            <w:r/>
            <w:r>
              <w:rPr>
                <w:rFonts w:ascii="Aptos" w:hAnsi="Aptos"/>
                <w:b/>
                <w:color w:val="FFFFFF"/>
                <w:sz w:val="14"/>
              </w:rPr>
              <w:t>Status</w:t>
            </w:r>
          </w:p>
        </w:tc>
        <w:tc>
          <w:tcPr>
            <w:tcW w:type="dxa" w:w="8352"/>
            <w:vAlign w:val="center"/>
            <w:shd w:fill="17365D"/>
          </w:tcPr>
          <w:p>
            <w:pPr>
              <w:spacing w:after="0"/>
            </w:pPr>
            <w:r/>
            <w:r>
              <w:rPr>
                <w:rFonts w:ascii="Aptos" w:hAnsi="Aptos"/>
                <w:b/>
                <w:color w:val="FFFFFF"/>
                <w:sz w:val="14"/>
              </w:rPr>
              <w:t>Meaning</w:t>
            </w:r>
          </w:p>
        </w:tc>
      </w:tr>
      <w:tr>
        <w:trPr>
          <w:cantSplit/>
        </w:trPr>
        <w:tc>
          <w:tcPr>
            <w:tcW w:type="dxa" w:w="2016"/>
            <w:vAlign w:val="center"/>
          </w:tcPr>
          <w:p>
            <w:pPr>
              <w:spacing w:after="0"/>
            </w:pPr>
            <w:r/>
            <w:r>
              <w:rPr>
                <w:rFonts w:ascii="Aptos" w:hAnsi="Aptos"/>
                <w:b w:val="0"/>
                <w:sz w:val="16"/>
              </w:rPr>
              <w:t>CONFIRMED</w:t>
            </w:r>
          </w:p>
        </w:tc>
        <w:tc>
          <w:tcPr>
            <w:tcW w:type="dxa" w:w="8352"/>
            <w:vAlign w:val="center"/>
          </w:tcPr>
          <w:p>
            <w:pPr>
              <w:spacing w:after="0"/>
            </w:pPr>
            <w:r/>
            <w:r>
              <w:rPr>
                <w:rFonts w:ascii="Aptos" w:hAnsi="Aptos"/>
                <w:b w:val="0"/>
                <w:sz w:val="16"/>
              </w:rPr>
              <w:t>Directly supported by the accepted canonical baseline.</w:t>
            </w:r>
          </w:p>
        </w:tc>
      </w:tr>
      <w:tr>
        <w:trPr>
          <w:cantSplit/>
        </w:trPr>
        <w:tc>
          <w:tcPr>
            <w:tcW w:type="dxa" w:w="2016"/>
            <w:vAlign w:val="center"/>
            <w:shd w:fill="EAF0F8"/>
          </w:tcPr>
          <w:p>
            <w:pPr>
              <w:spacing w:after="0"/>
            </w:pPr>
            <w:r/>
            <w:r>
              <w:rPr>
                <w:rFonts w:ascii="Aptos" w:hAnsi="Aptos"/>
                <w:b w:val="0"/>
                <w:sz w:val="16"/>
              </w:rPr>
              <w:t>RECONSTRUCTED</w:t>
            </w:r>
          </w:p>
        </w:tc>
        <w:tc>
          <w:tcPr>
            <w:tcW w:type="dxa" w:w="8352"/>
            <w:vAlign w:val="center"/>
            <w:shd w:fill="EAF0F8"/>
          </w:tcPr>
          <w:p>
            <w:pPr>
              <w:spacing w:after="0"/>
            </w:pPr>
            <w:r/>
            <w:r>
              <w:rPr>
                <w:rFonts w:ascii="Aptos" w:hAnsi="Aptos"/>
                <w:b w:val="0"/>
                <w:sz w:val="16"/>
              </w:rPr>
              <w:t>Consistent consolidation where exact historical wording is unavailable; not represented as verbatim.</w:t>
            </w:r>
          </w:p>
        </w:tc>
      </w:tr>
      <w:tr>
        <w:trPr>
          <w:cantSplit/>
        </w:trPr>
        <w:tc>
          <w:tcPr>
            <w:tcW w:type="dxa" w:w="2016"/>
            <w:vAlign w:val="center"/>
          </w:tcPr>
          <w:p>
            <w:pPr>
              <w:spacing w:after="0"/>
            </w:pPr>
            <w:r/>
            <w:r>
              <w:rPr>
                <w:rFonts w:ascii="Aptos" w:hAnsi="Aptos"/>
                <w:b w:val="0"/>
                <w:sz w:val="16"/>
              </w:rPr>
              <w:t>INFERRED</w:t>
            </w:r>
          </w:p>
        </w:tc>
        <w:tc>
          <w:tcPr>
            <w:tcW w:type="dxa" w:w="8352"/>
            <w:vAlign w:val="center"/>
          </w:tcPr>
          <w:p>
            <w:pPr>
              <w:spacing w:after="0"/>
            </w:pPr>
            <w:r/>
            <w:r>
              <w:rPr>
                <w:rFonts w:ascii="Aptos" w:hAnsi="Aptos"/>
                <w:b w:val="0"/>
                <w:sz w:val="16"/>
              </w:rPr>
              <w:t>Engineering detail required to make a confirmed requirement implementable.</w:t>
            </w:r>
          </w:p>
        </w:tc>
      </w:tr>
      <w:tr>
        <w:trPr>
          <w:cantSplit/>
        </w:trPr>
        <w:tc>
          <w:tcPr>
            <w:tcW w:type="dxa" w:w="2016"/>
            <w:vAlign w:val="center"/>
            <w:shd w:fill="EAF0F8"/>
          </w:tcPr>
          <w:p>
            <w:pPr>
              <w:spacing w:after="0"/>
            </w:pPr>
            <w:r/>
            <w:r>
              <w:rPr>
                <w:rFonts w:ascii="Aptos" w:hAnsi="Aptos"/>
                <w:b w:val="0"/>
                <w:sz w:val="16"/>
              </w:rPr>
              <w:t>UNRESOLVED</w:t>
            </w:r>
          </w:p>
        </w:tc>
        <w:tc>
          <w:tcPr>
            <w:tcW w:type="dxa" w:w="8352"/>
            <w:vAlign w:val="center"/>
            <w:shd w:fill="EAF0F8"/>
          </w:tcPr>
          <w:p>
            <w:pPr>
              <w:spacing w:after="0"/>
            </w:pPr>
            <w:r/>
            <w:r>
              <w:rPr>
                <w:rFonts w:ascii="Aptos" w:hAnsi="Aptos"/>
                <w:b w:val="0"/>
                <w:sz w:val="16"/>
              </w:rPr>
              <w:t>Requires future evidence or a material user/external decision.</w:t>
            </w:r>
          </w:p>
        </w:tc>
      </w:tr>
    </w:tbl>
    <w:p>
      <w:pPr>
        <w:spacing w:after="0"/>
      </w:pPr>
    </w:p>
    <w:p>
      <w:pPr>
        <w:pStyle w:val="Title"/>
      </w:pPr>
      <w:r>
        <w:t>1. Accepted Baseline and Implementation Boundary</w:t>
      </w:r>
    </w:p>
    <w:p>
      <w:pPr>
        <w:pStyle w:val="Heading1"/>
      </w:pPr>
      <w:r>
        <w:t>1.1 Baseline acceptance</w:t>
      </w:r>
    </w:p>
    <w:p>
      <w:pPr>
        <w:spacing w:after="80"/>
      </w:pPr>
      <w:r>
        <w:t>Implementation begins from the accepted design and audit baseline. Earlier audit work is not restarted, repeated, renumbered or treated as incomplete solely because all verbatim historical text is not immediately available. R41-CI001-R41-CI113 form the mandatory cross-cutting invariant layer and supplement all surviving earlier audit invariants, including R39-I353-R39-I388.</w:t>
      </w:r>
    </w:p>
    <w:p>
      <w:pPr>
        <w:pStyle w:val="Heading1"/>
      </w:pPr>
      <w:r>
        <w:t>1.2 In scope</w:t>
      </w:r>
    </w:p>
    <w:p>
      <w:pPr>
        <w:pStyle w:val="ListBullet"/>
        <w:spacing w:after="20"/>
      </w:pPr>
      <w:r>
        <w:t>Engineering contracts, Python package boundaries and dependency rules.</w:t>
      </w:r>
    </w:p>
    <w:p>
      <w:pPr>
        <w:pStyle w:val="ListBullet"/>
        <w:spacing w:after="20"/>
      </w:pPr>
      <w:r>
        <w:t>Canonical domain and event models, state machines and persistence ownership.</w:t>
      </w:r>
    </w:p>
    <w:p>
      <w:pPr>
        <w:pStyle w:val="ListBullet"/>
        <w:spacing w:after="20"/>
      </w:pPr>
      <w:r>
        <w:t>Market data, time/calendar, corporate actions and point-in-time research controls.</w:t>
      </w:r>
    </w:p>
    <w:p>
      <w:pPr>
        <w:pStyle w:val="ListBullet"/>
        <w:spacing w:after="20"/>
      </w:pPr>
      <w:r>
        <w:t>Strategy-proposal, economics, portfolio, risk, capital, OMS, broker, ledger and reconciliation components.</w:t>
      </w:r>
    </w:p>
    <w:p>
      <w:pPr>
        <w:pStyle w:val="ListBullet"/>
        <w:spacing w:after="20"/>
      </w:pPr>
      <w:r>
        <w:t>Runtime, recovery, security, observability, audit evidence, deployment and lifecycle gates.</w:t>
      </w:r>
    </w:p>
    <w:p>
      <w:pPr>
        <w:pStyle w:val="ListBullet"/>
        <w:spacing w:after="20"/>
      </w:pPr>
      <w:r>
        <w:t>Concurrent test design: unit, property, component, integration, failure, recovery, idempotency, race and acceptance tests.</w:t>
      </w:r>
    </w:p>
    <w:p>
      <w:pPr>
        <w:pStyle w:val="Heading1"/>
      </w:pPr>
      <w:r>
        <w:t>1.3 Explicitly out of scope for this baseline</w:t>
      </w:r>
    </w:p>
    <w:p>
      <w:pPr>
        <w:pStyle w:val="ListBullet"/>
        <w:spacing w:after="20"/>
      </w:pPr>
      <w:r>
        <w:t>Real-money broker credentials, live submissions or any live-capital transaction.</w:t>
      </w:r>
    </w:p>
    <w:p>
      <w:pPr>
        <w:pStyle w:val="ListBullet"/>
        <w:spacing w:after="20"/>
      </w:pPr>
      <w:r>
        <w:t>Final broker selection or production account configuration. IBKR remains a leading candidate, not a binding implementation dependency.</w:t>
      </w:r>
    </w:p>
    <w:p>
      <w:pPr>
        <w:pStyle w:val="ListBullet"/>
        <w:spacing w:after="20"/>
      </w:pPr>
      <w:r>
        <w:t>A claim of profitability, legal/regulatory clearance, broker certification or production readiness.</w:t>
      </w:r>
    </w:p>
    <w:p>
      <w:pPr>
        <w:pStyle w:val="ListBullet"/>
        <w:spacing w:after="20"/>
      </w:pPr>
      <w:r>
        <w:t>Premature expansion beyond the initial liquid US equities and ETF universe or into high-frequency trading.</w:t>
      </w:r>
    </w:p>
    <w:p>
      <w:pPr>
        <w:pStyle w:val="ListBullet"/>
        <w:spacing w:after="20"/>
      </w:pPr>
      <w:r>
        <w:t>Strategy sophistication before the platform safety, accounting and evidence chain is verified.</w:t>
      </w:r>
    </w:p>
    <w:p>
      <w:pPr>
        <w:pStyle w:val="Title"/>
      </w:pPr>
      <w:r>
        <w:t>2. Core Implementation Invariants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152"/>
            <w:vAlign w:val="center"/>
            <w:shd w:fill="17365D"/>
          </w:tcPr>
          <w:p>
            <w:pPr>
              <w:spacing w:after="0"/>
            </w:pPr>
            <w:r/>
            <w:r>
              <w:rPr>
                <w:rFonts w:ascii="Aptos" w:hAnsi="Aptos"/>
                <w:b/>
                <w:color w:val="FFFFFF"/>
                <w:sz w:val="14"/>
              </w:rPr>
              <w:t>ID</w:t>
            </w:r>
          </w:p>
        </w:tc>
        <w:tc>
          <w:tcPr>
            <w:tcW w:type="dxa" w:w="1728"/>
            <w:vAlign w:val="center"/>
            <w:shd w:fill="17365D"/>
          </w:tcPr>
          <w:p>
            <w:pPr>
              <w:spacing w:after="0"/>
            </w:pPr>
            <w:r/>
            <w:r>
              <w:rPr>
                <w:rFonts w:ascii="Aptos" w:hAnsi="Aptos"/>
                <w:b/>
                <w:color w:val="FFFFFF"/>
                <w:sz w:val="14"/>
              </w:rPr>
              <w:t>Short name</w:t>
            </w:r>
          </w:p>
        </w:tc>
        <w:tc>
          <w:tcPr>
            <w:tcW w:type="dxa" w:w="6336"/>
            <w:vAlign w:val="center"/>
            <w:shd w:fill="17365D"/>
          </w:tcPr>
          <w:p>
            <w:pPr>
              <w:spacing w:after="0"/>
            </w:pPr>
            <w:r/>
            <w:r>
              <w:rPr>
                <w:rFonts w:ascii="Aptos" w:hAnsi="Aptos"/>
                <w:b/>
                <w:color w:val="FFFFFF"/>
                <w:sz w:val="14"/>
              </w:rPr>
              <w:t>Canonical implementation rule</w:t>
            </w:r>
          </w:p>
        </w:tc>
        <w:tc>
          <w:tcPr>
            <w:tcW w:type="dxa" w:w="1584"/>
            <w:vAlign w:val="center"/>
            <w:shd w:fill="17365D"/>
          </w:tcPr>
          <w:p>
            <w:pPr>
              <w:spacing w:after="0"/>
            </w:pPr>
            <w:r/>
            <w:r>
              <w:rPr>
                <w:rFonts w:ascii="Aptos" w:hAnsi="Aptos"/>
                <w:b/>
                <w:color w:val="FFFFFF"/>
                <w:sz w:val="14"/>
              </w:rPr>
              <w:t>Source</w:t>
            </w:r>
          </w:p>
        </w:tc>
      </w:tr>
      <w:tr>
        <w:trPr>
          <w:cantSplit/>
        </w:trPr>
        <w:tc>
          <w:tcPr>
            <w:tcW w:type="dxa" w:w="1152"/>
            <w:vAlign w:val="center"/>
          </w:tcPr>
          <w:p>
            <w:pPr>
              <w:spacing w:after="0"/>
            </w:pPr>
            <w:r/>
            <w:r>
              <w:rPr>
                <w:rFonts w:ascii="Aptos" w:hAnsi="Aptos"/>
                <w:b w:val="0"/>
                <w:sz w:val="13"/>
              </w:rPr>
              <w:t>IMPL-I001</w:t>
            </w:r>
          </w:p>
        </w:tc>
        <w:tc>
          <w:tcPr>
            <w:tcW w:type="dxa" w:w="1728"/>
            <w:vAlign w:val="center"/>
          </w:tcPr>
          <w:p>
            <w:pPr>
              <w:spacing w:after="0"/>
            </w:pPr>
            <w:r/>
            <w:r>
              <w:rPr>
                <w:rFonts w:ascii="Aptos" w:hAnsi="Aptos"/>
                <w:b w:val="0"/>
                <w:sz w:val="13"/>
              </w:rPr>
              <w:t>Positive authority</w:t>
            </w:r>
          </w:p>
        </w:tc>
        <w:tc>
          <w:tcPr>
            <w:tcW w:type="dxa" w:w="6336"/>
            <w:vAlign w:val="center"/>
          </w:tcPr>
          <w:p>
            <w:pPr>
              <w:spacing w:after="0"/>
            </w:pPr>
            <w:r/>
            <w:r>
              <w:rPr>
                <w:rFonts w:ascii="Aptos" w:hAnsi="Aptos"/>
                <w:b w:val="0"/>
                <w:sz w:val="13"/>
              </w:rPr>
              <w:t>Every exposure-increasing financial action requires current, scoped, independently enforceable and evidence-backed authorization; absence of failure is insufficient.</w:t>
            </w:r>
          </w:p>
        </w:tc>
        <w:tc>
          <w:tcPr>
            <w:tcW w:type="dxa" w:w="1584"/>
            <w:vAlign w:val="center"/>
          </w:tcPr>
          <w:p>
            <w:pPr>
              <w:spacing w:after="0"/>
            </w:pPr>
            <w:r/>
            <w:r>
              <w:rPr>
                <w:rFonts w:ascii="Aptos" w:hAnsi="Aptos"/>
                <w:b w:val="0"/>
                <w:sz w:val="13"/>
              </w:rPr>
              <w:t>R41-CI001</w:t>
            </w:r>
          </w:p>
        </w:tc>
      </w:tr>
      <w:tr>
        <w:trPr>
          <w:cantSplit/>
        </w:trPr>
        <w:tc>
          <w:tcPr>
            <w:tcW w:type="dxa" w:w="1152"/>
            <w:vAlign w:val="center"/>
            <w:shd w:fill="EAF0F8"/>
          </w:tcPr>
          <w:p>
            <w:pPr>
              <w:spacing w:after="0"/>
            </w:pPr>
            <w:r/>
            <w:r>
              <w:rPr>
                <w:rFonts w:ascii="Aptos" w:hAnsi="Aptos"/>
                <w:b w:val="0"/>
                <w:sz w:val="13"/>
              </w:rPr>
              <w:t>IMPL-I002</w:t>
            </w:r>
          </w:p>
        </w:tc>
        <w:tc>
          <w:tcPr>
            <w:tcW w:type="dxa" w:w="1728"/>
            <w:vAlign w:val="center"/>
            <w:shd w:fill="EAF0F8"/>
          </w:tcPr>
          <w:p>
            <w:pPr>
              <w:spacing w:after="0"/>
            </w:pPr>
            <w:r/>
            <w:r>
              <w:rPr>
                <w:rFonts w:ascii="Aptos" w:hAnsi="Aptos"/>
                <w:b w:val="0"/>
                <w:sz w:val="13"/>
              </w:rPr>
              <w:t>UNKNOWN fails safe</w:t>
            </w:r>
          </w:p>
        </w:tc>
        <w:tc>
          <w:tcPr>
            <w:tcW w:type="dxa" w:w="6336"/>
            <w:vAlign w:val="center"/>
            <w:shd w:fill="EAF0F8"/>
          </w:tcPr>
          <w:p>
            <w:pPr>
              <w:spacing w:after="0"/>
            </w:pPr>
            <w:r/>
            <w:r>
              <w:rPr>
                <w:rFonts w:ascii="Aptos" w:hAnsi="Aptos"/>
                <w:b w:val="0"/>
                <w:sz w:val="13"/>
              </w:rPr>
              <w:t>UNKNOWN, stale, incomplete, conflicting or unverifiable critical state cannot authorize; it triggers NO-TRADE, rejection, quarantine or restriction.</w:t>
            </w:r>
          </w:p>
        </w:tc>
        <w:tc>
          <w:tcPr>
            <w:tcW w:type="dxa" w:w="1584"/>
            <w:vAlign w:val="center"/>
            <w:shd w:fill="EAF0F8"/>
          </w:tcPr>
          <w:p>
            <w:pPr>
              <w:spacing w:after="0"/>
            </w:pPr>
            <w:r/>
            <w:r>
              <w:rPr>
                <w:rFonts w:ascii="Aptos" w:hAnsi="Aptos"/>
                <w:b w:val="0"/>
                <w:sz w:val="13"/>
              </w:rPr>
              <w:t>R41-CI001, CI027</w:t>
            </w:r>
          </w:p>
        </w:tc>
      </w:tr>
      <w:tr>
        <w:trPr>
          <w:cantSplit/>
        </w:trPr>
        <w:tc>
          <w:tcPr>
            <w:tcW w:type="dxa" w:w="1152"/>
            <w:vAlign w:val="center"/>
          </w:tcPr>
          <w:p>
            <w:pPr>
              <w:spacing w:after="0"/>
            </w:pPr>
            <w:r/>
            <w:r>
              <w:rPr>
                <w:rFonts w:ascii="Aptos" w:hAnsi="Aptos"/>
                <w:b w:val="0"/>
                <w:sz w:val="13"/>
              </w:rPr>
              <w:t>IMPL-I003</w:t>
            </w:r>
          </w:p>
        </w:tc>
        <w:tc>
          <w:tcPr>
            <w:tcW w:type="dxa" w:w="1728"/>
            <w:vAlign w:val="center"/>
          </w:tcPr>
          <w:p>
            <w:pPr>
              <w:spacing w:after="0"/>
            </w:pPr>
            <w:r/>
            <w:r>
              <w:rPr>
                <w:rFonts w:ascii="Aptos" w:hAnsi="Aptos"/>
                <w:b w:val="0"/>
                <w:sz w:val="13"/>
              </w:rPr>
              <w:t>Intent is not execution</w:t>
            </w:r>
          </w:p>
        </w:tc>
        <w:tc>
          <w:tcPr>
            <w:tcW w:type="dxa" w:w="6336"/>
            <w:vAlign w:val="center"/>
          </w:tcPr>
          <w:p>
            <w:pPr>
              <w:spacing w:after="0"/>
            </w:pPr>
            <w:r/>
            <w:r>
              <w:rPr>
                <w:rFonts w:ascii="Aptos" w:hAnsi="Aptos"/>
                <w:b w:val="0"/>
                <w:sz w:val="13"/>
              </w:rPr>
              <w:t>Signal, decision, portfolio intent, approval, reservation or internal order never proves broker submission, acceptance or execution.</w:t>
            </w:r>
          </w:p>
        </w:tc>
        <w:tc>
          <w:tcPr>
            <w:tcW w:type="dxa" w:w="1584"/>
            <w:vAlign w:val="center"/>
          </w:tcPr>
          <w:p>
            <w:pPr>
              <w:spacing w:after="0"/>
            </w:pPr>
            <w:r/>
            <w:r>
              <w:rPr>
                <w:rFonts w:ascii="Aptos" w:hAnsi="Aptos"/>
                <w:b w:val="0"/>
                <w:sz w:val="13"/>
              </w:rPr>
              <w:t>R41-CI015</w:t>
            </w:r>
          </w:p>
        </w:tc>
      </w:tr>
      <w:tr>
        <w:trPr>
          <w:cantSplit/>
        </w:trPr>
        <w:tc>
          <w:tcPr>
            <w:tcW w:type="dxa" w:w="1152"/>
            <w:vAlign w:val="center"/>
            <w:shd w:fill="EAF0F8"/>
          </w:tcPr>
          <w:p>
            <w:pPr>
              <w:spacing w:after="0"/>
            </w:pPr>
            <w:r/>
            <w:r>
              <w:rPr>
                <w:rFonts w:ascii="Aptos" w:hAnsi="Aptos"/>
                <w:b w:val="0"/>
                <w:sz w:val="13"/>
              </w:rPr>
              <w:t>IMPL-I004</w:t>
            </w:r>
          </w:p>
        </w:tc>
        <w:tc>
          <w:tcPr>
            <w:tcW w:type="dxa" w:w="1728"/>
            <w:vAlign w:val="center"/>
            <w:shd w:fill="EAF0F8"/>
          </w:tcPr>
          <w:p>
            <w:pPr>
              <w:spacing w:after="0"/>
            </w:pPr>
            <w:r/>
            <w:r>
              <w:rPr>
                <w:rFonts w:ascii="Aptos" w:hAnsi="Aptos"/>
                <w:b w:val="0"/>
                <w:sz w:val="13"/>
              </w:rPr>
              <w:t>Authority separation</w:t>
            </w:r>
          </w:p>
        </w:tc>
        <w:tc>
          <w:tcPr>
            <w:tcW w:type="dxa" w:w="6336"/>
            <w:vAlign w:val="center"/>
            <w:shd w:fill="EAF0F8"/>
          </w:tcPr>
          <w:p>
            <w:pPr>
              <w:spacing w:after="0"/>
            </w:pPr>
            <w:r/>
            <w:r>
              <w:rPr>
                <w:rFonts w:ascii="Aptos" w:hAnsi="Aptos"/>
                <w:b w:val="0"/>
                <w:sz w:val="13"/>
              </w:rPr>
              <w:t>Strategies only propose. Exposure increase passes data, integrity, economics, portfolio, capital, risk/compliance, account and operational gates.</w:t>
            </w:r>
          </w:p>
        </w:tc>
        <w:tc>
          <w:tcPr>
            <w:tcW w:type="dxa" w:w="1584"/>
            <w:vAlign w:val="center"/>
            <w:shd w:fill="EAF0F8"/>
          </w:tcPr>
          <w:p>
            <w:pPr>
              <w:spacing w:after="0"/>
            </w:pPr>
            <w:r/>
            <w:r>
              <w:rPr>
                <w:rFonts w:ascii="Aptos" w:hAnsi="Aptos"/>
                <w:b w:val="0"/>
                <w:sz w:val="13"/>
              </w:rPr>
              <w:t>R41-CI029-CI036</w:t>
            </w:r>
          </w:p>
        </w:tc>
      </w:tr>
      <w:tr>
        <w:trPr>
          <w:cantSplit/>
        </w:trPr>
        <w:tc>
          <w:tcPr>
            <w:tcW w:type="dxa" w:w="1152"/>
            <w:vAlign w:val="center"/>
          </w:tcPr>
          <w:p>
            <w:pPr>
              <w:spacing w:after="0"/>
            </w:pPr>
            <w:r/>
            <w:r>
              <w:rPr>
                <w:rFonts w:ascii="Aptos" w:hAnsi="Aptos"/>
                <w:b w:val="0"/>
                <w:sz w:val="13"/>
              </w:rPr>
              <w:t>IMPL-I005</w:t>
            </w:r>
          </w:p>
        </w:tc>
        <w:tc>
          <w:tcPr>
            <w:tcW w:type="dxa" w:w="1728"/>
            <w:vAlign w:val="center"/>
          </w:tcPr>
          <w:p>
            <w:pPr>
              <w:spacing w:after="0"/>
            </w:pPr>
            <w:r/>
            <w:r>
              <w:rPr>
                <w:rFonts w:ascii="Aptos" w:hAnsi="Aptos"/>
                <w:b w:val="0"/>
                <w:sz w:val="13"/>
              </w:rPr>
              <w:t>Dual truth and reconciliation</w:t>
            </w:r>
          </w:p>
        </w:tc>
        <w:tc>
          <w:tcPr>
            <w:tcW w:type="dxa" w:w="6336"/>
            <w:vAlign w:val="center"/>
          </w:tcPr>
          <w:p>
            <w:pPr>
              <w:spacing w:after="0"/>
            </w:pPr>
            <w:r/>
            <w:r>
              <w:rPr>
                <w:rFonts w:ascii="Aptos" w:hAnsi="Aptos"/>
                <w:b w:val="0"/>
                <w:sz w:val="13"/>
              </w:rPr>
              <w:t>Internal history governs intent/audit; broker evidence governs external execution/account reality; reconciliation joins them without manufacturing agreement.</w:t>
            </w:r>
          </w:p>
        </w:tc>
        <w:tc>
          <w:tcPr>
            <w:tcW w:type="dxa" w:w="1584"/>
            <w:vAlign w:val="center"/>
          </w:tcPr>
          <w:p>
            <w:pPr>
              <w:spacing w:after="0"/>
            </w:pPr>
            <w:r/>
            <w:r>
              <w:rPr>
                <w:rFonts w:ascii="Aptos" w:hAnsi="Aptos"/>
                <w:b w:val="0"/>
                <w:sz w:val="13"/>
              </w:rPr>
              <w:t>R41-CI011-CI013</w:t>
            </w:r>
          </w:p>
        </w:tc>
      </w:tr>
      <w:tr>
        <w:trPr>
          <w:cantSplit/>
        </w:trPr>
        <w:tc>
          <w:tcPr>
            <w:tcW w:type="dxa" w:w="1152"/>
            <w:vAlign w:val="center"/>
            <w:shd w:fill="EAF0F8"/>
          </w:tcPr>
          <w:p>
            <w:pPr>
              <w:spacing w:after="0"/>
            </w:pPr>
            <w:r/>
            <w:r>
              <w:rPr>
                <w:rFonts w:ascii="Aptos" w:hAnsi="Aptos"/>
                <w:b w:val="0"/>
                <w:sz w:val="13"/>
              </w:rPr>
              <w:t>IMPL-I006</w:t>
            </w:r>
          </w:p>
        </w:tc>
        <w:tc>
          <w:tcPr>
            <w:tcW w:type="dxa" w:w="1728"/>
            <w:vAlign w:val="center"/>
            <w:shd w:fill="EAF0F8"/>
          </w:tcPr>
          <w:p>
            <w:pPr>
              <w:spacing w:after="0"/>
            </w:pPr>
            <w:r/>
            <w:r>
              <w:rPr>
                <w:rFonts w:ascii="Aptos" w:hAnsi="Aptos"/>
                <w:b w:val="0"/>
                <w:sz w:val="13"/>
              </w:rPr>
              <w:t>End-to-end idempotency</w:t>
            </w:r>
          </w:p>
        </w:tc>
        <w:tc>
          <w:tcPr>
            <w:tcW w:type="dxa" w:w="6336"/>
            <w:vAlign w:val="center"/>
            <w:shd w:fill="EAF0F8"/>
          </w:tcPr>
          <w:p>
            <w:pPr>
              <w:spacing w:after="0"/>
            </w:pPr>
            <w:r/>
            <w:r>
              <w:rPr>
                <w:rFonts w:ascii="Aptos" w:hAnsi="Aptos"/>
                <w:b w:val="0"/>
                <w:sz w:val="13"/>
              </w:rPr>
              <w:t>Financial identity and deduplication survive retries, queues, services, restarts and failovers.</w:t>
            </w:r>
          </w:p>
        </w:tc>
        <w:tc>
          <w:tcPr>
            <w:tcW w:type="dxa" w:w="1584"/>
            <w:vAlign w:val="center"/>
            <w:shd w:fill="EAF0F8"/>
          </w:tcPr>
          <w:p>
            <w:pPr>
              <w:spacing w:after="0"/>
            </w:pPr>
            <w:r/>
            <w:r>
              <w:rPr>
                <w:rFonts w:ascii="Aptos" w:hAnsi="Aptos"/>
                <w:b w:val="0"/>
                <w:sz w:val="13"/>
              </w:rPr>
              <w:t>R41-CI017, CI020</w:t>
            </w:r>
          </w:p>
        </w:tc>
      </w:tr>
      <w:tr>
        <w:trPr>
          <w:cantSplit/>
        </w:trPr>
        <w:tc>
          <w:tcPr>
            <w:tcW w:type="dxa" w:w="1152"/>
            <w:vAlign w:val="center"/>
          </w:tcPr>
          <w:p>
            <w:pPr>
              <w:spacing w:after="0"/>
            </w:pPr>
            <w:r/>
            <w:r>
              <w:rPr>
                <w:rFonts w:ascii="Aptos" w:hAnsi="Aptos"/>
                <w:b w:val="0"/>
                <w:sz w:val="13"/>
              </w:rPr>
              <w:t>IMPL-I007</w:t>
            </w:r>
          </w:p>
        </w:tc>
        <w:tc>
          <w:tcPr>
            <w:tcW w:type="dxa" w:w="1728"/>
            <w:vAlign w:val="center"/>
          </w:tcPr>
          <w:p>
            <w:pPr>
              <w:spacing w:after="0"/>
            </w:pPr>
            <w:r/>
            <w:r>
              <w:rPr>
                <w:rFonts w:ascii="Aptos" w:hAnsi="Aptos"/>
                <w:b w:val="0"/>
                <w:sz w:val="13"/>
              </w:rPr>
              <w:t>Submission ambiguity persists</w:t>
            </w:r>
          </w:p>
        </w:tc>
        <w:tc>
          <w:tcPr>
            <w:tcW w:type="dxa" w:w="6336"/>
            <w:vAlign w:val="center"/>
          </w:tcPr>
          <w:p>
            <w:pPr>
              <w:spacing w:after="0"/>
            </w:pPr>
            <w:r/>
            <w:r>
              <w:rPr>
                <w:rFonts w:ascii="Aptos" w:hAnsi="Aptos"/>
                <w:b w:val="0"/>
                <w:sz w:val="13"/>
              </w:rPr>
              <w:t>Unknown submission, cancel, replace or fill state is durable and blocks economically equivalent resubmission or uncertain exposure increase.</w:t>
            </w:r>
          </w:p>
        </w:tc>
        <w:tc>
          <w:tcPr>
            <w:tcW w:type="dxa" w:w="1584"/>
            <w:vAlign w:val="center"/>
          </w:tcPr>
          <w:p>
            <w:pPr>
              <w:spacing w:after="0"/>
            </w:pPr>
            <w:r/>
            <w:r>
              <w:rPr>
                <w:rFonts w:ascii="Aptos" w:hAnsi="Aptos"/>
                <w:b w:val="0"/>
                <w:sz w:val="13"/>
              </w:rPr>
              <w:t>40.02-I003, R41-CI016-CI019</w:t>
            </w:r>
          </w:p>
        </w:tc>
      </w:tr>
      <w:tr>
        <w:trPr>
          <w:cantSplit/>
        </w:trPr>
        <w:tc>
          <w:tcPr>
            <w:tcW w:type="dxa" w:w="1152"/>
            <w:vAlign w:val="center"/>
            <w:shd w:fill="EAF0F8"/>
          </w:tcPr>
          <w:p>
            <w:pPr>
              <w:spacing w:after="0"/>
            </w:pPr>
            <w:r/>
            <w:r>
              <w:rPr>
                <w:rFonts w:ascii="Aptos" w:hAnsi="Aptos"/>
                <w:b w:val="0"/>
                <w:sz w:val="13"/>
              </w:rPr>
              <w:t>IMPL-I008</w:t>
            </w:r>
          </w:p>
        </w:tc>
        <w:tc>
          <w:tcPr>
            <w:tcW w:type="dxa" w:w="1728"/>
            <w:vAlign w:val="center"/>
            <w:shd w:fill="EAF0F8"/>
          </w:tcPr>
          <w:p>
            <w:pPr>
              <w:spacing w:after="0"/>
            </w:pPr>
            <w:r/>
            <w:r>
              <w:rPr>
                <w:rFonts w:ascii="Aptos" w:hAnsi="Aptos"/>
                <w:b w:val="0"/>
                <w:sz w:val="13"/>
              </w:rPr>
              <w:t>Reservations follow uncertainty</w:t>
            </w:r>
          </w:p>
        </w:tc>
        <w:tc>
          <w:tcPr>
            <w:tcW w:type="dxa" w:w="6336"/>
            <w:vAlign w:val="center"/>
            <w:shd w:fill="EAF0F8"/>
          </w:tcPr>
          <w:p>
            <w:pPr>
              <w:spacing w:after="0"/>
            </w:pPr>
            <w:r/>
            <w:r>
              <w:rPr>
                <w:rFonts w:ascii="Aptos" w:hAnsi="Aptos"/>
                <w:b w:val="0"/>
                <w:sz w:val="13"/>
              </w:rPr>
              <w:t>Capital and risk reservations follow maximum unresolved liability and cannot be released on local timeout or failure alone.</w:t>
            </w:r>
          </w:p>
        </w:tc>
        <w:tc>
          <w:tcPr>
            <w:tcW w:type="dxa" w:w="1584"/>
            <w:vAlign w:val="center"/>
            <w:shd w:fill="EAF0F8"/>
          </w:tcPr>
          <w:p>
            <w:pPr>
              <w:spacing w:after="0"/>
            </w:pPr>
            <w:r/>
            <w:r>
              <w:rPr>
                <w:rFonts w:ascii="Aptos" w:hAnsi="Aptos"/>
                <w:b w:val="0"/>
                <w:sz w:val="13"/>
              </w:rPr>
              <w:t>R41-CI003, CI021</w:t>
            </w:r>
          </w:p>
        </w:tc>
      </w:tr>
      <w:tr>
        <w:trPr>
          <w:cantSplit/>
        </w:trPr>
        <w:tc>
          <w:tcPr>
            <w:tcW w:type="dxa" w:w="1152"/>
            <w:vAlign w:val="center"/>
          </w:tcPr>
          <w:p>
            <w:pPr>
              <w:spacing w:after="0"/>
            </w:pPr>
            <w:r/>
            <w:r>
              <w:rPr>
                <w:rFonts w:ascii="Aptos" w:hAnsi="Aptos"/>
                <w:b w:val="0"/>
                <w:sz w:val="13"/>
              </w:rPr>
              <w:t>IMPL-I009</w:t>
            </w:r>
          </w:p>
        </w:tc>
        <w:tc>
          <w:tcPr>
            <w:tcW w:type="dxa" w:w="1728"/>
            <w:vAlign w:val="center"/>
          </w:tcPr>
          <w:p>
            <w:pPr>
              <w:spacing w:after="0"/>
            </w:pPr>
            <w:r/>
            <w:r>
              <w:rPr>
                <w:rFonts w:ascii="Aptos" w:hAnsi="Aptos"/>
                <w:b w:val="0"/>
                <w:sz w:val="13"/>
              </w:rPr>
              <w:t>Replay is non-executable</w:t>
            </w:r>
          </w:p>
        </w:tc>
        <w:tc>
          <w:tcPr>
            <w:tcW w:type="dxa" w:w="6336"/>
            <w:vAlign w:val="center"/>
          </w:tcPr>
          <w:p>
            <w:pPr>
              <w:spacing w:after="0"/>
            </w:pPr>
            <w:r/>
            <w:r>
              <w:rPr>
                <w:rFonts w:ascii="Aptos" w:hAnsi="Aptos"/>
                <w:b w:val="0"/>
                <w:sz w:val="13"/>
              </w:rPr>
              <w:t>Recovery and replay rebuild evidence/state but cannot create fresh financial authority or resubmit historical work.</w:t>
            </w:r>
          </w:p>
        </w:tc>
        <w:tc>
          <w:tcPr>
            <w:tcW w:type="dxa" w:w="1584"/>
            <w:vAlign w:val="center"/>
          </w:tcPr>
          <w:p>
            <w:pPr>
              <w:spacing w:after="0"/>
            </w:pPr>
            <w:r/>
            <w:r>
              <w:rPr>
                <w:rFonts w:ascii="Aptos" w:hAnsi="Aptos"/>
                <w:b w:val="0"/>
                <w:sz w:val="13"/>
              </w:rPr>
              <w:t>R41-CI022</w:t>
            </w:r>
          </w:p>
        </w:tc>
      </w:tr>
      <w:tr>
        <w:trPr>
          <w:cantSplit/>
        </w:trPr>
        <w:tc>
          <w:tcPr>
            <w:tcW w:type="dxa" w:w="1152"/>
            <w:vAlign w:val="center"/>
            <w:shd w:fill="EAF0F8"/>
          </w:tcPr>
          <w:p>
            <w:pPr>
              <w:spacing w:after="0"/>
            </w:pPr>
            <w:r/>
            <w:r>
              <w:rPr>
                <w:rFonts w:ascii="Aptos" w:hAnsi="Aptos"/>
                <w:b w:val="0"/>
                <w:sz w:val="13"/>
              </w:rPr>
              <w:t>IMPL-I010</w:t>
            </w:r>
          </w:p>
        </w:tc>
        <w:tc>
          <w:tcPr>
            <w:tcW w:type="dxa" w:w="1728"/>
            <w:vAlign w:val="center"/>
            <w:shd w:fill="EAF0F8"/>
          </w:tcPr>
          <w:p>
            <w:pPr>
              <w:spacing w:after="0"/>
            </w:pPr>
            <w:r/>
            <w:r>
              <w:rPr>
                <w:rFonts w:ascii="Aptos" w:hAnsi="Aptos"/>
                <w:b w:val="0"/>
                <w:sz w:val="13"/>
              </w:rPr>
              <w:t>Recovery requires current truth</w:t>
            </w:r>
          </w:p>
        </w:tc>
        <w:tc>
          <w:tcPr>
            <w:tcW w:type="dxa" w:w="6336"/>
            <w:vAlign w:val="center"/>
            <w:shd w:fill="EAF0F8"/>
          </w:tcPr>
          <w:p>
            <w:pPr>
              <w:spacing w:after="0"/>
            </w:pPr>
            <w:r/>
            <w:r>
              <w:rPr>
                <w:rFonts w:ascii="Aptos" w:hAnsi="Aptos"/>
                <w:b w:val="0"/>
                <w:sz w:val="13"/>
              </w:rPr>
              <w:t>Restart, failover or restore requires integrity, fencing, time, broker and financial reconciliation before exposure increase.</w:t>
            </w:r>
          </w:p>
        </w:tc>
        <w:tc>
          <w:tcPr>
            <w:tcW w:type="dxa" w:w="1584"/>
            <w:vAlign w:val="center"/>
            <w:shd w:fill="EAF0F8"/>
          </w:tcPr>
          <w:p>
            <w:pPr>
              <w:spacing w:after="0"/>
            </w:pPr>
            <w:r/>
            <w:r>
              <w:rPr>
                <w:rFonts w:ascii="Aptos" w:hAnsi="Aptos"/>
                <w:b w:val="0"/>
                <w:sz w:val="13"/>
              </w:rPr>
              <w:t>R41-CI004, CI041</w:t>
            </w:r>
          </w:p>
        </w:tc>
      </w:tr>
      <w:tr>
        <w:trPr>
          <w:cantSplit/>
        </w:trPr>
        <w:tc>
          <w:tcPr>
            <w:tcW w:type="dxa" w:w="1152"/>
            <w:vAlign w:val="center"/>
          </w:tcPr>
          <w:p>
            <w:pPr>
              <w:spacing w:after="0"/>
            </w:pPr>
            <w:r/>
            <w:r>
              <w:rPr>
                <w:rFonts w:ascii="Aptos" w:hAnsi="Aptos"/>
                <w:b w:val="0"/>
                <w:sz w:val="13"/>
              </w:rPr>
              <w:t>IMPL-I011</w:t>
            </w:r>
          </w:p>
        </w:tc>
        <w:tc>
          <w:tcPr>
            <w:tcW w:type="dxa" w:w="1728"/>
            <w:vAlign w:val="center"/>
          </w:tcPr>
          <w:p>
            <w:r>
              <w:t>Effectively-once authoritative accounting consequence</w:t>
            </w:r>
          </w:p>
        </w:tc>
        <w:tc>
          <w:tcPr>
            <w:tcW w:type="dxa" w:w="6336"/>
            <w:vAlign w:val="center"/>
          </w:tcPr>
          <w:p>
            <w:r>
              <w:t>Delivery may be at-least-once. Every fill, fee, cash movement, FX conversion and corporate action must produce one attributable authoritative accounting effect through durable identity, deduplication, idempotent application, fencing and reconciliation.</w:t>
            </w:r>
          </w:p>
        </w:tc>
        <w:tc>
          <w:tcPr>
            <w:tcW w:type="dxa" w:w="1584"/>
            <w:vAlign w:val="center"/>
          </w:tcPr>
          <w:p>
            <w:pPr>
              <w:spacing w:after="0"/>
            </w:pPr>
            <w:r/>
            <w:r>
              <w:rPr>
                <w:rFonts w:ascii="Aptos" w:hAnsi="Aptos"/>
                <w:b w:val="0"/>
                <w:sz w:val="13"/>
              </w:rPr>
              <w:t>R41-CI008-CI010</w:t>
            </w:r>
          </w:p>
        </w:tc>
      </w:tr>
      <w:tr>
        <w:trPr>
          <w:cantSplit/>
        </w:trPr>
        <w:tc>
          <w:tcPr>
            <w:tcW w:type="dxa" w:w="1152"/>
            <w:vAlign w:val="center"/>
            <w:shd w:fill="EAF0F8"/>
          </w:tcPr>
          <w:p>
            <w:pPr>
              <w:spacing w:after="0"/>
            </w:pPr>
            <w:r/>
            <w:r>
              <w:rPr>
                <w:rFonts w:ascii="Aptos" w:hAnsi="Aptos"/>
                <w:b w:val="0"/>
                <w:sz w:val="13"/>
              </w:rPr>
              <w:t>IMPL-I012</w:t>
            </w:r>
          </w:p>
        </w:tc>
        <w:tc>
          <w:tcPr>
            <w:tcW w:type="dxa" w:w="1728"/>
            <w:vAlign w:val="center"/>
            <w:shd w:fill="EAF0F8"/>
          </w:tcPr>
          <w:p>
            <w:pPr>
              <w:spacing w:after="0"/>
            </w:pPr>
            <w:r/>
            <w:r>
              <w:rPr>
                <w:rFonts w:ascii="Aptos" w:hAnsi="Aptos"/>
                <w:b w:val="0"/>
                <w:sz w:val="13"/>
              </w:rPr>
              <w:t>Corrections preserve history</w:t>
            </w:r>
          </w:p>
        </w:tc>
        <w:tc>
          <w:tcPr>
            <w:tcW w:type="dxa" w:w="6336"/>
            <w:vAlign w:val="center"/>
            <w:shd w:fill="EAF0F8"/>
          </w:tcPr>
          <w:p>
            <w:pPr>
              <w:spacing w:after="0"/>
            </w:pPr>
            <w:r/>
            <w:r>
              <w:rPr>
                <w:rFonts w:ascii="Aptos" w:hAnsi="Aptos"/>
                <w:b w:val="0"/>
                <w:sz w:val="13"/>
              </w:rPr>
              <w:t>Corrections are linked additive/reversing evidence; authoritative financial history is never silently overwritten.</w:t>
            </w:r>
          </w:p>
        </w:tc>
        <w:tc>
          <w:tcPr>
            <w:tcW w:type="dxa" w:w="1584"/>
            <w:vAlign w:val="center"/>
            <w:shd w:fill="EAF0F8"/>
          </w:tcPr>
          <w:p>
            <w:pPr>
              <w:spacing w:after="0"/>
            </w:pPr>
            <w:r/>
            <w:r>
              <w:rPr>
                <w:rFonts w:ascii="Aptos" w:hAnsi="Aptos"/>
                <w:b w:val="0"/>
                <w:sz w:val="13"/>
              </w:rPr>
              <w:t>R41-CI010</w:t>
            </w:r>
          </w:p>
        </w:tc>
      </w:tr>
      <w:tr>
        <w:trPr>
          <w:cantSplit/>
        </w:trPr>
        <w:tc>
          <w:tcPr>
            <w:tcW w:type="dxa" w:w="1152"/>
            <w:vAlign w:val="center"/>
          </w:tcPr>
          <w:p>
            <w:pPr>
              <w:spacing w:after="0"/>
            </w:pPr>
            <w:r/>
            <w:r>
              <w:rPr>
                <w:rFonts w:ascii="Aptos" w:hAnsi="Aptos"/>
                <w:b w:val="0"/>
                <w:sz w:val="13"/>
              </w:rPr>
              <w:t>IMPL-I013</w:t>
            </w:r>
          </w:p>
        </w:tc>
        <w:tc>
          <w:tcPr>
            <w:tcW w:type="dxa" w:w="1728"/>
            <w:vAlign w:val="center"/>
          </w:tcPr>
          <w:p>
            <w:pPr>
              <w:spacing w:after="0"/>
            </w:pPr>
            <w:r/>
            <w:r>
              <w:rPr>
                <w:rFonts w:ascii="Aptos" w:hAnsi="Aptos"/>
                <w:b w:val="0"/>
                <w:sz w:val="13"/>
              </w:rPr>
              <w:t>Decision-bound lineage</w:t>
            </w:r>
          </w:p>
        </w:tc>
        <w:tc>
          <w:tcPr>
            <w:tcW w:type="dxa" w:w="6336"/>
            <w:vAlign w:val="center"/>
          </w:tcPr>
          <w:p>
            <w:pPr>
              <w:spacing w:after="0"/>
            </w:pPr>
            <w:r/>
            <w:r>
              <w:rPr>
                <w:rFonts w:ascii="Aptos" w:hAnsi="Aptos"/>
                <w:b w:val="0"/>
                <w:sz w:val="13"/>
              </w:rPr>
              <w:t>Executable decisions bind exact data, calendar, corporate-action, strategy, model, feature, config and release identities.</w:t>
            </w:r>
          </w:p>
        </w:tc>
        <w:tc>
          <w:tcPr>
            <w:tcW w:type="dxa" w:w="1584"/>
            <w:vAlign w:val="center"/>
          </w:tcPr>
          <w:p>
            <w:pPr>
              <w:spacing w:after="0"/>
            </w:pPr>
            <w:r/>
            <w:r>
              <w:rPr>
                <w:rFonts w:ascii="Aptos" w:hAnsi="Aptos"/>
                <w:b w:val="0"/>
                <w:sz w:val="13"/>
              </w:rPr>
              <w:t>R41-CI025, CI029, CI040</w:t>
            </w:r>
          </w:p>
        </w:tc>
      </w:tr>
      <w:tr>
        <w:trPr>
          <w:cantSplit/>
        </w:trPr>
        <w:tc>
          <w:tcPr>
            <w:tcW w:type="dxa" w:w="1152"/>
            <w:vAlign w:val="center"/>
            <w:shd w:fill="EAF0F8"/>
          </w:tcPr>
          <w:p>
            <w:pPr>
              <w:spacing w:after="0"/>
            </w:pPr>
            <w:r/>
            <w:r>
              <w:rPr>
                <w:rFonts w:ascii="Aptos" w:hAnsi="Aptos"/>
                <w:b w:val="0"/>
                <w:sz w:val="13"/>
              </w:rPr>
              <w:t>IMPL-I014</w:t>
            </w:r>
          </w:p>
        </w:tc>
        <w:tc>
          <w:tcPr>
            <w:tcW w:type="dxa" w:w="1728"/>
            <w:vAlign w:val="center"/>
            <w:shd w:fill="EAF0F8"/>
          </w:tcPr>
          <w:p>
            <w:pPr>
              <w:spacing w:after="0"/>
            </w:pPr>
            <w:r/>
            <w:r>
              <w:rPr>
                <w:rFonts w:ascii="Aptos" w:hAnsi="Aptos"/>
                <w:b w:val="0"/>
                <w:sz w:val="13"/>
              </w:rPr>
              <w:t>Freshness is dependency-wide</w:t>
            </w:r>
          </w:p>
        </w:tc>
        <w:tc>
          <w:tcPr>
            <w:tcW w:type="dxa" w:w="6336"/>
            <w:vAlign w:val="center"/>
            <w:shd w:fill="EAF0F8"/>
          </w:tcPr>
          <w:p>
            <w:pPr>
              <w:spacing w:after="0"/>
            </w:pPr>
            <w:r/>
            <w:r>
              <w:rPr>
                <w:rFonts w:ascii="Aptos" w:hAnsi="Aptos"/>
                <w:b w:val="0"/>
                <w:sz w:val="13"/>
              </w:rPr>
              <w:t>Expiry or material dependency change invalidates authority; economic permission is recalculated when assumptions change.</w:t>
            </w:r>
          </w:p>
        </w:tc>
        <w:tc>
          <w:tcPr>
            <w:tcW w:type="dxa" w:w="1584"/>
            <w:vAlign w:val="center"/>
            <w:shd w:fill="EAF0F8"/>
          </w:tcPr>
          <w:p>
            <w:pPr>
              <w:spacing w:after="0"/>
            </w:pPr>
            <w:r/>
            <w:r>
              <w:rPr>
                <w:rFonts w:ascii="Aptos" w:hAnsi="Aptos"/>
                <w:b w:val="0"/>
                <w:sz w:val="13"/>
              </w:rPr>
              <w:t>R41-CI026, CI031, CI034</w:t>
            </w:r>
          </w:p>
        </w:tc>
      </w:tr>
      <w:tr>
        <w:trPr>
          <w:cantSplit/>
        </w:trPr>
        <w:tc>
          <w:tcPr>
            <w:tcW w:type="dxa" w:w="1152"/>
            <w:vAlign w:val="center"/>
          </w:tcPr>
          <w:p>
            <w:pPr>
              <w:spacing w:after="0"/>
            </w:pPr>
            <w:r/>
            <w:r>
              <w:rPr>
                <w:rFonts w:ascii="Aptos" w:hAnsi="Aptos"/>
                <w:b w:val="0"/>
                <w:sz w:val="13"/>
              </w:rPr>
              <w:t>IMPL-I015</w:t>
            </w:r>
          </w:p>
        </w:tc>
        <w:tc>
          <w:tcPr>
            <w:tcW w:type="dxa" w:w="1728"/>
            <w:vAlign w:val="center"/>
          </w:tcPr>
          <w:p>
            <w:pPr>
              <w:spacing w:after="0"/>
            </w:pPr>
            <w:r/>
            <w:r>
              <w:rPr>
                <w:rFonts w:ascii="Aptos" w:hAnsi="Aptos"/>
                <w:b w:val="0"/>
                <w:sz w:val="13"/>
              </w:rPr>
              <w:t>NO-TRADE is terminally preserved</w:t>
            </w:r>
          </w:p>
        </w:tc>
        <w:tc>
          <w:tcPr>
            <w:tcW w:type="dxa" w:w="6336"/>
            <w:vAlign w:val="center"/>
          </w:tcPr>
          <w:p>
            <w:pPr>
              <w:spacing w:after="0"/>
            </w:pPr>
            <w:r/>
            <w:r>
              <w:rPr>
                <w:rFonts w:ascii="Aptos" w:hAnsi="Aptos"/>
                <w:b w:val="0"/>
                <w:sz w:val="13"/>
              </w:rPr>
              <w:t>A valid NO-TRADE cannot become a trade through retry, fallback, downstream expectation or operator pressure.</w:t>
            </w:r>
          </w:p>
        </w:tc>
        <w:tc>
          <w:tcPr>
            <w:tcW w:type="dxa" w:w="1584"/>
            <w:vAlign w:val="center"/>
          </w:tcPr>
          <w:p>
            <w:pPr>
              <w:spacing w:after="0"/>
            </w:pPr>
            <w:r/>
            <w:r>
              <w:rPr>
                <w:rFonts w:ascii="Aptos" w:hAnsi="Aptos"/>
                <w:b w:val="0"/>
                <w:sz w:val="13"/>
              </w:rPr>
              <w:t>R41-CI035</w:t>
            </w:r>
          </w:p>
        </w:tc>
      </w:tr>
      <w:tr>
        <w:trPr>
          <w:cantSplit/>
        </w:trPr>
        <w:tc>
          <w:tcPr>
            <w:tcW w:type="dxa" w:w="1152"/>
            <w:vAlign w:val="center"/>
            <w:shd w:fill="EAF0F8"/>
          </w:tcPr>
          <w:p>
            <w:pPr>
              <w:spacing w:after="0"/>
            </w:pPr>
            <w:r/>
            <w:r>
              <w:rPr>
                <w:rFonts w:ascii="Aptos" w:hAnsi="Aptos"/>
                <w:b w:val="0"/>
                <w:sz w:val="13"/>
              </w:rPr>
              <w:t>IMPL-I016</w:t>
            </w:r>
          </w:p>
        </w:tc>
        <w:tc>
          <w:tcPr>
            <w:tcW w:type="dxa" w:w="1728"/>
            <w:vAlign w:val="center"/>
            <w:shd w:fill="EAF0F8"/>
          </w:tcPr>
          <w:p>
            <w:pPr>
              <w:spacing w:after="0"/>
            </w:pPr>
            <w:r/>
            <w:r>
              <w:rPr>
                <w:rFonts w:ascii="Aptos" w:hAnsi="Aptos"/>
                <w:b w:val="0"/>
                <w:sz w:val="13"/>
              </w:rPr>
              <w:t>Containment remains bounded</w:t>
            </w:r>
          </w:p>
        </w:tc>
        <w:tc>
          <w:tcPr>
            <w:tcW w:type="dxa" w:w="6336"/>
            <w:vAlign w:val="center"/>
            <w:shd w:fill="EAF0F8"/>
          </w:tcPr>
          <w:p>
            <w:pPr>
              <w:spacing w:after="0"/>
            </w:pPr>
            <w:r/>
            <w:r>
              <w:rPr>
                <w:rFonts w:ascii="Aptos" w:hAnsi="Aptos"/>
                <w:b w:val="0"/>
                <w:sz w:val="13"/>
              </w:rPr>
              <w:t>Kill, cancel, restriction and de-risk actions are idempotent and cannot assume broker effects disappeared.</w:t>
            </w:r>
          </w:p>
        </w:tc>
        <w:tc>
          <w:tcPr>
            <w:tcW w:type="dxa" w:w="1584"/>
            <w:vAlign w:val="center"/>
            <w:shd w:fill="EAF0F8"/>
          </w:tcPr>
          <w:p>
            <w:pPr>
              <w:spacing w:after="0"/>
            </w:pPr>
            <w:r/>
            <w:r>
              <w:rPr>
                <w:rFonts w:ascii="Aptos" w:hAnsi="Aptos"/>
                <w:b w:val="0"/>
                <w:sz w:val="13"/>
              </w:rPr>
              <w:t>R41-CI002, CI006-CI007</w:t>
            </w:r>
          </w:p>
        </w:tc>
      </w:tr>
      <w:tr>
        <w:trPr>
          <w:cantSplit/>
        </w:trPr>
        <w:tc>
          <w:tcPr>
            <w:tcW w:type="dxa" w:w="1152"/>
            <w:vAlign w:val="center"/>
          </w:tcPr>
          <w:p>
            <w:pPr>
              <w:spacing w:after="0"/>
            </w:pPr>
            <w:r/>
            <w:r>
              <w:rPr>
                <w:rFonts w:ascii="Aptos" w:hAnsi="Aptos"/>
                <w:b w:val="0"/>
                <w:sz w:val="13"/>
              </w:rPr>
              <w:t>IMPL-I017</w:t>
            </w:r>
          </w:p>
        </w:tc>
        <w:tc>
          <w:tcPr>
            <w:tcW w:type="dxa" w:w="1728"/>
            <w:vAlign w:val="center"/>
          </w:tcPr>
          <w:p>
            <w:pPr>
              <w:spacing w:after="0"/>
            </w:pPr>
            <w:r/>
            <w:r>
              <w:rPr>
                <w:rFonts w:ascii="Aptos" w:hAnsi="Aptos"/>
                <w:b w:val="0"/>
                <w:sz w:val="13"/>
              </w:rPr>
              <w:t>Security and finance are independent</w:t>
            </w:r>
          </w:p>
        </w:tc>
        <w:tc>
          <w:tcPr>
            <w:tcW w:type="dxa" w:w="6336"/>
            <w:vAlign w:val="center"/>
          </w:tcPr>
          <w:p>
            <w:pPr>
              <w:spacing w:after="0"/>
            </w:pPr>
            <w:r/>
            <w:r>
              <w:rPr>
                <w:rFonts w:ascii="Aptos" w:hAnsi="Aptos"/>
                <w:b w:val="0"/>
                <w:sz w:val="13"/>
              </w:rPr>
              <w:t>Financial agreement does not prove software, identity or credential integrity; credible compromise revokes affected authority.</w:t>
            </w:r>
          </w:p>
        </w:tc>
        <w:tc>
          <w:tcPr>
            <w:tcW w:type="dxa" w:w="1584"/>
            <w:vAlign w:val="center"/>
          </w:tcPr>
          <w:p>
            <w:pPr>
              <w:spacing w:after="0"/>
            </w:pPr>
            <w:r/>
            <w:r>
              <w:rPr>
                <w:rFonts w:ascii="Aptos" w:hAnsi="Aptos"/>
                <w:b w:val="0"/>
                <w:sz w:val="13"/>
              </w:rPr>
              <w:t>R41-CI037-CI045</w:t>
            </w:r>
          </w:p>
        </w:tc>
      </w:tr>
      <w:tr>
        <w:trPr>
          <w:cantSplit/>
        </w:trPr>
        <w:tc>
          <w:tcPr>
            <w:tcW w:type="dxa" w:w="1152"/>
            <w:vAlign w:val="center"/>
            <w:shd w:fill="EAF0F8"/>
          </w:tcPr>
          <w:p>
            <w:pPr>
              <w:spacing w:after="0"/>
            </w:pPr>
            <w:r/>
            <w:r>
              <w:rPr>
                <w:rFonts w:ascii="Aptos" w:hAnsi="Aptos"/>
                <w:b w:val="0"/>
                <w:sz w:val="13"/>
              </w:rPr>
              <w:t>IMPL-I018</w:t>
            </w:r>
          </w:p>
        </w:tc>
        <w:tc>
          <w:tcPr>
            <w:tcW w:type="dxa" w:w="1728"/>
            <w:vAlign w:val="center"/>
            <w:shd w:fill="EAF0F8"/>
          </w:tcPr>
          <w:p>
            <w:pPr>
              <w:spacing w:after="0"/>
            </w:pPr>
            <w:r/>
            <w:r>
              <w:rPr>
                <w:rFonts w:ascii="Aptos" w:hAnsi="Aptos"/>
                <w:b w:val="0"/>
                <w:sz w:val="13"/>
              </w:rPr>
              <w:t>Environment non-executability</w:t>
            </w:r>
          </w:p>
        </w:tc>
        <w:tc>
          <w:tcPr>
            <w:tcW w:type="dxa" w:w="6336"/>
            <w:vAlign w:val="center"/>
            <w:shd w:fill="EAF0F8"/>
          </w:tcPr>
          <w:p>
            <w:pPr>
              <w:spacing w:after="0"/>
            </w:pPr>
            <w:r/>
            <w:r>
              <w:rPr>
                <w:rFonts w:ascii="Aptos" w:hAnsi="Aptos"/>
                <w:b w:val="0"/>
                <w:sz w:val="13"/>
              </w:rPr>
              <w:t>Development, research, backtest and replay cannot possess usable production trading authority.</w:t>
            </w:r>
          </w:p>
        </w:tc>
        <w:tc>
          <w:tcPr>
            <w:tcW w:type="dxa" w:w="1584"/>
            <w:vAlign w:val="center"/>
            <w:shd w:fill="EAF0F8"/>
          </w:tcPr>
          <w:p>
            <w:pPr>
              <w:spacing w:after="0"/>
            </w:pPr>
            <w:r/>
            <w:r>
              <w:rPr>
                <w:rFonts w:ascii="Aptos" w:hAnsi="Aptos"/>
                <w:b w:val="0"/>
                <w:sz w:val="13"/>
              </w:rPr>
              <w:t>R41-CI043</w:t>
            </w:r>
          </w:p>
        </w:tc>
      </w:tr>
      <w:tr>
        <w:trPr>
          <w:cantSplit/>
        </w:trPr>
        <w:tc>
          <w:tcPr>
            <w:tcW w:type="dxa" w:w="1152"/>
            <w:vAlign w:val="center"/>
          </w:tcPr>
          <w:p>
            <w:pPr>
              <w:spacing w:after="0"/>
            </w:pPr>
            <w:r/>
            <w:r>
              <w:rPr>
                <w:rFonts w:ascii="Aptos" w:hAnsi="Aptos"/>
                <w:b w:val="0"/>
                <w:sz w:val="13"/>
              </w:rPr>
              <w:t>IMPL-I019</w:t>
            </w:r>
          </w:p>
        </w:tc>
        <w:tc>
          <w:tcPr>
            <w:tcW w:type="dxa" w:w="1728"/>
            <w:vAlign w:val="center"/>
          </w:tcPr>
          <w:p>
            <w:pPr>
              <w:spacing w:after="0"/>
            </w:pPr>
            <w:r/>
            <w:r>
              <w:rPr>
                <w:rFonts w:ascii="Aptos" w:hAnsi="Aptos"/>
                <w:b w:val="0"/>
                <w:sz w:val="13"/>
              </w:rPr>
              <w:t>Current fenced writer only</w:t>
            </w:r>
          </w:p>
        </w:tc>
        <w:tc>
          <w:tcPr>
            <w:tcW w:type="dxa" w:w="6336"/>
            <w:vAlign w:val="center"/>
          </w:tcPr>
          <w:p>
            <w:pPr>
              <w:spacing w:after="0"/>
            </w:pPr>
            <w:r/>
            <w:r>
              <w:rPr>
                <w:rFonts w:ascii="Aptos" w:hAnsi="Aptos"/>
                <w:b w:val="0"/>
                <w:sz w:val="13"/>
              </w:rPr>
              <w:t>Financial writes and side-effect requests require monotonic fencing/authority evidence; stale or unfenced writers are rejected.</w:t>
            </w:r>
          </w:p>
        </w:tc>
        <w:tc>
          <w:tcPr>
            <w:tcW w:type="dxa" w:w="1584"/>
            <w:vAlign w:val="center"/>
          </w:tcPr>
          <w:p>
            <w:pPr>
              <w:spacing w:after="0"/>
            </w:pPr>
            <w:r/>
            <w:r>
              <w:rPr>
                <w:rFonts w:ascii="Aptos" w:hAnsi="Aptos"/>
                <w:b w:val="0"/>
                <w:sz w:val="13"/>
              </w:rPr>
              <w:t>40.04-I001</w:t>
            </w:r>
          </w:p>
        </w:tc>
      </w:tr>
      <w:tr>
        <w:trPr>
          <w:cantSplit/>
        </w:trPr>
        <w:tc>
          <w:tcPr>
            <w:tcW w:type="dxa" w:w="1152"/>
            <w:vAlign w:val="center"/>
            <w:shd w:fill="EAF0F8"/>
          </w:tcPr>
          <w:p>
            <w:pPr>
              <w:spacing w:after="0"/>
            </w:pPr>
            <w:r/>
            <w:r>
              <w:rPr>
                <w:rFonts w:ascii="Aptos" w:hAnsi="Aptos"/>
                <w:b w:val="0"/>
                <w:sz w:val="13"/>
              </w:rPr>
              <w:t>IMPL-I020</w:t>
            </w:r>
          </w:p>
        </w:tc>
        <w:tc>
          <w:tcPr>
            <w:tcW w:type="dxa" w:w="1728"/>
            <w:vAlign w:val="center"/>
            <w:shd w:fill="EAF0F8"/>
          </w:tcPr>
          <w:p>
            <w:pPr>
              <w:spacing w:after="0"/>
            </w:pPr>
            <w:r/>
            <w:r>
              <w:rPr>
                <w:rFonts w:ascii="Aptos" w:hAnsi="Aptos"/>
                <w:b w:val="0"/>
                <w:sz w:val="13"/>
              </w:rPr>
              <w:t>Promotion is evidence-gated</w:t>
            </w:r>
          </w:p>
        </w:tc>
        <w:tc>
          <w:tcPr>
            <w:tcW w:type="dxa" w:w="6336"/>
            <w:vAlign w:val="center"/>
            <w:shd w:fill="EAF0F8"/>
          </w:tcPr>
          <w:p>
            <w:pPr>
              <w:spacing w:after="0"/>
            </w:pPr>
            <w:r/>
            <w:r>
              <w:rPr>
                <w:rFonts w:ascii="Aptos" w:hAnsi="Aptos"/>
                <w:b w:val="0"/>
                <w:sz w:val="13"/>
              </w:rPr>
              <w:t>No lifecycle stage approves the next; promotion requires current machine-checkable evidence and explicit authorization.</w:t>
            </w:r>
          </w:p>
        </w:tc>
        <w:tc>
          <w:tcPr>
            <w:tcW w:type="dxa" w:w="1584"/>
            <w:vAlign w:val="center"/>
            <w:shd w:fill="EAF0F8"/>
          </w:tcPr>
          <w:p>
            <w:pPr>
              <w:spacing w:after="0"/>
            </w:pPr>
            <w:r/>
            <w:r>
              <w:rPr>
                <w:rFonts w:ascii="Aptos" w:hAnsi="Aptos"/>
                <w:b w:val="0"/>
                <w:sz w:val="13"/>
              </w:rPr>
              <w:t>40.07-I002, R41-CI001</w:t>
            </w:r>
          </w:p>
        </w:tc>
      </w:tr>
    </w:tbl>
    <w:p>
      <w:pPr>
        <w:spacing w:after="0"/>
      </w:pPr>
    </w:p>
    <w:p>
      <w:pPr>
        <w:pStyle w:val="Title"/>
      </w:pPr>
      <w:r>
        <w:t>3. Requirement Identification and Traceability</w:t>
      </w:r>
    </w:p>
    <w:p>
      <w:pPr>
        <w:spacing w:after="80"/>
      </w:pPr>
      <w:r>
        <w:t>Stable requirement IDs use IMP-NNN. Implementation invariants use IMPL-INNN and never replace or renumber audit invariants. Tests use TST-&lt;component&gt;-NNN; schemas EVT- or DB-; architectural decisions ADR-NNN; risks RISK-NNN; gates GATE-S&lt;n&gt;-NN. Every mandatory requirement terminates in a control, verification method, objective evidence and lifecycle gate.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872"/>
            <w:vAlign w:val="center"/>
            <w:shd w:fill="17365D"/>
          </w:tcPr>
          <w:p>
            <w:pPr>
              <w:spacing w:after="0"/>
            </w:pPr>
            <w:r/>
            <w:r>
              <w:rPr>
                <w:rFonts w:ascii="Aptos" w:hAnsi="Aptos"/>
                <w:b/>
                <w:color w:val="FFFFFF"/>
                <w:sz w:val="14"/>
              </w:rPr>
              <w:t>Identifier</w:t>
            </w:r>
          </w:p>
        </w:tc>
        <w:tc>
          <w:tcPr>
            <w:tcW w:type="dxa" w:w="4608"/>
            <w:vAlign w:val="center"/>
            <w:shd w:fill="17365D"/>
          </w:tcPr>
          <w:p>
            <w:pPr>
              <w:spacing w:after="0"/>
            </w:pPr>
            <w:r/>
            <w:r>
              <w:rPr>
                <w:rFonts w:ascii="Aptos" w:hAnsi="Aptos"/>
                <w:b/>
                <w:color w:val="FFFFFF"/>
                <w:sz w:val="14"/>
              </w:rPr>
              <w:t>Purpose</w:t>
            </w:r>
          </w:p>
        </w:tc>
        <w:tc>
          <w:tcPr>
            <w:tcW w:type="dxa" w:w="4320"/>
            <w:vAlign w:val="center"/>
            <w:shd w:fill="17365D"/>
          </w:tcPr>
          <w:p>
            <w:pPr>
              <w:spacing w:after="0"/>
            </w:pPr>
            <w:r/>
            <w:r>
              <w:rPr>
                <w:rFonts w:ascii="Aptos" w:hAnsi="Aptos"/>
                <w:b/>
                <w:color w:val="FFFFFF"/>
                <w:sz w:val="14"/>
              </w:rPr>
              <w:t>Example</w:t>
            </w:r>
          </w:p>
        </w:tc>
      </w:tr>
      <w:tr>
        <w:trPr>
          <w:cantSplit/>
        </w:trPr>
        <w:tc>
          <w:tcPr>
            <w:tcW w:type="dxa" w:w="1872"/>
            <w:vAlign w:val="center"/>
          </w:tcPr>
          <w:p>
            <w:pPr>
              <w:spacing w:after="0"/>
            </w:pPr>
            <w:r/>
            <w:r>
              <w:rPr>
                <w:rFonts w:ascii="Aptos" w:hAnsi="Aptos"/>
                <w:b w:val="0"/>
                <w:sz w:val="14"/>
              </w:rPr>
              <w:t>IMP-NNN</w:t>
            </w:r>
          </w:p>
        </w:tc>
        <w:tc>
          <w:tcPr>
            <w:tcW w:type="dxa" w:w="4608"/>
            <w:vAlign w:val="center"/>
          </w:tcPr>
          <w:p>
            <w:pPr>
              <w:spacing w:after="0"/>
            </w:pPr>
            <w:r/>
            <w:r>
              <w:rPr>
                <w:rFonts w:ascii="Aptos" w:hAnsi="Aptos"/>
                <w:b w:val="0"/>
                <w:sz w:val="14"/>
              </w:rPr>
              <w:t>Atomic implementation requirement</w:t>
            </w:r>
          </w:p>
        </w:tc>
        <w:tc>
          <w:tcPr>
            <w:tcW w:type="dxa" w:w="4320"/>
            <w:vAlign w:val="center"/>
          </w:tcPr>
          <w:p>
            <w:pPr>
              <w:spacing w:after="0"/>
            </w:pPr>
            <w:r/>
            <w:r>
              <w:rPr>
                <w:rFonts w:ascii="Aptos" w:hAnsi="Aptos"/>
                <w:b w:val="0"/>
                <w:sz w:val="14"/>
              </w:rPr>
              <w:t>IMP-047 implements R41-CI016.</w:t>
            </w:r>
          </w:p>
        </w:tc>
      </w:tr>
      <w:tr>
        <w:trPr>
          <w:cantSplit/>
        </w:trPr>
        <w:tc>
          <w:tcPr>
            <w:tcW w:type="dxa" w:w="1872"/>
            <w:vAlign w:val="center"/>
            <w:shd w:fill="EAF0F8"/>
          </w:tcPr>
          <w:p>
            <w:pPr>
              <w:spacing w:after="0"/>
            </w:pPr>
            <w:r/>
            <w:r>
              <w:rPr>
                <w:rFonts w:ascii="Aptos" w:hAnsi="Aptos"/>
                <w:b w:val="0"/>
                <w:sz w:val="14"/>
              </w:rPr>
              <w:t>IMPL-INNN</w:t>
            </w:r>
          </w:p>
        </w:tc>
        <w:tc>
          <w:tcPr>
            <w:tcW w:type="dxa" w:w="4608"/>
            <w:vAlign w:val="center"/>
            <w:shd w:fill="EAF0F8"/>
          </w:tcPr>
          <w:p>
            <w:pPr>
              <w:spacing w:after="0"/>
            </w:pPr>
            <w:r/>
            <w:r>
              <w:rPr>
                <w:rFonts w:ascii="Aptos" w:hAnsi="Aptos"/>
                <w:b w:val="0"/>
                <w:sz w:val="14"/>
              </w:rPr>
              <w:t>Cross-cutting machine-enforced invariant</w:t>
            </w:r>
          </w:p>
        </w:tc>
        <w:tc>
          <w:tcPr>
            <w:tcW w:type="dxa" w:w="4320"/>
            <w:vAlign w:val="center"/>
            <w:shd w:fill="EAF0F8"/>
          </w:tcPr>
          <w:p>
            <w:pPr>
              <w:spacing w:after="0"/>
            </w:pPr>
            <w:r/>
            <w:r>
              <w:rPr>
                <w:rFonts w:ascii="Aptos" w:hAnsi="Aptos"/>
                <w:b w:val="0"/>
                <w:sz w:val="14"/>
              </w:rPr>
              <w:t>IMPL-I007: submission ambiguity persists.</w:t>
            </w:r>
          </w:p>
        </w:tc>
      </w:tr>
      <w:tr>
        <w:trPr>
          <w:cantSplit/>
        </w:trPr>
        <w:tc>
          <w:tcPr>
            <w:tcW w:type="dxa" w:w="1872"/>
            <w:vAlign w:val="center"/>
          </w:tcPr>
          <w:p>
            <w:pPr>
              <w:spacing w:after="0"/>
            </w:pPr>
            <w:r/>
            <w:r>
              <w:rPr>
                <w:rFonts w:ascii="Aptos" w:hAnsi="Aptos"/>
                <w:b w:val="0"/>
                <w:sz w:val="14"/>
              </w:rPr>
              <w:t>TST-AREA-NNN</w:t>
            </w:r>
          </w:p>
        </w:tc>
        <w:tc>
          <w:tcPr>
            <w:tcW w:type="dxa" w:w="4608"/>
            <w:vAlign w:val="center"/>
          </w:tcPr>
          <w:p>
            <w:pPr>
              <w:spacing w:after="0"/>
            </w:pPr>
            <w:r/>
            <w:r>
              <w:rPr>
                <w:rFonts w:ascii="Aptos" w:hAnsi="Aptos"/>
                <w:b w:val="0"/>
                <w:sz w:val="14"/>
              </w:rPr>
              <w:t>Test case or property</w:t>
            </w:r>
          </w:p>
        </w:tc>
        <w:tc>
          <w:tcPr>
            <w:tcW w:type="dxa" w:w="4320"/>
            <w:vAlign w:val="center"/>
          </w:tcPr>
          <w:p>
            <w:pPr>
              <w:spacing w:after="0"/>
            </w:pPr>
            <w:r/>
            <w:r>
              <w:rPr>
                <w:rFonts w:ascii="Aptos" w:hAnsi="Aptos"/>
                <w:b w:val="0"/>
                <w:sz w:val="14"/>
              </w:rPr>
              <w:t>TST-OMS-014: timeout-after-acceptance.</w:t>
            </w:r>
          </w:p>
        </w:tc>
      </w:tr>
      <w:tr>
        <w:trPr>
          <w:cantSplit/>
        </w:trPr>
        <w:tc>
          <w:tcPr>
            <w:tcW w:type="dxa" w:w="1872"/>
            <w:vAlign w:val="center"/>
            <w:shd w:fill="EAF0F8"/>
          </w:tcPr>
          <w:p>
            <w:pPr>
              <w:spacing w:after="0"/>
            </w:pPr>
            <w:r/>
            <w:r>
              <w:rPr>
                <w:rFonts w:ascii="Aptos" w:hAnsi="Aptos"/>
                <w:b w:val="0"/>
                <w:sz w:val="14"/>
              </w:rPr>
              <w:t>EVT-NNN</w:t>
            </w:r>
          </w:p>
        </w:tc>
        <w:tc>
          <w:tcPr>
            <w:tcW w:type="dxa" w:w="4608"/>
            <w:vAlign w:val="center"/>
            <w:shd w:fill="EAF0F8"/>
          </w:tcPr>
          <w:p>
            <w:pPr>
              <w:spacing w:after="0"/>
            </w:pPr>
            <w:r/>
            <w:r>
              <w:rPr>
                <w:rFonts w:ascii="Aptos" w:hAnsi="Aptos"/>
                <w:b w:val="0"/>
                <w:sz w:val="14"/>
              </w:rPr>
              <w:t>Versioned event contract</w:t>
            </w:r>
          </w:p>
        </w:tc>
        <w:tc>
          <w:tcPr>
            <w:tcW w:type="dxa" w:w="4320"/>
            <w:vAlign w:val="center"/>
            <w:shd w:fill="EAF0F8"/>
          </w:tcPr>
          <w:p>
            <w:pPr>
              <w:spacing w:after="0"/>
            </w:pPr>
            <w:r/>
            <w:r>
              <w:rPr>
                <w:rFonts w:ascii="Aptos" w:hAnsi="Aptos"/>
                <w:b w:val="0"/>
                <w:sz w:val="14"/>
              </w:rPr>
              <w:t>EVT-021 OrderSubmissionUnknown v1.</w:t>
            </w:r>
          </w:p>
        </w:tc>
      </w:tr>
      <w:tr>
        <w:trPr>
          <w:cantSplit/>
        </w:trPr>
        <w:tc>
          <w:tcPr>
            <w:tcW w:type="dxa" w:w="1872"/>
            <w:vAlign w:val="center"/>
          </w:tcPr>
          <w:p>
            <w:pPr>
              <w:spacing w:after="0"/>
            </w:pPr>
            <w:r/>
            <w:r>
              <w:rPr>
                <w:rFonts w:ascii="Aptos" w:hAnsi="Aptos"/>
                <w:b w:val="0"/>
                <w:sz w:val="14"/>
              </w:rPr>
              <w:t>DB-NNN</w:t>
            </w:r>
          </w:p>
        </w:tc>
        <w:tc>
          <w:tcPr>
            <w:tcW w:type="dxa" w:w="4608"/>
            <w:vAlign w:val="center"/>
          </w:tcPr>
          <w:p>
            <w:pPr>
              <w:spacing w:after="0"/>
            </w:pPr>
            <w:r/>
            <w:r>
              <w:rPr>
                <w:rFonts w:ascii="Aptos" w:hAnsi="Aptos"/>
                <w:b w:val="0"/>
                <w:sz w:val="14"/>
              </w:rPr>
              <w:t>Table/schema/migration contract</w:t>
            </w:r>
          </w:p>
        </w:tc>
        <w:tc>
          <w:tcPr>
            <w:tcW w:type="dxa" w:w="4320"/>
            <w:vAlign w:val="center"/>
          </w:tcPr>
          <w:p>
            <w:pPr>
              <w:spacing w:after="0"/>
            </w:pPr>
            <w:r/>
            <w:r>
              <w:rPr>
                <w:rFonts w:ascii="Aptos" w:hAnsi="Aptos"/>
                <w:b w:val="0"/>
                <w:sz w:val="14"/>
              </w:rPr>
              <w:t>DB-014 broker_submission_attempt.</w:t>
            </w:r>
          </w:p>
        </w:tc>
      </w:tr>
      <w:tr>
        <w:trPr>
          <w:cantSplit/>
        </w:trPr>
        <w:tc>
          <w:tcPr>
            <w:tcW w:type="dxa" w:w="1872"/>
            <w:vAlign w:val="center"/>
            <w:shd w:fill="EAF0F8"/>
          </w:tcPr>
          <w:p>
            <w:pPr>
              <w:spacing w:after="0"/>
            </w:pPr>
            <w:r/>
            <w:r>
              <w:rPr>
                <w:rFonts w:ascii="Aptos" w:hAnsi="Aptos"/>
                <w:b w:val="0"/>
                <w:sz w:val="14"/>
              </w:rPr>
              <w:t>ADR-NNN</w:t>
            </w:r>
          </w:p>
        </w:tc>
        <w:tc>
          <w:tcPr>
            <w:tcW w:type="dxa" w:w="4608"/>
            <w:vAlign w:val="center"/>
            <w:shd w:fill="EAF0F8"/>
          </w:tcPr>
          <w:p>
            <w:pPr>
              <w:spacing w:after="0"/>
            </w:pPr>
            <w:r/>
            <w:r>
              <w:rPr>
                <w:rFonts w:ascii="Aptos" w:hAnsi="Aptos"/>
                <w:b w:val="0"/>
                <w:sz w:val="14"/>
              </w:rPr>
              <w:t>Governed implementation decision</w:t>
            </w:r>
          </w:p>
        </w:tc>
        <w:tc>
          <w:tcPr>
            <w:tcW w:type="dxa" w:w="4320"/>
            <w:vAlign w:val="center"/>
            <w:shd w:fill="EAF0F8"/>
          </w:tcPr>
          <w:p>
            <w:pPr>
              <w:spacing w:after="0"/>
            </w:pPr>
            <w:r/>
            <w:r>
              <w:rPr>
                <w:rFonts w:ascii="Aptos" w:hAnsi="Aptos"/>
                <w:b w:val="0"/>
                <w:sz w:val="14"/>
              </w:rPr>
              <w:t>ADR-003 Decimal representation.</w:t>
            </w:r>
          </w:p>
        </w:tc>
      </w:tr>
      <w:tr>
        <w:trPr>
          <w:cantSplit/>
        </w:trPr>
        <w:tc>
          <w:tcPr>
            <w:tcW w:type="dxa" w:w="1872"/>
            <w:vAlign w:val="center"/>
          </w:tcPr>
          <w:p>
            <w:pPr>
              <w:spacing w:after="0"/>
            </w:pPr>
            <w:r/>
            <w:r>
              <w:rPr>
                <w:rFonts w:ascii="Aptos" w:hAnsi="Aptos"/>
                <w:b w:val="0"/>
                <w:sz w:val="14"/>
              </w:rPr>
              <w:t>GATE-SN-NN</w:t>
            </w:r>
          </w:p>
        </w:tc>
        <w:tc>
          <w:tcPr>
            <w:tcW w:type="dxa" w:w="4608"/>
            <w:vAlign w:val="center"/>
          </w:tcPr>
          <w:p>
            <w:pPr>
              <w:spacing w:after="0"/>
            </w:pPr>
            <w:r/>
            <w:r>
              <w:rPr>
                <w:rFonts w:ascii="Aptos" w:hAnsi="Aptos"/>
                <w:b w:val="0"/>
                <w:sz w:val="14"/>
              </w:rPr>
              <w:t>Lifecycle promotion criterion</w:t>
            </w:r>
          </w:p>
        </w:tc>
        <w:tc>
          <w:tcPr>
            <w:tcW w:type="dxa" w:w="4320"/>
            <w:vAlign w:val="center"/>
          </w:tcPr>
          <w:p>
            <w:pPr>
              <w:spacing w:after="0"/>
            </w:pPr>
            <w:r/>
            <w:r>
              <w:rPr>
                <w:rFonts w:ascii="Aptos" w:hAnsi="Aptos"/>
                <w:b w:val="0"/>
                <w:sz w:val="14"/>
              </w:rPr>
              <w:t>GATE-S01-04 CI green.</w:t>
            </w:r>
          </w:p>
        </w:tc>
      </w:tr>
      <w:tr>
        <w:trPr>
          <w:cantSplit/>
        </w:trPr>
        <w:tc>
          <w:tcPr>
            <w:tcW w:type="dxa" w:w="1872"/>
            <w:vAlign w:val="center"/>
            <w:shd w:fill="EAF0F8"/>
          </w:tcPr>
          <w:p>
            <w:pPr>
              <w:spacing w:after="0"/>
            </w:pPr>
            <w:r/>
            <w:r>
              <w:rPr>
                <w:rFonts w:ascii="Aptos" w:hAnsi="Aptos"/>
                <w:b w:val="0"/>
                <w:sz w:val="14"/>
              </w:rPr>
              <w:t>EVID-NNN</w:t>
            </w:r>
          </w:p>
        </w:tc>
        <w:tc>
          <w:tcPr>
            <w:tcW w:type="dxa" w:w="4608"/>
            <w:vAlign w:val="center"/>
            <w:shd w:fill="EAF0F8"/>
          </w:tcPr>
          <w:p>
            <w:pPr>
              <w:spacing w:after="0"/>
            </w:pPr>
            <w:r/>
            <w:r>
              <w:rPr>
                <w:rFonts w:ascii="Aptos" w:hAnsi="Aptos"/>
                <w:b w:val="0"/>
                <w:sz w:val="14"/>
              </w:rPr>
              <w:t>Objective evidence artifact</w:t>
            </w:r>
          </w:p>
        </w:tc>
        <w:tc>
          <w:tcPr>
            <w:tcW w:type="dxa" w:w="4320"/>
            <w:vAlign w:val="center"/>
            <w:shd w:fill="EAF0F8"/>
          </w:tcPr>
          <w:p>
            <w:pPr>
              <w:spacing w:after="0"/>
            </w:pPr>
            <w:r/>
            <w:r>
              <w:rPr>
                <w:rFonts w:ascii="Aptos" w:hAnsi="Aptos"/>
                <w:b w:val="0"/>
                <w:sz w:val="14"/>
              </w:rPr>
              <w:t>EVID-008 property-test report.</w:t>
            </w:r>
          </w:p>
        </w:tc>
      </w:tr>
    </w:tbl>
    <w:p>
      <w:pPr>
        <w:spacing w:after="0"/>
      </w:pPr>
    </w:p>
    <w:p>
      <w:pPr>
        <w:pStyle w:val="Heading1"/>
      </w:pPr>
      <w:r>
        <w:t>3.1 Required traceability record</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0"/>
            </w:pPr>
            <w:r/>
            <w:r>
              <w:rPr>
                <w:rFonts w:ascii="Aptos" w:hAnsi="Aptos"/>
                <w:b/>
                <w:color w:val="FFFFFF"/>
                <w:sz w:val="14"/>
              </w:rPr>
              <w:t>Field</w:t>
            </w:r>
          </w:p>
        </w:tc>
        <w:tc>
          <w:tcPr>
            <w:tcW w:type="dxa" w:w="7488"/>
            <w:vAlign w:val="center"/>
            <w:shd w:fill="17365D"/>
          </w:tcPr>
          <w:p>
            <w:pPr>
              <w:spacing w:after="0"/>
            </w:pPr>
            <w:r/>
            <w:r>
              <w:rPr>
                <w:rFonts w:ascii="Aptos" w:hAnsi="Aptos"/>
                <w:b/>
                <w:color w:val="FFFFFF"/>
                <w:sz w:val="14"/>
              </w:rPr>
              <w:t>Rule</w:t>
            </w:r>
          </w:p>
        </w:tc>
      </w:tr>
      <w:tr>
        <w:trPr>
          <w:cantSplit/>
        </w:trPr>
        <w:tc>
          <w:tcPr>
            <w:tcW w:type="dxa" w:w="2880"/>
            <w:vAlign w:val="center"/>
          </w:tcPr>
          <w:p>
            <w:pPr>
              <w:spacing w:after="0"/>
            </w:pPr>
            <w:r/>
            <w:r>
              <w:rPr>
                <w:rFonts w:ascii="Aptos" w:hAnsi="Aptos"/>
                <w:b w:val="0"/>
                <w:sz w:val="15"/>
              </w:rPr>
              <w:t>Requirement/invariant ID</w:t>
            </w:r>
          </w:p>
        </w:tc>
        <w:tc>
          <w:tcPr>
            <w:tcW w:type="dxa" w:w="7488"/>
            <w:vAlign w:val="center"/>
          </w:tcPr>
          <w:p>
            <w:pPr>
              <w:spacing w:after="0"/>
            </w:pPr>
            <w:r/>
            <w:r>
              <w:rPr>
                <w:rFonts w:ascii="Aptos" w:hAnsi="Aptos"/>
                <w:b w:val="0"/>
                <w:sz w:val="15"/>
              </w:rPr>
              <w:t>Stable and never reused.</w:t>
            </w:r>
          </w:p>
        </w:tc>
      </w:tr>
      <w:tr>
        <w:trPr>
          <w:cantSplit/>
        </w:trPr>
        <w:tc>
          <w:tcPr>
            <w:tcW w:type="dxa" w:w="2880"/>
            <w:vAlign w:val="center"/>
            <w:shd w:fill="EAF0F8"/>
          </w:tcPr>
          <w:p>
            <w:pPr>
              <w:spacing w:after="0"/>
            </w:pPr>
            <w:r/>
            <w:r>
              <w:rPr>
                <w:rFonts w:ascii="Aptos" w:hAnsi="Aptos"/>
                <w:b w:val="0"/>
                <w:sz w:val="15"/>
              </w:rPr>
              <w:t>Source</w:t>
            </w:r>
          </w:p>
        </w:tc>
        <w:tc>
          <w:tcPr>
            <w:tcW w:type="dxa" w:w="7488"/>
            <w:vAlign w:val="center"/>
            <w:shd w:fill="EAF0F8"/>
          </w:tcPr>
          <w:p>
            <w:pPr>
              <w:spacing w:after="0"/>
            </w:pPr>
            <w:r/>
            <w:r>
              <w:rPr>
                <w:rFonts w:ascii="Aptos" w:hAnsi="Aptos"/>
                <w:b w:val="0"/>
                <w:sz w:val="15"/>
              </w:rPr>
              <w:t>Canonical section/invariant or status qualifier.</w:t>
            </w:r>
          </w:p>
        </w:tc>
      </w:tr>
      <w:tr>
        <w:trPr>
          <w:cantSplit/>
        </w:trPr>
        <w:tc>
          <w:tcPr>
            <w:tcW w:type="dxa" w:w="2880"/>
            <w:vAlign w:val="center"/>
          </w:tcPr>
          <w:p>
            <w:pPr>
              <w:spacing w:after="0"/>
            </w:pPr>
            <w:r/>
            <w:r>
              <w:rPr>
                <w:rFonts w:ascii="Aptos" w:hAnsi="Aptos"/>
                <w:b w:val="0"/>
                <w:sz w:val="15"/>
              </w:rPr>
              <w:t>Requirement</w:t>
            </w:r>
          </w:p>
        </w:tc>
        <w:tc>
          <w:tcPr>
            <w:tcW w:type="dxa" w:w="7488"/>
            <w:vAlign w:val="center"/>
          </w:tcPr>
          <w:p>
            <w:pPr>
              <w:spacing w:after="0"/>
            </w:pPr>
            <w:r/>
            <w:r>
              <w:rPr>
                <w:rFonts w:ascii="Aptos" w:hAnsi="Aptos"/>
                <w:b w:val="0"/>
                <w:sz w:val="15"/>
              </w:rPr>
              <w:t>Atomic, testable plain-language statement.</w:t>
            </w:r>
          </w:p>
        </w:tc>
      </w:tr>
      <w:tr>
        <w:trPr>
          <w:cantSplit/>
        </w:trPr>
        <w:tc>
          <w:tcPr>
            <w:tcW w:type="dxa" w:w="2880"/>
            <w:vAlign w:val="center"/>
            <w:shd w:fill="EAF0F8"/>
          </w:tcPr>
          <w:p>
            <w:pPr>
              <w:spacing w:after="0"/>
            </w:pPr>
            <w:r/>
            <w:r>
              <w:rPr>
                <w:rFonts w:ascii="Aptos" w:hAnsi="Aptos"/>
                <w:b w:val="0"/>
                <w:sz w:val="15"/>
              </w:rPr>
              <w:t>Component/module</w:t>
            </w:r>
          </w:p>
        </w:tc>
        <w:tc>
          <w:tcPr>
            <w:tcW w:type="dxa" w:w="7488"/>
            <w:vAlign w:val="center"/>
            <w:shd w:fill="EAF0F8"/>
          </w:tcPr>
          <w:p>
            <w:pPr>
              <w:spacing w:after="0"/>
            </w:pPr>
            <w:r/>
            <w:r>
              <w:rPr>
                <w:rFonts w:ascii="Aptos" w:hAnsi="Aptos"/>
                <w:b w:val="0"/>
                <w:sz w:val="15"/>
              </w:rPr>
              <w:t>Single owner; dependencies separately recorded.</w:t>
            </w:r>
          </w:p>
        </w:tc>
      </w:tr>
      <w:tr>
        <w:trPr>
          <w:cantSplit/>
        </w:trPr>
        <w:tc>
          <w:tcPr>
            <w:tcW w:type="dxa" w:w="2880"/>
            <w:vAlign w:val="center"/>
          </w:tcPr>
          <w:p>
            <w:pPr>
              <w:spacing w:after="0"/>
            </w:pPr>
            <w:r/>
            <w:r>
              <w:rPr>
                <w:rFonts w:ascii="Aptos" w:hAnsi="Aptos"/>
                <w:b w:val="0"/>
                <w:sz w:val="15"/>
              </w:rPr>
              <w:t>Schema impact</w:t>
            </w:r>
          </w:p>
        </w:tc>
        <w:tc>
          <w:tcPr>
            <w:tcW w:type="dxa" w:w="7488"/>
            <w:vAlign w:val="center"/>
          </w:tcPr>
          <w:p>
            <w:pPr>
              <w:spacing w:after="0"/>
            </w:pPr>
            <w:r/>
            <w:r>
              <w:rPr>
                <w:rFonts w:ascii="Aptos" w:hAnsi="Aptos"/>
                <w:b w:val="0"/>
                <w:sz w:val="15"/>
              </w:rPr>
              <w:t>Event, table, migration and version.</w:t>
            </w:r>
          </w:p>
        </w:tc>
      </w:tr>
      <w:tr>
        <w:trPr>
          <w:cantSplit/>
        </w:trPr>
        <w:tc>
          <w:tcPr>
            <w:tcW w:type="dxa" w:w="2880"/>
            <w:vAlign w:val="center"/>
            <w:shd w:fill="EAF0F8"/>
          </w:tcPr>
          <w:p>
            <w:pPr>
              <w:spacing w:after="0"/>
            </w:pPr>
            <w:r/>
            <w:r>
              <w:rPr>
                <w:rFonts w:ascii="Aptos" w:hAnsi="Aptos"/>
                <w:b w:val="0"/>
                <w:sz w:val="15"/>
              </w:rPr>
              <w:t>Tests</w:t>
            </w:r>
          </w:p>
        </w:tc>
        <w:tc>
          <w:tcPr>
            <w:tcW w:type="dxa" w:w="7488"/>
            <w:vAlign w:val="center"/>
            <w:shd w:fill="EAF0F8"/>
          </w:tcPr>
          <w:p>
            <w:pPr>
              <w:spacing w:after="0"/>
            </w:pPr>
            <w:r/>
            <w:r>
              <w:rPr>
                <w:rFonts w:ascii="Aptos" w:hAnsi="Aptos"/>
                <w:b w:val="0"/>
                <w:sz w:val="15"/>
              </w:rPr>
              <w:t>Positive, negative and failure-path coverage.</w:t>
            </w:r>
          </w:p>
        </w:tc>
      </w:tr>
      <w:tr>
        <w:trPr>
          <w:cantSplit/>
        </w:trPr>
        <w:tc>
          <w:tcPr>
            <w:tcW w:type="dxa" w:w="2880"/>
            <w:vAlign w:val="center"/>
          </w:tcPr>
          <w:p>
            <w:pPr>
              <w:spacing w:after="0"/>
            </w:pPr>
            <w:r/>
            <w:r>
              <w:rPr>
                <w:rFonts w:ascii="Aptos" w:hAnsi="Aptos"/>
                <w:b w:val="0"/>
                <w:sz w:val="15"/>
              </w:rPr>
              <w:t>Monitoring/control</w:t>
            </w:r>
          </w:p>
        </w:tc>
        <w:tc>
          <w:tcPr>
            <w:tcW w:type="dxa" w:w="7488"/>
            <w:vAlign w:val="center"/>
          </w:tcPr>
          <w:p>
            <w:pPr>
              <w:spacing w:after="0"/>
            </w:pPr>
            <w:r/>
            <w:r>
              <w:rPr>
                <w:rFonts w:ascii="Aptos" w:hAnsi="Aptos"/>
                <w:b w:val="0"/>
                <w:sz w:val="15"/>
              </w:rPr>
              <w:t>Metric, alert, mode restriction or runbook.</w:t>
            </w:r>
          </w:p>
        </w:tc>
      </w:tr>
      <w:tr>
        <w:trPr>
          <w:cantSplit/>
        </w:trPr>
        <w:tc>
          <w:tcPr>
            <w:tcW w:type="dxa" w:w="2880"/>
            <w:vAlign w:val="center"/>
            <w:shd w:fill="EAF0F8"/>
          </w:tcPr>
          <w:p>
            <w:pPr>
              <w:spacing w:after="0"/>
            </w:pPr>
            <w:r/>
            <w:r>
              <w:rPr>
                <w:rFonts w:ascii="Aptos" w:hAnsi="Aptos"/>
                <w:b w:val="0"/>
                <w:sz w:val="15"/>
              </w:rPr>
              <w:t>Evidence</w:t>
            </w:r>
          </w:p>
        </w:tc>
        <w:tc>
          <w:tcPr>
            <w:tcW w:type="dxa" w:w="7488"/>
            <w:vAlign w:val="center"/>
            <w:shd w:fill="EAF0F8"/>
          </w:tcPr>
          <w:p>
            <w:pPr>
              <w:spacing w:after="0"/>
            </w:pPr>
            <w:r/>
            <w:r>
              <w:rPr>
                <w:rFonts w:ascii="Aptos" w:hAnsi="Aptos"/>
                <w:b w:val="0"/>
                <w:sz w:val="15"/>
              </w:rPr>
              <w:t>Machine-generated or independently reviewable artifact.</w:t>
            </w:r>
          </w:p>
        </w:tc>
      </w:tr>
      <w:tr>
        <w:trPr>
          <w:cantSplit/>
        </w:trPr>
        <w:tc>
          <w:tcPr>
            <w:tcW w:type="dxa" w:w="2880"/>
            <w:vAlign w:val="center"/>
          </w:tcPr>
          <w:p>
            <w:pPr>
              <w:spacing w:after="0"/>
            </w:pPr>
            <w:r/>
            <w:r>
              <w:rPr>
                <w:rFonts w:ascii="Aptos" w:hAnsi="Aptos"/>
                <w:b w:val="0"/>
                <w:sz w:val="15"/>
              </w:rPr>
              <w:t>Status</w:t>
            </w:r>
          </w:p>
        </w:tc>
        <w:tc>
          <w:tcPr>
            <w:tcW w:type="dxa" w:w="7488"/>
            <w:vAlign w:val="center"/>
          </w:tcPr>
          <w:p>
            <w:pPr>
              <w:spacing w:after="0"/>
            </w:pPr>
            <w:r/>
            <w:r>
              <w:rPr>
                <w:rFonts w:ascii="Aptos" w:hAnsi="Aptos"/>
                <w:b w:val="0"/>
                <w:sz w:val="15"/>
              </w:rPr>
              <w:t>Proposed → Specified → Implemented → Verified → Accepted; Blocked allowed.</w:t>
            </w:r>
          </w:p>
        </w:tc>
      </w:tr>
      <w:tr>
        <w:trPr>
          <w:cantSplit/>
        </w:trPr>
        <w:tc>
          <w:tcPr>
            <w:tcW w:type="dxa" w:w="2880"/>
            <w:vAlign w:val="center"/>
            <w:shd w:fill="EAF0F8"/>
          </w:tcPr>
          <w:p>
            <w:pPr>
              <w:spacing w:after="0"/>
            </w:pPr>
            <w:r/>
            <w:r>
              <w:rPr>
                <w:rFonts w:ascii="Aptos" w:hAnsi="Aptos"/>
                <w:b w:val="0"/>
                <w:sz w:val="15"/>
              </w:rPr>
              <w:t>Dependencies</w:t>
            </w:r>
          </w:p>
        </w:tc>
        <w:tc>
          <w:tcPr>
            <w:tcW w:type="dxa" w:w="7488"/>
            <w:vAlign w:val="center"/>
            <w:shd w:fill="EAF0F8"/>
          </w:tcPr>
          <w:p>
            <w:pPr>
              <w:spacing w:after="0"/>
            </w:pPr>
            <w:r/>
            <w:r>
              <w:rPr>
                <w:rFonts w:ascii="Aptos" w:hAnsi="Aptos"/>
                <w:b w:val="0"/>
                <w:sz w:val="15"/>
              </w:rPr>
              <w:t>Explicit requirement, component or external decision.</w:t>
            </w:r>
          </w:p>
        </w:tc>
      </w:tr>
    </w:tbl>
    <w:p>
      <w:pPr>
        <w:spacing w:after="0"/>
      </w:pPr>
    </w:p>
    <w:p>
      <w:pPr>
        <w:pStyle w:val="Title"/>
      </w:pPr>
      <w:r>
        <w:t>4. Implementation Architecture</w:t>
      </w:r>
    </w:p>
    <w:p>
      <w:pPr>
        <w:spacing w:after="80"/>
      </w:pPr>
      <w:r>
        <w:t>The default is a modular monolith with strict package boundaries and an in-process durable event workflow for early stages. This reduces distributed-systems failure modes while preserving contracts that permit later service extraction. No package may call a broker SDK except the broker adapter; no strategy may call OMS or broker directly.</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584"/>
            <w:vAlign w:val="center"/>
            <w:shd w:fill="17365D"/>
          </w:tcPr>
          <w:p>
            <w:pPr>
              <w:spacing w:after="0"/>
            </w:pPr>
            <w:r/>
            <w:r>
              <w:rPr>
                <w:rFonts w:ascii="Aptos" w:hAnsi="Aptos"/>
                <w:b/>
                <w:color w:val="FFFFFF"/>
                <w:sz w:val="14"/>
              </w:rPr>
              <w:t>Layer</w:t>
            </w:r>
          </w:p>
        </w:tc>
        <w:tc>
          <w:tcPr>
            <w:tcW w:type="dxa" w:w="3024"/>
            <w:vAlign w:val="center"/>
            <w:shd w:fill="17365D"/>
          </w:tcPr>
          <w:p>
            <w:pPr>
              <w:spacing w:after="0"/>
            </w:pPr>
            <w:r/>
            <w:r>
              <w:rPr>
                <w:rFonts w:ascii="Aptos" w:hAnsi="Aptos"/>
                <w:b/>
                <w:color w:val="FFFFFF"/>
                <w:sz w:val="14"/>
              </w:rPr>
              <w:t>Responsibilities</w:t>
            </w:r>
          </w:p>
        </w:tc>
        <w:tc>
          <w:tcPr>
            <w:tcW w:type="dxa" w:w="2880"/>
            <w:vAlign w:val="center"/>
            <w:shd w:fill="17365D"/>
          </w:tcPr>
          <w:p>
            <w:pPr>
              <w:spacing w:after="0"/>
            </w:pPr>
            <w:r/>
            <w:r>
              <w:rPr>
                <w:rFonts w:ascii="Aptos" w:hAnsi="Aptos"/>
                <w:b/>
                <w:color w:val="FFFFFF"/>
                <w:sz w:val="14"/>
              </w:rPr>
              <w:t>May depend on</w:t>
            </w:r>
          </w:p>
        </w:tc>
        <w:tc>
          <w:tcPr>
            <w:tcW w:type="dxa" w:w="2880"/>
            <w:vAlign w:val="center"/>
            <w:shd w:fill="17365D"/>
          </w:tcPr>
          <w:p>
            <w:pPr>
              <w:spacing w:after="0"/>
            </w:pPr>
            <w:r/>
            <w:r>
              <w:rPr>
                <w:rFonts w:ascii="Aptos" w:hAnsi="Aptos"/>
                <w:b/>
                <w:color w:val="FFFFFF"/>
                <w:sz w:val="14"/>
              </w:rPr>
              <w:t>Must not do</w:t>
            </w:r>
          </w:p>
        </w:tc>
      </w:tr>
      <w:tr>
        <w:trPr>
          <w:cantSplit/>
        </w:trPr>
        <w:tc>
          <w:tcPr>
            <w:tcW w:type="dxa" w:w="1584"/>
            <w:vAlign w:val="center"/>
          </w:tcPr>
          <w:p>
            <w:pPr>
              <w:spacing w:after="0"/>
            </w:pPr>
            <w:r/>
            <w:r>
              <w:rPr>
                <w:rFonts w:ascii="Aptos" w:hAnsi="Aptos"/>
                <w:b w:val="0"/>
                <w:sz w:val="13"/>
              </w:rPr>
              <w:t>Contracts</w:t>
            </w:r>
          </w:p>
        </w:tc>
        <w:tc>
          <w:tcPr>
            <w:tcW w:type="dxa" w:w="3024"/>
            <w:vAlign w:val="center"/>
          </w:tcPr>
          <w:p>
            <w:pPr>
              <w:spacing w:after="0"/>
            </w:pPr>
            <w:r/>
            <w:r>
              <w:rPr>
                <w:rFonts w:ascii="Aptos" w:hAnsi="Aptos"/>
                <w:b w:val="0"/>
                <w:sz w:val="13"/>
              </w:rPr>
              <w:t>IDs, money, quantities, timestamps, enums, commands/events</w:t>
            </w:r>
          </w:p>
        </w:tc>
        <w:tc>
          <w:tcPr>
            <w:tcW w:type="dxa" w:w="2880"/>
            <w:vAlign w:val="center"/>
          </w:tcPr>
          <w:p>
            <w:pPr>
              <w:spacing w:after="0"/>
            </w:pPr>
            <w:r/>
            <w:r>
              <w:rPr>
                <w:rFonts w:ascii="Aptos" w:hAnsi="Aptos"/>
                <w:b w:val="0"/>
                <w:sz w:val="13"/>
              </w:rPr>
              <w:t>Standard library, validation primitives</w:t>
            </w:r>
          </w:p>
        </w:tc>
        <w:tc>
          <w:tcPr>
            <w:tcW w:type="dxa" w:w="2880"/>
            <w:vAlign w:val="center"/>
          </w:tcPr>
          <w:p>
            <w:pPr>
              <w:spacing w:after="0"/>
            </w:pPr>
            <w:r/>
            <w:r>
              <w:rPr>
                <w:rFonts w:ascii="Aptos" w:hAnsi="Aptos"/>
                <w:b w:val="0"/>
                <w:sz w:val="13"/>
              </w:rPr>
              <w:t>I/O or business orchestration</w:t>
            </w:r>
          </w:p>
        </w:tc>
      </w:tr>
      <w:tr>
        <w:trPr>
          <w:cantSplit/>
        </w:trPr>
        <w:tc>
          <w:tcPr>
            <w:tcW w:type="dxa" w:w="1584"/>
            <w:vAlign w:val="center"/>
            <w:shd w:fill="EAF0F8"/>
          </w:tcPr>
          <w:p>
            <w:pPr>
              <w:spacing w:after="0"/>
            </w:pPr>
            <w:r/>
            <w:r>
              <w:rPr>
                <w:rFonts w:ascii="Aptos" w:hAnsi="Aptos"/>
                <w:b w:val="0"/>
                <w:sz w:val="13"/>
              </w:rPr>
              <w:t>Data</w:t>
            </w:r>
          </w:p>
        </w:tc>
        <w:tc>
          <w:tcPr>
            <w:tcW w:type="dxa" w:w="3024"/>
            <w:vAlign w:val="center"/>
            <w:shd w:fill="EAF0F8"/>
          </w:tcPr>
          <w:p>
            <w:pPr>
              <w:spacing w:after="0"/>
            </w:pPr>
            <w:r/>
            <w:r>
              <w:rPr>
                <w:rFonts w:ascii="Aptos" w:hAnsi="Aptos"/>
                <w:b w:val="0"/>
                <w:sz w:val="13"/>
              </w:rPr>
              <w:t>Instrument master, calendars, bars, corporate actions, quality</w:t>
            </w:r>
          </w:p>
        </w:tc>
        <w:tc>
          <w:tcPr>
            <w:tcW w:type="dxa" w:w="2880"/>
            <w:vAlign w:val="center"/>
            <w:shd w:fill="EAF0F8"/>
          </w:tcPr>
          <w:p>
            <w:pPr>
              <w:spacing w:after="0"/>
            </w:pPr>
            <w:r/>
            <w:r>
              <w:rPr>
                <w:rFonts w:ascii="Aptos" w:hAnsi="Aptos"/>
                <w:b w:val="0"/>
                <w:sz w:val="13"/>
              </w:rPr>
              <w:t>Contracts, persistence ports</w:t>
            </w:r>
          </w:p>
        </w:tc>
        <w:tc>
          <w:tcPr>
            <w:tcW w:type="dxa" w:w="2880"/>
            <w:vAlign w:val="center"/>
            <w:shd w:fill="EAF0F8"/>
          </w:tcPr>
          <w:p>
            <w:pPr>
              <w:spacing w:after="0"/>
            </w:pPr>
            <w:r/>
            <w:r>
              <w:rPr>
                <w:rFonts w:ascii="Aptos" w:hAnsi="Aptos"/>
                <w:b w:val="0"/>
                <w:sz w:val="13"/>
              </w:rPr>
              <w:t>Authorize trading</w:t>
            </w:r>
          </w:p>
        </w:tc>
      </w:tr>
      <w:tr>
        <w:trPr>
          <w:cantSplit/>
        </w:trPr>
        <w:tc>
          <w:tcPr>
            <w:tcW w:type="dxa" w:w="1584"/>
            <w:vAlign w:val="center"/>
          </w:tcPr>
          <w:p>
            <w:pPr>
              <w:spacing w:after="0"/>
            </w:pPr>
            <w:r/>
            <w:r>
              <w:rPr>
                <w:rFonts w:ascii="Aptos" w:hAnsi="Aptos"/>
                <w:b w:val="0"/>
                <w:sz w:val="13"/>
              </w:rPr>
              <w:t>Research</w:t>
            </w:r>
          </w:p>
        </w:tc>
        <w:tc>
          <w:tcPr>
            <w:tcW w:type="dxa" w:w="3024"/>
            <w:vAlign w:val="center"/>
          </w:tcPr>
          <w:p>
            <w:pPr>
              <w:spacing w:after="0"/>
            </w:pPr>
            <w:r/>
            <w:r>
              <w:rPr>
                <w:rFonts w:ascii="Aptos" w:hAnsi="Aptos"/>
                <w:b w:val="0"/>
                <w:sz w:val="13"/>
              </w:rPr>
              <w:t>Datasets, features, experiments, backtest</w:t>
            </w:r>
          </w:p>
        </w:tc>
        <w:tc>
          <w:tcPr>
            <w:tcW w:type="dxa" w:w="2880"/>
            <w:vAlign w:val="center"/>
          </w:tcPr>
          <w:p>
            <w:pPr>
              <w:spacing w:after="0"/>
            </w:pPr>
            <w:r/>
            <w:r>
              <w:rPr>
                <w:rFonts w:ascii="Aptos" w:hAnsi="Aptos"/>
                <w:b w:val="0"/>
                <w:sz w:val="13"/>
              </w:rPr>
              <w:t>Contracts, data, economics simulation</w:t>
            </w:r>
          </w:p>
        </w:tc>
        <w:tc>
          <w:tcPr>
            <w:tcW w:type="dxa" w:w="2880"/>
            <w:vAlign w:val="center"/>
          </w:tcPr>
          <w:p>
            <w:pPr>
              <w:spacing w:after="0"/>
            </w:pPr>
            <w:r/>
            <w:r>
              <w:rPr>
                <w:rFonts w:ascii="Aptos" w:hAnsi="Aptos"/>
                <w:b w:val="0"/>
                <w:sz w:val="13"/>
              </w:rPr>
              <w:t>Possess production authority</w:t>
            </w:r>
          </w:p>
        </w:tc>
      </w:tr>
      <w:tr>
        <w:trPr>
          <w:cantSplit/>
        </w:trPr>
        <w:tc>
          <w:tcPr>
            <w:tcW w:type="dxa" w:w="1584"/>
            <w:vAlign w:val="center"/>
            <w:shd w:fill="EAF0F8"/>
          </w:tcPr>
          <w:p>
            <w:pPr>
              <w:spacing w:after="0"/>
            </w:pPr>
            <w:r/>
            <w:r>
              <w:rPr>
                <w:rFonts w:ascii="Aptos" w:hAnsi="Aptos"/>
                <w:b w:val="0"/>
                <w:sz w:val="13"/>
              </w:rPr>
              <w:t>Decision</w:t>
            </w:r>
          </w:p>
        </w:tc>
        <w:tc>
          <w:tcPr>
            <w:tcW w:type="dxa" w:w="3024"/>
            <w:vAlign w:val="center"/>
            <w:shd w:fill="EAF0F8"/>
          </w:tcPr>
          <w:p>
            <w:pPr>
              <w:spacing w:after="0"/>
            </w:pPr>
            <w:r/>
            <w:r>
              <w:rPr>
                <w:rFonts w:ascii="Aptos" w:hAnsi="Aptos"/>
                <w:b w:val="0"/>
                <w:sz w:val="13"/>
              </w:rPr>
              <w:t>Strategy proposals, economics, portfolio construction</w:t>
            </w:r>
          </w:p>
        </w:tc>
        <w:tc>
          <w:tcPr>
            <w:tcW w:type="dxa" w:w="2880"/>
            <w:vAlign w:val="center"/>
            <w:shd w:fill="EAF0F8"/>
          </w:tcPr>
          <w:p>
            <w:pPr>
              <w:spacing w:after="0"/>
            </w:pPr>
            <w:r/>
            <w:r>
              <w:rPr>
                <w:rFonts w:ascii="Aptos" w:hAnsi="Aptos"/>
                <w:b w:val="0"/>
                <w:sz w:val="13"/>
              </w:rPr>
              <w:t>Contracts, validated snapshots</w:t>
            </w:r>
          </w:p>
        </w:tc>
        <w:tc>
          <w:tcPr>
            <w:tcW w:type="dxa" w:w="2880"/>
            <w:vAlign w:val="center"/>
            <w:shd w:fill="EAF0F8"/>
          </w:tcPr>
          <w:p>
            <w:pPr>
              <w:spacing w:after="0"/>
            </w:pPr>
            <w:r/>
            <w:r>
              <w:rPr>
                <w:rFonts w:ascii="Aptos" w:hAnsi="Aptos"/>
                <w:b w:val="0"/>
                <w:sz w:val="13"/>
              </w:rPr>
              <w:t>Call broker or mutate ledger</w:t>
            </w:r>
          </w:p>
        </w:tc>
      </w:tr>
      <w:tr>
        <w:trPr>
          <w:cantSplit/>
        </w:trPr>
        <w:tc>
          <w:tcPr>
            <w:tcW w:type="dxa" w:w="1584"/>
            <w:vAlign w:val="center"/>
          </w:tcPr>
          <w:p>
            <w:pPr>
              <w:spacing w:after="0"/>
            </w:pPr>
            <w:r/>
            <w:r>
              <w:rPr>
                <w:rFonts w:ascii="Aptos" w:hAnsi="Aptos"/>
                <w:b w:val="0"/>
                <w:sz w:val="13"/>
              </w:rPr>
              <w:t>Authorization</w:t>
            </w:r>
          </w:p>
        </w:tc>
        <w:tc>
          <w:tcPr>
            <w:tcW w:type="dxa" w:w="3024"/>
            <w:vAlign w:val="center"/>
          </w:tcPr>
          <w:p>
            <w:pPr>
              <w:spacing w:after="0"/>
            </w:pPr>
            <w:r/>
            <w:r>
              <w:rPr>
                <w:rFonts w:ascii="Aptos" w:hAnsi="Aptos"/>
                <w:b w:val="0"/>
                <w:sz w:val="13"/>
              </w:rPr>
              <w:t>Capital reservations, risk/compliance/operational gates</w:t>
            </w:r>
          </w:p>
        </w:tc>
        <w:tc>
          <w:tcPr>
            <w:tcW w:type="dxa" w:w="2880"/>
            <w:vAlign w:val="center"/>
          </w:tcPr>
          <w:p>
            <w:pPr>
              <w:spacing w:after="0"/>
            </w:pPr>
            <w:r/>
            <w:r>
              <w:rPr>
                <w:rFonts w:ascii="Aptos" w:hAnsi="Aptos"/>
                <w:b w:val="0"/>
                <w:sz w:val="13"/>
              </w:rPr>
              <w:t>Contracts, current portfolio/account state</w:t>
            </w:r>
          </w:p>
        </w:tc>
        <w:tc>
          <w:tcPr>
            <w:tcW w:type="dxa" w:w="2880"/>
            <w:vAlign w:val="center"/>
          </w:tcPr>
          <w:p>
            <w:pPr>
              <w:spacing w:after="0"/>
            </w:pPr>
            <w:r/>
            <w:r>
              <w:rPr>
                <w:rFonts w:ascii="Aptos" w:hAnsi="Aptos"/>
                <w:b w:val="0"/>
                <w:sz w:val="13"/>
              </w:rPr>
              <w:t>Assume UNKNOWN is safe</w:t>
            </w:r>
          </w:p>
        </w:tc>
      </w:tr>
      <w:tr>
        <w:trPr>
          <w:cantSplit/>
        </w:trPr>
        <w:tc>
          <w:tcPr>
            <w:tcW w:type="dxa" w:w="1584"/>
            <w:vAlign w:val="center"/>
            <w:shd w:fill="EAF0F8"/>
          </w:tcPr>
          <w:p>
            <w:pPr>
              <w:spacing w:after="0"/>
            </w:pPr>
            <w:r/>
            <w:r>
              <w:rPr>
                <w:rFonts w:ascii="Aptos" w:hAnsi="Aptos"/>
                <w:b w:val="0"/>
                <w:sz w:val="13"/>
              </w:rPr>
              <w:t>Execution</w:t>
            </w:r>
          </w:p>
        </w:tc>
        <w:tc>
          <w:tcPr>
            <w:tcW w:type="dxa" w:w="3024"/>
            <w:vAlign w:val="center"/>
            <w:shd w:fill="EAF0F8"/>
          </w:tcPr>
          <w:p>
            <w:pPr>
              <w:spacing w:after="0"/>
            </w:pPr>
            <w:r/>
            <w:r>
              <w:rPr>
                <w:rFonts w:ascii="Aptos" w:hAnsi="Aptos"/>
                <w:b w:val="0"/>
                <w:sz w:val="13"/>
              </w:rPr>
              <w:t>OMS state machines and broker adapter</w:t>
            </w:r>
          </w:p>
        </w:tc>
        <w:tc>
          <w:tcPr>
            <w:tcW w:type="dxa" w:w="2880"/>
            <w:vAlign w:val="center"/>
            <w:shd w:fill="EAF0F8"/>
          </w:tcPr>
          <w:p>
            <w:pPr>
              <w:spacing w:after="0"/>
            </w:pPr>
            <w:r/>
            <w:r>
              <w:rPr>
                <w:rFonts w:ascii="Aptos" w:hAnsi="Aptos"/>
                <w:b w:val="0"/>
                <w:sz w:val="13"/>
              </w:rPr>
              <w:t>Contracts, authorization evidence</w:t>
            </w:r>
          </w:p>
        </w:tc>
        <w:tc>
          <w:tcPr>
            <w:tcW w:type="dxa" w:w="2880"/>
            <w:vAlign w:val="center"/>
            <w:shd w:fill="EAF0F8"/>
          </w:tcPr>
          <w:p>
            <w:pPr>
              <w:spacing w:after="0"/>
            </w:pPr>
            <w:r/>
            <w:r>
              <w:rPr>
                <w:rFonts w:ascii="Aptos" w:hAnsi="Aptos"/>
                <w:b w:val="0"/>
                <w:sz w:val="13"/>
              </w:rPr>
              <w:t>Bypass current authorization</w:t>
            </w:r>
          </w:p>
        </w:tc>
      </w:tr>
      <w:tr>
        <w:trPr>
          <w:cantSplit/>
        </w:trPr>
        <w:tc>
          <w:tcPr>
            <w:tcW w:type="dxa" w:w="1584"/>
            <w:vAlign w:val="center"/>
          </w:tcPr>
          <w:p>
            <w:pPr>
              <w:spacing w:after="0"/>
            </w:pPr>
            <w:r/>
            <w:r>
              <w:rPr>
                <w:rFonts w:ascii="Aptos" w:hAnsi="Aptos"/>
                <w:b w:val="0"/>
                <w:sz w:val="13"/>
              </w:rPr>
              <w:t>Financial truth</w:t>
            </w:r>
          </w:p>
        </w:tc>
        <w:tc>
          <w:tcPr>
            <w:tcW w:type="dxa" w:w="3024"/>
            <w:vAlign w:val="center"/>
          </w:tcPr>
          <w:p>
            <w:pPr>
              <w:spacing w:after="0"/>
            </w:pPr>
            <w:r/>
            <w:r>
              <w:rPr>
                <w:rFonts w:ascii="Aptos" w:hAnsi="Aptos"/>
                <w:b w:val="0"/>
                <w:sz w:val="13"/>
              </w:rPr>
              <w:t>Positions, lots, ledger, reconciliation</w:t>
            </w:r>
          </w:p>
        </w:tc>
        <w:tc>
          <w:tcPr>
            <w:tcW w:type="dxa" w:w="2880"/>
            <w:vAlign w:val="center"/>
          </w:tcPr>
          <w:p>
            <w:pPr>
              <w:spacing w:after="0"/>
            </w:pPr>
            <w:r/>
            <w:r>
              <w:rPr>
                <w:rFonts w:ascii="Aptos" w:hAnsi="Aptos"/>
                <w:b w:val="0"/>
                <w:sz w:val="13"/>
              </w:rPr>
              <w:t>Broker evidence, contracts, persistence</w:t>
            </w:r>
          </w:p>
        </w:tc>
        <w:tc>
          <w:tcPr>
            <w:tcW w:type="dxa" w:w="2880"/>
            <w:vAlign w:val="center"/>
          </w:tcPr>
          <w:p>
            <w:pPr>
              <w:spacing w:after="0"/>
            </w:pPr>
            <w:r/>
            <w:r>
              <w:rPr>
                <w:rFonts w:ascii="Aptos" w:hAnsi="Aptos"/>
                <w:b w:val="0"/>
                <w:sz w:val="13"/>
              </w:rPr>
              <w:t>Rewrite history to force agreement</w:t>
            </w:r>
          </w:p>
        </w:tc>
      </w:tr>
      <w:tr>
        <w:trPr>
          <w:cantSplit/>
        </w:trPr>
        <w:tc>
          <w:tcPr>
            <w:tcW w:type="dxa" w:w="1584"/>
            <w:vAlign w:val="center"/>
            <w:shd w:fill="EAF0F8"/>
          </w:tcPr>
          <w:p>
            <w:pPr>
              <w:spacing w:after="0"/>
            </w:pPr>
            <w:r/>
            <w:r>
              <w:rPr>
                <w:rFonts w:ascii="Aptos" w:hAnsi="Aptos"/>
                <w:b w:val="0"/>
                <w:sz w:val="13"/>
              </w:rPr>
              <w:t>Platform</w:t>
            </w:r>
          </w:p>
        </w:tc>
        <w:tc>
          <w:tcPr>
            <w:tcW w:type="dxa" w:w="3024"/>
            <w:vAlign w:val="center"/>
            <w:shd w:fill="EAF0F8"/>
          </w:tcPr>
          <w:p>
            <w:pPr>
              <w:spacing w:after="0"/>
            </w:pPr>
            <w:r/>
            <w:r>
              <w:rPr>
                <w:rFonts w:ascii="Aptos" w:hAnsi="Aptos"/>
                <w:b w:val="0"/>
                <w:sz w:val="13"/>
              </w:rPr>
              <w:t>Runtime, persistence, audit, observability, security, config</w:t>
            </w:r>
          </w:p>
        </w:tc>
        <w:tc>
          <w:tcPr>
            <w:tcW w:type="dxa" w:w="2880"/>
            <w:vAlign w:val="center"/>
            <w:shd w:fill="EAF0F8"/>
          </w:tcPr>
          <w:p>
            <w:pPr>
              <w:spacing w:after="0"/>
            </w:pPr>
            <w:r/>
            <w:r>
              <w:rPr>
                <w:rFonts w:ascii="Aptos" w:hAnsi="Aptos"/>
                <w:b w:val="0"/>
                <w:sz w:val="13"/>
              </w:rPr>
              <w:t>Contracts</w:t>
            </w:r>
          </w:p>
        </w:tc>
        <w:tc>
          <w:tcPr>
            <w:tcW w:type="dxa" w:w="2880"/>
            <w:vAlign w:val="center"/>
            <w:shd w:fill="EAF0F8"/>
          </w:tcPr>
          <w:p>
            <w:pPr>
              <w:spacing w:after="0"/>
            </w:pPr>
            <w:r/>
            <w:r>
              <w:rPr>
                <w:rFonts w:ascii="Aptos" w:hAnsi="Aptos"/>
                <w:b w:val="0"/>
                <w:sz w:val="13"/>
              </w:rPr>
              <w:t>Embed strategy-specific authority</w:t>
            </w:r>
          </w:p>
        </w:tc>
      </w:tr>
    </w:tbl>
    <w:p>
      <w:pPr>
        <w:spacing w:after="0"/>
      </w:pPr>
    </w:p>
    <w:p>
      <w:pPr>
        <w:pStyle w:val="Heading1"/>
      </w:pPr>
      <w:r>
        <w:t>4.1 Exposure-increase authorization chain</w:t>
      </w:r>
    </w:p>
    <w:p>
      <w:pPr>
        <w:pStyle w:val="ListNumber"/>
        <w:spacing w:after="20"/>
      </w:pPr>
      <w:r>
        <w:t>Validated point-in-time market/reference snapshot and trustworthy clock.</w:t>
      </w:r>
    </w:p>
    <w:p>
      <w:pPr>
        <w:pStyle w:val="ListNumber"/>
        <w:spacing w:after="20"/>
      </w:pPr>
      <w:r>
        <w:t>Verified strategy/model/feature/config/release identity; fresh proposal.</w:t>
      </w:r>
    </w:p>
    <w:p>
      <w:pPr>
        <w:pStyle w:val="ListNumber"/>
        <w:spacing w:after="20"/>
      </w:pPr>
      <w:r>
        <w:t>Economic evaluation with expected net edge, costs, liquidity, capacity and uncertainty.</w:t>
      </w:r>
    </w:p>
    <w:p>
      <w:pPr>
        <w:pStyle w:val="ListNumber"/>
        <w:spacing w:after="20"/>
      </w:pPr>
      <w:r>
        <w:t>Current portfolio construction using positions, pending orders, unresolved effects and opportunity cost.</w:t>
      </w:r>
    </w:p>
    <w:p>
      <w:pPr>
        <w:pStyle w:val="ListNumber"/>
        <w:spacing w:after="20"/>
      </w:pPr>
      <w:r>
        <w:t>Atomic capital/risk reservation and independent risk/compliance/operational approval.</w:t>
      </w:r>
    </w:p>
    <w:p>
      <w:pPr>
        <w:pStyle w:val="ListNumber"/>
        <w:spacing w:after="20"/>
      </w:pPr>
      <w:r>
        <w:t>OMS order creation with idempotency key, bound approvals and final pre-submit revalidation.</w:t>
      </w:r>
    </w:p>
    <w:p>
      <w:pPr>
        <w:pStyle w:val="ListNumber"/>
        <w:spacing w:after="20"/>
      </w:pPr>
      <w:r>
        <w:t>Broker submission through the sole adapter, followed by durable lifecycle evidence.</w:t>
      </w:r>
    </w:p>
    <w:p>
      <w:pPr>
        <w:pStyle w:val="ListNumber"/>
        <w:spacing w:after="20"/>
      </w:pPr>
      <w:r>
        <w:t>Fill → position/lot → ledger → broker/account reconciliation.</w:t>
      </w:r>
    </w:p>
    <w:p>
      <w:pPr>
        <w:spacing w:after="80"/>
      </w:pPr>
      <w:r>
        <w:t>Any failed or unknown mandatory gate produces NO-TRADE, rejection, quarantine or an operational restriction. Containment/de-risk actions follow a separate bounded authority path and do not require positive economic edge.</w:t>
      </w:r>
    </w:p>
    <w:p>
      <w:pPr>
        <w:pStyle w:val="Title"/>
      </w:pPr>
      <w:r>
        <w:t>5. Repository and Package Structure</w:t>
      </w:r>
    </w:p>
    <w:p>
      <w:pPr>
        <w:pStyle w:val="CodeBlock"/>
      </w:pPr>
      <w:r>
        <w:t>automated-trading-bot/</w:t>
      </w:r>
    </w:p>
    <w:p>
      <w:pPr>
        <w:pStyle w:val="CodeBlock"/>
      </w:pPr>
      <w:r>
        <w:t xml:space="preserve">  pyproject.toml              # Python/tooling policy; locked by uv.lock</w:t>
      </w:r>
    </w:p>
    <w:p>
      <w:pPr>
        <w:pStyle w:val="CodeBlock"/>
      </w:pPr>
      <w:r>
        <w:t xml:space="preserve">  uv.lock</w:t>
      </w:r>
    </w:p>
    <w:p>
      <w:pPr>
        <w:pStyle w:val="CodeBlock"/>
      </w:pPr>
      <w:r>
        <w:t xml:space="preserve">  README.md  SECURITY.md  CONTRIBUTING.md</w:t>
      </w:r>
    </w:p>
    <w:p>
      <w:pPr>
        <w:pStyle w:val="CodeBlock"/>
      </w:pPr>
      <w:r>
        <w:t xml:space="preserve">  .python-version             # Python 3.12.x baseline</w:t>
      </w:r>
    </w:p>
    <w:p>
      <w:pPr>
        <w:pStyle w:val="CodeBlock"/>
      </w:pPr>
      <w:r>
        <w:t xml:space="preserve">  .pre-commit-config.yaml</w:t>
      </w:r>
    </w:p>
    <w:p>
      <w:pPr>
        <w:pStyle w:val="CodeBlock"/>
      </w:pPr>
      <w:r>
        <w:t xml:space="preserve">  config/                     # typed non-secret defaults and schemas</w:t>
      </w:r>
    </w:p>
    <w:p>
      <w:pPr>
        <w:pStyle w:val="CodeBlock"/>
      </w:pPr>
      <w:r>
        <w:t xml:space="preserve">    development/ test/ research/ paper/ production/</w:t>
      </w:r>
    </w:p>
    <w:p>
      <w:pPr>
        <w:pStyle w:val="CodeBlock"/>
      </w:pPr>
      <w:r>
        <w:t xml:space="preserve">  migrations/                 # Alembic; forward and tested recovery plans</w:t>
      </w:r>
    </w:p>
    <w:p>
      <w:pPr>
        <w:pStyle w:val="CodeBlock"/>
      </w:pPr>
      <w:r>
        <w:t xml:space="preserve">  src/trading_bot/</w:t>
      </w:r>
    </w:p>
    <w:p>
      <w:pPr>
        <w:pStyle w:val="CodeBlock"/>
      </w:pPr>
      <w:r>
        <w:t xml:space="preserve">    contracts/                # IDs, Money, Quantity, enums, commands, events</w:t>
      </w:r>
    </w:p>
    <w:p>
      <w:pPr>
        <w:pStyle w:val="CodeBlock"/>
      </w:pPr>
      <w:r>
        <w:t xml:space="preserve">    time/                     # Clock protocol, UTC, sessions, calendars</w:t>
      </w:r>
    </w:p>
    <w:p>
      <w:pPr>
        <w:pStyle w:val="CodeBlock"/>
      </w:pPr>
      <w:r>
        <w:t xml:space="preserve">    instruments/              # security master and venue metadata</w:t>
      </w:r>
    </w:p>
    <w:p>
      <w:pPr>
        <w:pStyle w:val="CodeBlock"/>
      </w:pPr>
      <w:r>
        <w:t xml:space="preserve">    market_data/              # ingest, normalize, validate, quality</w:t>
      </w:r>
    </w:p>
    <w:p>
      <w:pPr>
        <w:pStyle w:val="CodeBlock"/>
      </w:pPr>
      <w:r>
        <w:t xml:space="preserve">    corporate_actions/        # point-in-time actions and adjustments</w:t>
      </w:r>
    </w:p>
    <w:p>
      <w:pPr>
        <w:pStyle w:val="CodeBlock"/>
      </w:pPr>
      <w:r>
        <w:t xml:space="preserve">    research/                 # dataset/experiment registry, PIT builders</w:t>
      </w:r>
    </w:p>
    <w:p>
      <w:pPr>
        <w:pStyle w:val="CodeBlock"/>
      </w:pPr>
      <w:r>
        <w:t xml:space="preserve">    features/                 # versioned feature contracts/pipelines</w:t>
      </w:r>
    </w:p>
    <w:p>
      <w:pPr>
        <w:pStyle w:val="CodeBlock"/>
      </w:pPr>
      <w:r>
        <w:t xml:space="preserve">    strategies/               # proposal-only interface and benchmarks</w:t>
      </w:r>
    </w:p>
    <w:p>
      <w:pPr>
        <w:pStyle w:val="CodeBlock"/>
      </w:pPr>
      <w:r>
        <w:t xml:space="preserve">    models/                   # artifacts, compatibility and inference</w:t>
      </w:r>
    </w:p>
    <w:p>
      <w:pPr>
        <w:pStyle w:val="CodeBlock"/>
      </w:pPr>
      <w:r>
        <w:t xml:space="preserve">    economics/                # edge, costs, liquidity, capacity, uncertainty</w:t>
      </w:r>
    </w:p>
    <w:p>
      <w:pPr>
        <w:pStyle w:val="CodeBlock"/>
      </w:pPr>
      <w:r>
        <w:t xml:space="preserve">    portfolio/                # targets, allocation, constraints, attribution</w:t>
      </w:r>
    </w:p>
    <w:p>
      <w:pPr>
        <w:pStyle w:val="CodeBlock"/>
      </w:pPr>
      <w:r>
        <w:t xml:space="preserve">    risk/                     # independent authorization and vetoes</w:t>
      </w:r>
    </w:p>
    <w:p>
      <w:pPr>
        <w:pStyle w:val="CodeBlock"/>
      </w:pPr>
      <w:r>
        <w:t xml:space="preserve">    capital/                  # cash, BP, margin, collateral, reservations</w:t>
      </w:r>
    </w:p>
    <w:p>
      <w:pPr>
        <w:pStyle w:val="CodeBlock"/>
      </w:pPr>
      <w:r>
        <w:t xml:space="preserve">    oms/                      # orders, submissions, cancel/replace, fencing</w:t>
      </w:r>
    </w:p>
    <w:p>
      <w:pPr>
        <w:pStyle w:val="CodeBlock"/>
      </w:pPr>
      <w:r>
        <w:t xml:space="preserve">    broker/                   # canonical port; deterministic simulator/mock/fault-injection adapters through Stage 10</w:t>
      </w:r>
    </w:p>
    <w:p>
      <w:pPr>
        <w:pStyle w:val="CodeBlock"/>
      </w:pPr>
      <w:r>
        <w:t xml:space="preserve">    positions/                # quantities, lots, cost basis, P&amp;L</w:t>
      </w:r>
    </w:p>
    <w:p>
      <w:pPr>
        <w:pStyle w:val="CodeBlock"/>
      </w:pPr>
      <w:r>
        <w:t xml:space="preserve">    ledger/                   # immutable postings and conservation</w:t>
      </w:r>
    </w:p>
    <w:p>
      <w:pPr>
        <w:pStyle w:val="CodeBlock"/>
      </w:pPr>
      <w:r>
        <w:t xml:space="preserve">    reconciliation/           # discrepancies, confidence, corrections</w:t>
      </w:r>
    </w:p>
    <w:p>
      <w:pPr>
        <w:pStyle w:val="CodeBlock"/>
      </w:pPr>
      <w:r>
        <w:t xml:space="preserve">    runtime/                  # event loop, scheduling, checkpoint, replay</w:t>
      </w:r>
    </w:p>
    <w:p>
      <w:pPr>
        <w:pStyle w:val="CodeBlock"/>
      </w:pPr>
      <w:r>
        <w:t xml:space="preserve">    persistence/              # repositories, UoW, PostgreSQL, Parquet</w:t>
      </w:r>
    </w:p>
    <w:p>
      <w:pPr>
        <w:pStyle w:val="CodeBlock"/>
      </w:pPr>
      <w:r>
        <w:t xml:space="preserve">    audit/                    # causal lineage and evidence manifests</w:t>
      </w:r>
    </w:p>
    <w:p>
      <w:pPr>
        <w:pStyle w:val="CodeBlock"/>
      </w:pPr>
      <w:r>
        <w:t xml:space="preserve">    observability/            # logs, metrics, traces, health, alerts</w:t>
      </w:r>
    </w:p>
    <w:p>
      <w:pPr>
        <w:pStyle w:val="CodeBlock"/>
      </w:pPr>
      <w:r>
        <w:t xml:space="preserve">    security/                 # policy, RBAC, secrets ports, integrity</w:t>
      </w:r>
    </w:p>
    <w:p>
      <w:pPr>
        <w:pStyle w:val="CodeBlock"/>
      </w:pPr>
      <w:r>
        <w:t xml:space="preserve">    operations/               # modes, kill/restrict, controlled commands</w:t>
      </w:r>
    </w:p>
    <w:p>
      <w:pPr>
        <w:pStyle w:val="CodeBlock"/>
      </w:pPr>
      <w:r>
        <w:t xml:space="preserve">    config/                   # typed/versioned settings and epochs</w:t>
      </w:r>
    </w:p>
    <w:p>
      <w:pPr>
        <w:pStyle w:val="CodeBlock"/>
      </w:pPr>
      <w:r>
        <w:t xml:space="preserve">  tests/</w:t>
      </w:r>
    </w:p>
    <w:p>
      <w:pPr>
        <w:pStyle w:val="CodeBlock"/>
      </w:pPr>
      <w:r>
        <w:t xml:space="preserve">    unit/ property/ contract/ component/ integration/</w:t>
      </w:r>
    </w:p>
    <w:p>
      <w:pPr>
        <w:pStyle w:val="CodeBlock"/>
      </w:pPr>
      <w:r>
        <w:t xml:space="preserve">    recovery/ concurrency/ fault_injection/ simulation/ acceptance/</w:t>
      </w:r>
    </w:p>
    <w:p>
      <w:pPr>
        <w:pStyle w:val="CodeBlock"/>
      </w:pPr>
      <w:r>
        <w:t xml:space="preserve">  tools/                      # non-production admin and evidence tooling</w:t>
      </w:r>
    </w:p>
    <w:p>
      <w:pPr>
        <w:pStyle w:val="CodeBlock"/>
      </w:pPr>
      <w:r>
        <w:t xml:space="preserve">  docs/                       # specs, ADRs, runbooks and catalogues</w:t>
      </w:r>
    </w:p>
    <w:p>
      <w:pPr>
        <w:pStyle w:val="CodeBlock"/>
      </w:pPr>
      <w:r>
        <w:t xml:space="preserve">  deploy/                     # containers, CI, manifests; no secrets</w:t>
      </w:r>
    </w:p>
    <w:p>
      <w:pPr>
        <w:pStyle w:val="Heading1"/>
      </w:pPr>
      <w:r>
        <w:t>5.1 Foundation defaults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584"/>
            <w:vAlign w:val="center"/>
            <w:shd w:fill="17365D"/>
          </w:tcPr>
          <w:p>
            <w:pPr>
              <w:spacing w:after="0"/>
            </w:pPr>
            <w:r/>
            <w:r>
              <w:rPr>
                <w:rFonts w:ascii="Aptos" w:hAnsi="Aptos"/>
                <w:b/>
                <w:color w:val="FFFFFF"/>
                <w:sz w:val="14"/>
              </w:rPr>
              <w:t>Area</w:t>
            </w:r>
          </w:p>
        </w:tc>
        <w:tc>
          <w:tcPr>
            <w:tcW w:type="dxa" w:w="4320"/>
            <w:vAlign w:val="center"/>
            <w:shd w:fill="17365D"/>
          </w:tcPr>
          <w:p>
            <w:pPr>
              <w:spacing w:after="0"/>
            </w:pPr>
            <w:r/>
            <w:r>
              <w:rPr>
                <w:rFonts w:ascii="Aptos" w:hAnsi="Aptos"/>
                <w:b/>
                <w:color w:val="FFFFFF"/>
                <w:sz w:val="14"/>
              </w:rPr>
              <w:t>Baseline decision</w:t>
            </w:r>
          </w:p>
        </w:tc>
        <w:tc>
          <w:tcPr>
            <w:tcW w:type="dxa" w:w="4464"/>
            <w:vAlign w:val="center"/>
            <w:shd w:fill="17365D"/>
          </w:tcPr>
          <w:p>
            <w:pPr>
              <w:spacing w:after="0"/>
            </w:pPr>
            <w:r/>
            <w:r>
              <w:rPr>
                <w:rFonts w:ascii="Aptos" w:hAnsi="Aptos"/>
                <w:b/>
                <w:color w:val="FFFFFF"/>
                <w:sz w:val="14"/>
              </w:rPr>
              <w:t>Control</w:t>
            </w:r>
          </w:p>
        </w:tc>
      </w:tr>
      <w:tr>
        <w:trPr>
          <w:cantSplit/>
        </w:trPr>
        <w:tc>
          <w:tcPr>
            <w:tcW w:type="dxa" w:w="1584"/>
            <w:vAlign w:val="center"/>
          </w:tcPr>
          <w:p>
            <w:pPr>
              <w:spacing w:after="0"/>
            </w:pPr>
            <w:r/>
            <w:r>
              <w:rPr>
                <w:rFonts w:ascii="Aptos" w:hAnsi="Aptos"/>
                <w:b w:val="0"/>
                <w:sz w:val="14"/>
              </w:rPr>
              <w:t>Python</w:t>
            </w:r>
          </w:p>
        </w:tc>
        <w:tc>
          <w:tcPr>
            <w:tcW w:type="dxa" w:w="4320"/>
            <w:vAlign w:val="center"/>
          </w:tcPr>
          <w:p>
            <w:pPr>
              <w:spacing w:after="0"/>
            </w:pPr>
            <w:r/>
            <w:r>
              <w:rPr>
                <w:rFonts w:ascii="Aptos" w:hAnsi="Aptos"/>
                <w:b w:val="0"/>
                <w:sz w:val="14"/>
              </w:rPr>
              <w:t>CPython 3.12.x, pinned patch in CI/release</w:t>
            </w:r>
          </w:p>
        </w:tc>
        <w:tc>
          <w:tcPr>
            <w:tcW w:type="dxa" w:w="4464"/>
            <w:vAlign w:val="center"/>
          </w:tcPr>
          <w:p>
            <w:pPr>
              <w:spacing w:after="0"/>
            </w:pPr>
            <w:r/>
            <w:r>
              <w:rPr>
                <w:rFonts w:ascii="Aptos" w:hAnsi="Aptos"/>
                <w:b w:val="0"/>
                <w:sz w:val="14"/>
              </w:rPr>
              <w:t>Version drift fails preflight.</w:t>
            </w:r>
          </w:p>
        </w:tc>
      </w:tr>
      <w:tr>
        <w:trPr>
          <w:cantSplit/>
        </w:trPr>
        <w:tc>
          <w:tcPr>
            <w:tcW w:type="dxa" w:w="1584"/>
            <w:vAlign w:val="center"/>
            <w:shd w:fill="EAF0F8"/>
          </w:tcPr>
          <w:p>
            <w:pPr>
              <w:spacing w:after="0"/>
            </w:pPr>
            <w:r/>
            <w:r>
              <w:rPr>
                <w:rFonts w:ascii="Aptos" w:hAnsi="Aptos"/>
                <w:b w:val="0"/>
                <w:sz w:val="14"/>
              </w:rPr>
              <w:t>Packaging</w:t>
            </w:r>
          </w:p>
        </w:tc>
        <w:tc>
          <w:tcPr>
            <w:tcW w:type="dxa" w:w="4320"/>
            <w:vAlign w:val="center"/>
            <w:shd w:fill="EAF0F8"/>
          </w:tcPr>
          <w:p>
            <w:pPr>
              <w:spacing w:after="0"/>
            </w:pPr>
            <w:r/>
            <w:r>
              <w:rPr>
                <w:rFonts w:ascii="Aptos" w:hAnsi="Aptos"/>
                <w:b w:val="0"/>
                <w:sz w:val="14"/>
              </w:rPr>
              <w:t>pyproject.toml plus uv lockfile</w:t>
            </w:r>
          </w:p>
        </w:tc>
        <w:tc>
          <w:tcPr>
            <w:tcW w:type="dxa" w:w="4464"/>
            <w:vAlign w:val="center"/>
            <w:shd w:fill="EAF0F8"/>
          </w:tcPr>
          <w:p>
            <w:pPr>
              <w:spacing w:after="0"/>
            </w:pPr>
            <w:r/>
            <w:r>
              <w:rPr>
                <w:rFonts w:ascii="Aptos" w:hAnsi="Aptos"/>
                <w:b w:val="0"/>
                <w:sz w:val="14"/>
              </w:rPr>
              <w:t>Frozen hashes in release evidence.</w:t>
            </w:r>
          </w:p>
        </w:tc>
      </w:tr>
      <w:tr>
        <w:trPr>
          <w:cantSplit/>
        </w:trPr>
        <w:tc>
          <w:tcPr>
            <w:tcW w:type="dxa" w:w="1584"/>
            <w:vAlign w:val="center"/>
          </w:tcPr>
          <w:p>
            <w:pPr>
              <w:spacing w:after="0"/>
            </w:pPr>
            <w:r/>
            <w:r>
              <w:rPr>
                <w:rFonts w:ascii="Aptos" w:hAnsi="Aptos"/>
                <w:b w:val="0"/>
                <w:sz w:val="14"/>
              </w:rPr>
              <w:t>Quality</w:t>
            </w:r>
          </w:p>
        </w:tc>
        <w:tc>
          <w:tcPr>
            <w:tcW w:type="dxa" w:w="4320"/>
            <w:vAlign w:val="center"/>
          </w:tcPr>
          <w:p>
            <w:pPr>
              <w:spacing w:after="0"/>
            </w:pPr>
            <w:r/>
            <w:r>
              <w:rPr>
                <w:rFonts w:ascii="Aptos" w:hAnsi="Aptos"/>
                <w:b w:val="0"/>
                <w:sz w:val="14"/>
              </w:rPr>
              <w:t>Ruff formatting/linting, mypy strict core, pytest</w:t>
            </w:r>
          </w:p>
        </w:tc>
        <w:tc>
          <w:tcPr>
            <w:tcW w:type="dxa" w:w="4464"/>
            <w:vAlign w:val="center"/>
          </w:tcPr>
          <w:p>
            <w:pPr>
              <w:spacing w:after="0"/>
            </w:pPr>
            <w:r/>
            <w:r>
              <w:rPr>
                <w:rFonts w:ascii="Aptos" w:hAnsi="Aptos"/>
                <w:b w:val="0"/>
                <w:sz w:val="14"/>
              </w:rPr>
              <w:t>CI blocking checks.</w:t>
            </w:r>
          </w:p>
        </w:tc>
      </w:tr>
      <w:tr>
        <w:trPr>
          <w:cantSplit/>
        </w:trPr>
        <w:tc>
          <w:tcPr>
            <w:tcW w:type="dxa" w:w="1584"/>
            <w:vAlign w:val="center"/>
            <w:shd w:fill="EAF0F8"/>
          </w:tcPr>
          <w:p>
            <w:pPr>
              <w:spacing w:after="0"/>
            </w:pPr>
            <w:r/>
            <w:r>
              <w:rPr>
                <w:rFonts w:ascii="Aptos" w:hAnsi="Aptos"/>
                <w:b w:val="0"/>
                <w:sz w:val="14"/>
              </w:rPr>
              <w:t>Models</w:t>
            </w:r>
          </w:p>
        </w:tc>
        <w:tc>
          <w:tcPr>
            <w:tcW w:type="dxa" w:w="4320"/>
            <w:vAlign w:val="center"/>
            <w:shd w:fill="EAF0F8"/>
          </w:tcPr>
          <w:p>
            <w:pPr>
              <w:spacing w:after="0"/>
            </w:pPr>
            <w:r/>
            <w:r>
              <w:rPr>
                <w:rFonts w:ascii="Aptos" w:hAnsi="Aptos"/>
                <w:b w:val="0"/>
                <w:sz w:val="14"/>
              </w:rPr>
              <w:t>Frozen dataclasses or Pydantic v2 at trust boundaries</w:t>
            </w:r>
          </w:p>
        </w:tc>
        <w:tc>
          <w:tcPr>
            <w:tcW w:type="dxa" w:w="4464"/>
            <w:vAlign w:val="center"/>
            <w:shd w:fill="EAF0F8"/>
          </w:tcPr>
          <w:p>
            <w:pPr>
              <w:spacing w:after="0"/>
            </w:pPr>
            <w:r/>
            <w:r>
              <w:rPr>
                <w:rFonts w:ascii="Aptos" w:hAnsi="Aptos"/>
                <w:b w:val="0"/>
                <w:sz w:val="14"/>
              </w:rPr>
              <w:t>Versioned schemas and rejection of unknown invalid data.</w:t>
            </w:r>
          </w:p>
        </w:tc>
      </w:tr>
      <w:tr>
        <w:trPr>
          <w:cantSplit/>
        </w:trPr>
        <w:tc>
          <w:tcPr>
            <w:tcW w:type="dxa" w:w="1584"/>
            <w:vAlign w:val="center"/>
          </w:tcPr>
          <w:p>
            <w:pPr>
              <w:spacing w:after="0"/>
            </w:pPr>
            <w:r/>
            <w:r>
              <w:rPr>
                <w:rFonts w:ascii="Aptos" w:hAnsi="Aptos"/>
                <w:b w:val="0"/>
                <w:sz w:val="14"/>
              </w:rPr>
              <w:t>Money</w:t>
            </w:r>
          </w:p>
        </w:tc>
        <w:tc>
          <w:tcPr>
            <w:tcW w:type="dxa" w:w="4320"/>
            <w:vAlign w:val="center"/>
          </w:tcPr>
          <w:p>
            <w:pPr>
              <w:spacing w:after="0"/>
            </w:pPr>
            <w:r/>
            <w:r>
              <w:rPr>
                <w:rFonts w:ascii="Aptos" w:hAnsi="Aptos"/>
                <w:b w:val="0"/>
                <w:sz w:val="14"/>
              </w:rPr>
              <w:t>Decimal with explicit currency and rounding policy</w:t>
            </w:r>
          </w:p>
        </w:tc>
        <w:tc>
          <w:tcPr>
            <w:tcW w:type="dxa" w:w="4464"/>
            <w:vAlign w:val="center"/>
          </w:tcPr>
          <w:p>
            <w:pPr>
              <w:spacing w:after="0"/>
            </w:pPr>
            <w:r/>
            <w:r>
              <w:rPr>
                <w:rFonts w:ascii="Aptos" w:hAnsi="Aptos"/>
                <w:b w:val="0"/>
                <w:sz w:val="14"/>
              </w:rPr>
              <w:t>No binary floating point for authoritative finance.</w:t>
            </w:r>
          </w:p>
        </w:tc>
      </w:tr>
      <w:tr>
        <w:trPr>
          <w:cantSplit/>
        </w:trPr>
        <w:tc>
          <w:tcPr>
            <w:tcW w:type="dxa" w:w="1584"/>
            <w:vAlign w:val="center"/>
            <w:shd w:fill="EAF0F8"/>
          </w:tcPr>
          <w:p>
            <w:pPr>
              <w:spacing w:after="0"/>
            </w:pPr>
            <w:r/>
            <w:r>
              <w:rPr>
                <w:rFonts w:ascii="Aptos" w:hAnsi="Aptos"/>
                <w:b w:val="0"/>
                <w:sz w:val="14"/>
              </w:rPr>
              <w:t>Database</w:t>
            </w:r>
          </w:p>
        </w:tc>
        <w:tc>
          <w:tcPr>
            <w:tcW w:type="dxa" w:w="4320"/>
            <w:vAlign w:val="center"/>
            <w:shd w:fill="EAF0F8"/>
          </w:tcPr>
          <w:p>
            <w:pPr>
              <w:spacing w:after="0"/>
            </w:pPr>
            <w:r/>
            <w:r>
              <w:rPr>
                <w:rFonts w:ascii="Aptos" w:hAnsi="Aptos"/>
                <w:b w:val="0"/>
                <w:sz w:val="14"/>
              </w:rPr>
              <w:t>PostgreSQL; Alembic migrations</w:t>
            </w:r>
          </w:p>
        </w:tc>
        <w:tc>
          <w:tcPr>
            <w:tcW w:type="dxa" w:w="4464"/>
            <w:vAlign w:val="center"/>
            <w:shd w:fill="EAF0F8"/>
          </w:tcPr>
          <w:p>
            <w:pPr>
              <w:spacing w:after="0"/>
            </w:pPr>
            <w:r/>
            <w:r>
              <w:rPr>
                <w:rFonts w:ascii="Aptos" w:hAnsi="Aptos"/>
                <w:b w:val="0"/>
                <w:sz w:val="14"/>
              </w:rPr>
              <w:t>Transactional outbox and append-only constraints.</w:t>
            </w:r>
          </w:p>
        </w:tc>
      </w:tr>
      <w:tr>
        <w:trPr>
          <w:cantSplit/>
        </w:trPr>
        <w:tc>
          <w:tcPr>
            <w:tcW w:type="dxa" w:w="1584"/>
            <w:vAlign w:val="center"/>
          </w:tcPr>
          <w:p>
            <w:pPr>
              <w:spacing w:after="0"/>
            </w:pPr>
            <w:r/>
            <w:r>
              <w:rPr>
                <w:rFonts w:ascii="Aptos" w:hAnsi="Aptos"/>
                <w:b w:val="0"/>
                <w:sz w:val="14"/>
              </w:rPr>
              <w:t>Analytics</w:t>
            </w:r>
          </w:p>
        </w:tc>
        <w:tc>
          <w:tcPr>
            <w:tcW w:type="dxa" w:w="4320"/>
            <w:vAlign w:val="center"/>
          </w:tcPr>
          <w:p>
            <w:pPr>
              <w:spacing w:after="0"/>
            </w:pPr>
            <w:r/>
            <w:r>
              <w:rPr>
                <w:rFonts w:ascii="Aptos" w:hAnsi="Aptos"/>
                <w:b w:val="0"/>
                <w:sz w:val="14"/>
              </w:rPr>
              <w:t>Immutable versioned Parquet/Arrow datasets</w:t>
            </w:r>
          </w:p>
        </w:tc>
        <w:tc>
          <w:tcPr>
            <w:tcW w:type="dxa" w:w="4464"/>
            <w:vAlign w:val="center"/>
          </w:tcPr>
          <w:p>
            <w:pPr>
              <w:spacing w:after="0"/>
            </w:pPr>
            <w:r/>
            <w:r>
              <w:rPr>
                <w:rFonts w:ascii="Aptos" w:hAnsi="Aptos"/>
                <w:b w:val="0"/>
                <w:sz w:val="14"/>
              </w:rPr>
              <w:t>Content hashes and point-in-time manifests.</w:t>
            </w:r>
          </w:p>
        </w:tc>
      </w:tr>
      <w:tr>
        <w:trPr>
          <w:cantSplit/>
        </w:trPr>
        <w:tc>
          <w:tcPr>
            <w:tcW w:type="dxa" w:w="1584"/>
            <w:vAlign w:val="center"/>
            <w:shd w:fill="EAF0F8"/>
          </w:tcPr>
          <w:p>
            <w:pPr>
              <w:spacing w:after="0"/>
            </w:pPr>
            <w:r/>
            <w:r>
              <w:rPr>
                <w:rFonts w:ascii="Aptos" w:hAnsi="Aptos"/>
                <w:b w:val="0"/>
                <w:sz w:val="14"/>
              </w:rPr>
              <w:t>Secrets</w:t>
            </w:r>
          </w:p>
        </w:tc>
        <w:tc>
          <w:tcPr>
            <w:tcW w:type="dxa" w:w="4320"/>
            <w:vAlign w:val="center"/>
            <w:shd w:fill="EAF0F8"/>
          </w:tcPr>
          <w:p>
            <w:pPr>
              <w:spacing w:after="0"/>
            </w:pPr>
            <w:r/>
            <w:r>
              <w:rPr>
                <w:rFonts w:ascii="Aptos" w:hAnsi="Aptos"/>
                <w:b w:val="0"/>
                <w:sz w:val="14"/>
              </w:rPr>
              <w:t>Injected secret-provider interface; never config/source</w:t>
            </w:r>
          </w:p>
        </w:tc>
        <w:tc>
          <w:tcPr>
            <w:tcW w:type="dxa" w:w="4464"/>
            <w:vAlign w:val="center"/>
            <w:shd w:fill="EAF0F8"/>
          </w:tcPr>
          <w:p>
            <w:pPr>
              <w:spacing w:after="0"/>
            </w:pPr>
            <w:r/>
            <w:r>
              <w:rPr>
                <w:rFonts w:ascii="Aptos" w:hAnsi="Aptos"/>
                <w:b w:val="0"/>
                <w:sz w:val="14"/>
              </w:rPr>
              <w:t>Environment- and privilege-scoped.</w:t>
            </w:r>
          </w:p>
        </w:tc>
      </w:tr>
      <w:tr>
        <w:trPr>
          <w:cantSplit/>
        </w:trPr>
        <w:tc>
          <w:tcPr>
            <w:tcW w:type="dxa" w:w="1584"/>
            <w:vAlign w:val="center"/>
          </w:tcPr>
          <w:p>
            <w:pPr>
              <w:spacing w:after="0"/>
            </w:pPr>
            <w:r/>
            <w:r>
              <w:rPr>
                <w:rFonts w:ascii="Aptos" w:hAnsi="Aptos"/>
                <w:b w:val="0"/>
                <w:sz w:val="14"/>
              </w:rPr>
              <w:t>Local profile</w:t>
            </w:r>
          </w:p>
        </w:tc>
        <w:tc>
          <w:tcPr>
            <w:tcW w:type="dxa" w:w="4320"/>
            <w:vAlign w:val="center"/>
          </w:tcPr>
          <w:p>
            <w:pPr>
              <w:spacing w:after="0"/>
            </w:pPr>
            <w:r/>
            <w:r>
              <w:rPr>
                <w:rFonts w:ascii="Aptos" w:hAnsi="Aptos"/>
                <w:b w:val="0"/>
                <w:sz w:val="14"/>
              </w:rPr>
              <w:t>Resource-conscious single-process services</w:t>
            </w:r>
          </w:p>
        </w:tc>
        <w:tc>
          <w:tcPr>
            <w:tcW w:type="dxa" w:w="4464"/>
            <w:vAlign w:val="center"/>
          </w:tcPr>
          <w:p>
            <w:pPr>
              <w:spacing w:after="0"/>
            </w:pPr>
            <w:r/>
            <w:r>
              <w:rPr>
                <w:rFonts w:ascii="Aptos" w:hAnsi="Aptos"/>
                <w:b w:val="0"/>
                <w:sz w:val="14"/>
              </w:rPr>
              <w:t>Production remains separately deployable.</w:t>
            </w:r>
          </w:p>
        </w:tc>
      </w:tr>
    </w:tbl>
    <w:p>
      <w:pPr>
        <w:spacing w:after="0"/>
      </w:pPr>
    </w:p>
    <w:p>
      <w:pPr>
        <w:pStyle w:val="Title"/>
      </w:pPr>
      <w:r>
        <w:t>6. Canonical Contracts and State Ownership</w:t>
      </w:r>
    </w:p>
    <w:p>
      <w:pPr>
        <w:pStyle w:val="Heading1"/>
      </w:pPr>
      <w:r>
        <w:t>6.1 Identity primitives</w:t>
      </w:r>
    </w:p>
    <w:tbl>
      <w:tblPr>
        <w:tblStyle w:val="TableGrid"/>
        <w:tblW w:type="auto" w:w="0"/>
        <w:jc w:val="center"/>
        <w:tblLook w:firstColumn="1" w:firstRow="1" w:lastColumn="0" w:lastRow="0" w:noHBand="0" w:noVBand="1" w:val="04A0"/>
      </w:tblPr>
      <w:tblGrid>
        <w:gridCol w:w="5112"/>
        <w:gridCol w:w="5112"/>
      </w:tblGrid>
      <w:tr>
        <w:trPr>
          <w:cantSplit/>
        </w:trPr>
        <w:tc>
          <w:tcPr>
            <w:tcW w:type="dxa" w:w="2736"/>
            <w:vAlign w:val="center"/>
            <w:shd w:fill="17365D"/>
          </w:tcPr>
          <w:p>
            <w:pPr>
              <w:spacing w:after="0"/>
            </w:pPr>
            <w:r/>
            <w:r>
              <w:rPr>
                <w:rFonts w:ascii="Aptos" w:hAnsi="Aptos"/>
                <w:b/>
                <w:color w:val="FFFFFF"/>
                <w:sz w:val="14"/>
              </w:rPr>
              <w:t>Primitive</w:t>
            </w:r>
          </w:p>
        </w:tc>
        <w:tc>
          <w:tcPr>
            <w:tcW w:type="dxa" w:w="7632"/>
            <w:vAlign w:val="center"/>
            <w:shd w:fill="17365D"/>
          </w:tcPr>
          <w:p>
            <w:pPr>
              <w:spacing w:after="0"/>
            </w:pPr>
            <w:r/>
            <w:r>
              <w:rPr>
                <w:rFonts w:ascii="Aptos" w:hAnsi="Aptos"/>
                <w:b/>
                <w:color w:val="FFFFFF"/>
                <w:sz w:val="14"/>
              </w:rPr>
              <w:t>Representation/constraint</w:t>
            </w:r>
          </w:p>
        </w:tc>
      </w:tr>
      <w:tr>
        <w:trPr>
          <w:cantSplit/>
        </w:trPr>
        <w:tc>
          <w:tcPr>
            <w:tcW w:type="dxa" w:w="2736"/>
            <w:vAlign w:val="center"/>
          </w:tcPr>
          <w:p>
            <w:pPr>
              <w:spacing w:after="0"/>
            </w:pPr>
            <w:r/>
            <w:r>
              <w:rPr>
                <w:rFonts w:ascii="Aptos" w:hAnsi="Aptos"/>
                <w:b w:val="0"/>
                <w:sz w:val="14"/>
              </w:rPr>
              <w:t>AggregateId</w:t>
            </w:r>
          </w:p>
        </w:tc>
        <w:tc>
          <w:tcPr>
            <w:tcW w:type="dxa" w:w="7632"/>
            <w:vAlign w:val="center"/>
          </w:tcPr>
          <w:p>
            <w:pPr>
              <w:spacing w:after="0"/>
            </w:pPr>
            <w:r/>
            <w:r>
              <w:rPr>
                <w:rFonts w:ascii="Aptos" w:hAnsi="Aptos"/>
                <w:b w:val="0"/>
                <w:sz w:val="14"/>
              </w:rPr>
              <w:t>UUIDv7 preferred; globally unique and time-sortable without implying event order.</w:t>
            </w:r>
          </w:p>
        </w:tc>
      </w:tr>
      <w:tr>
        <w:trPr>
          <w:cantSplit/>
        </w:trPr>
        <w:tc>
          <w:tcPr>
            <w:tcW w:type="dxa" w:w="2736"/>
            <w:vAlign w:val="center"/>
            <w:shd w:fill="EAF0F8"/>
          </w:tcPr>
          <w:p>
            <w:pPr>
              <w:spacing w:after="0"/>
            </w:pPr>
            <w:r/>
            <w:r>
              <w:rPr>
                <w:rFonts w:ascii="Aptos" w:hAnsi="Aptos"/>
                <w:b w:val="0"/>
                <w:sz w:val="14"/>
              </w:rPr>
              <w:t>IdempotencyKey</w:t>
            </w:r>
          </w:p>
        </w:tc>
        <w:tc>
          <w:tcPr>
            <w:tcW w:type="dxa" w:w="7632"/>
            <w:vAlign w:val="center"/>
            <w:shd w:fill="EAF0F8"/>
          </w:tcPr>
          <w:p>
            <w:pPr>
              <w:spacing w:after="0"/>
            </w:pPr>
            <w:r/>
            <w:r>
              <w:rPr>
                <w:rFonts w:ascii="Aptos" w:hAnsi="Aptos"/>
                <w:b w:val="0"/>
                <w:sz w:val="14"/>
              </w:rPr>
              <w:t>Opaque, stable across retries; scoped by operation and authority epoch.</w:t>
            </w:r>
          </w:p>
        </w:tc>
      </w:tr>
      <w:tr>
        <w:trPr>
          <w:cantSplit/>
        </w:trPr>
        <w:tc>
          <w:tcPr>
            <w:tcW w:type="dxa" w:w="2736"/>
            <w:vAlign w:val="center"/>
          </w:tcPr>
          <w:p>
            <w:pPr>
              <w:spacing w:after="0"/>
            </w:pPr>
            <w:r/>
            <w:r>
              <w:rPr>
                <w:rFonts w:ascii="Aptos" w:hAnsi="Aptos"/>
                <w:b w:val="0"/>
                <w:sz w:val="14"/>
              </w:rPr>
              <w:t>CorrelationId / CausationId</w:t>
            </w:r>
          </w:p>
        </w:tc>
        <w:tc>
          <w:tcPr>
            <w:tcW w:type="dxa" w:w="7632"/>
            <w:vAlign w:val="center"/>
          </w:tcPr>
          <w:p>
            <w:pPr>
              <w:spacing w:after="0"/>
            </w:pPr>
            <w:r/>
            <w:r>
              <w:rPr>
                <w:rFonts w:ascii="Aptos" w:hAnsi="Aptos"/>
                <w:b w:val="0"/>
                <w:sz w:val="14"/>
              </w:rPr>
              <w:t>Required on financially material commands/events.</w:t>
            </w:r>
          </w:p>
        </w:tc>
      </w:tr>
      <w:tr>
        <w:trPr>
          <w:cantSplit/>
        </w:trPr>
        <w:tc>
          <w:tcPr>
            <w:tcW w:type="dxa" w:w="2736"/>
            <w:vAlign w:val="center"/>
            <w:shd w:fill="EAF0F8"/>
          </w:tcPr>
          <w:p>
            <w:pPr>
              <w:spacing w:after="0"/>
            </w:pPr>
            <w:r/>
            <w:r>
              <w:rPr>
                <w:rFonts w:ascii="Aptos" w:hAnsi="Aptos"/>
                <w:b w:val="0"/>
                <w:sz w:val="14"/>
              </w:rPr>
              <w:t>EventId</w:t>
            </w:r>
          </w:p>
        </w:tc>
        <w:tc>
          <w:tcPr>
            <w:tcW w:type="dxa" w:w="7632"/>
            <w:vAlign w:val="center"/>
            <w:shd w:fill="EAF0F8"/>
          </w:tcPr>
          <w:p>
            <w:pPr>
              <w:spacing w:after="0"/>
            </w:pPr>
            <w:r/>
            <w:r>
              <w:rPr>
                <w:rFonts w:ascii="Aptos" w:hAnsi="Aptos"/>
                <w:b w:val="0"/>
                <w:sz w:val="14"/>
              </w:rPr>
              <w:t>Globally unique; durable deduplication key.</w:t>
            </w:r>
          </w:p>
        </w:tc>
      </w:tr>
      <w:tr>
        <w:trPr>
          <w:cantSplit/>
        </w:trPr>
        <w:tc>
          <w:tcPr>
            <w:tcW w:type="dxa" w:w="2736"/>
            <w:vAlign w:val="center"/>
          </w:tcPr>
          <w:p>
            <w:pPr>
              <w:spacing w:after="0"/>
            </w:pPr>
            <w:r/>
            <w:r>
              <w:rPr>
                <w:rFonts w:ascii="Aptos" w:hAnsi="Aptos"/>
                <w:b w:val="0"/>
                <w:sz w:val="14"/>
              </w:rPr>
              <w:t>BrokerOrderRef / BrokerFillRef</w:t>
            </w:r>
          </w:p>
        </w:tc>
        <w:tc>
          <w:tcPr>
            <w:tcW w:type="dxa" w:w="7632"/>
            <w:vAlign w:val="center"/>
          </w:tcPr>
          <w:p>
            <w:pPr>
              <w:spacing w:after="0"/>
            </w:pPr>
            <w:r/>
            <w:r>
              <w:rPr>
                <w:rFonts w:ascii="Aptos" w:hAnsi="Aptos"/>
                <w:b w:val="0"/>
                <w:sz w:val="14"/>
              </w:rPr>
              <w:t>Broker-native identity plus broker/account/venue scope.</w:t>
            </w:r>
          </w:p>
        </w:tc>
      </w:tr>
      <w:tr>
        <w:trPr>
          <w:cantSplit/>
        </w:trPr>
        <w:tc>
          <w:tcPr>
            <w:tcW w:type="dxa" w:w="2736"/>
            <w:vAlign w:val="center"/>
            <w:shd w:fill="EAF0F8"/>
          </w:tcPr>
          <w:p>
            <w:pPr>
              <w:spacing w:after="0"/>
            </w:pPr>
            <w:r/>
            <w:r>
              <w:rPr>
                <w:rFonts w:ascii="Aptos" w:hAnsi="Aptos"/>
                <w:b w:val="0"/>
                <w:sz w:val="14"/>
              </w:rPr>
              <w:t>VersionId</w:t>
            </w:r>
          </w:p>
        </w:tc>
        <w:tc>
          <w:tcPr>
            <w:tcW w:type="dxa" w:w="7632"/>
            <w:vAlign w:val="center"/>
            <w:shd w:fill="EAF0F8"/>
          </w:tcPr>
          <w:p>
            <w:pPr>
              <w:spacing w:after="0"/>
            </w:pPr>
            <w:r/>
            <w:r>
              <w:rPr>
                <w:rFonts w:ascii="Aptos" w:hAnsi="Aptos"/>
                <w:b w:val="0"/>
                <w:sz w:val="14"/>
              </w:rPr>
              <w:t>Immutable content-addressed or explicit semantic identity.</w:t>
            </w:r>
          </w:p>
        </w:tc>
      </w:tr>
      <w:tr>
        <w:trPr>
          <w:cantSplit/>
        </w:trPr>
        <w:tc>
          <w:tcPr>
            <w:tcW w:type="dxa" w:w="2736"/>
            <w:vAlign w:val="center"/>
          </w:tcPr>
          <w:p>
            <w:pPr>
              <w:spacing w:after="0"/>
            </w:pPr>
            <w:r/>
            <w:r>
              <w:rPr>
                <w:rFonts w:ascii="Aptos" w:hAnsi="Aptos"/>
                <w:b w:val="0"/>
                <w:sz w:val="14"/>
              </w:rPr>
              <w:t>AuthorityEpoch / FenceToken</w:t>
            </w:r>
          </w:p>
        </w:tc>
        <w:tc>
          <w:tcPr>
            <w:tcW w:type="dxa" w:w="7632"/>
            <w:vAlign w:val="center"/>
          </w:tcPr>
          <w:p>
            <w:pPr>
              <w:spacing w:after="0"/>
            </w:pPr>
            <w:r/>
            <w:r>
              <w:rPr>
                <w:rFonts w:ascii="Aptos" w:hAnsi="Aptos"/>
                <w:b w:val="0"/>
                <w:sz w:val="14"/>
              </w:rPr>
              <w:t>Monotonic per protected side-effect domain.</w:t>
            </w:r>
          </w:p>
        </w:tc>
      </w:tr>
      <w:tr>
        <w:trPr>
          <w:cantSplit/>
        </w:trPr>
        <w:tc>
          <w:tcPr>
            <w:tcW w:type="dxa" w:w="2736"/>
            <w:vAlign w:val="center"/>
            <w:shd w:fill="EAF0F8"/>
          </w:tcPr>
          <w:p>
            <w:pPr>
              <w:spacing w:after="0"/>
            </w:pPr>
            <w:r/>
            <w:r>
              <w:rPr>
                <w:rFonts w:ascii="Aptos" w:hAnsi="Aptos"/>
                <w:b w:val="0"/>
                <w:sz w:val="14"/>
              </w:rPr>
              <w:t>Timestamp</w:t>
            </w:r>
          </w:p>
        </w:tc>
        <w:tc>
          <w:tcPr>
            <w:tcW w:type="dxa" w:w="7632"/>
            <w:vAlign w:val="center"/>
            <w:shd w:fill="EAF0F8"/>
          </w:tcPr>
          <w:p>
            <w:pPr>
              <w:spacing w:after="0"/>
            </w:pPr>
            <w:r/>
            <w:r>
              <w:rPr>
                <w:rFonts w:ascii="Aptos" w:hAnsi="Aptos"/>
                <w:b w:val="0"/>
                <w:sz w:val="14"/>
              </w:rPr>
              <w:t>Timezone-aware UTC instant; source, precision and uncertainty recorded where material.</w:t>
            </w:r>
          </w:p>
        </w:tc>
      </w:tr>
      <w:tr>
        <w:trPr>
          <w:cantSplit/>
        </w:trPr>
        <w:tc>
          <w:tcPr>
            <w:tcW w:type="dxa" w:w="2736"/>
            <w:vAlign w:val="center"/>
          </w:tcPr>
          <w:p>
            <w:pPr>
              <w:spacing w:after="0"/>
            </w:pPr>
            <w:r/>
            <w:r>
              <w:rPr>
                <w:rFonts w:ascii="Aptos" w:hAnsi="Aptos"/>
                <w:b w:val="0"/>
                <w:sz w:val="14"/>
              </w:rPr>
              <w:t>Money</w:t>
            </w:r>
          </w:p>
        </w:tc>
        <w:tc>
          <w:tcPr>
            <w:tcW w:type="dxa" w:w="7632"/>
            <w:vAlign w:val="center"/>
          </w:tcPr>
          <w:p>
            <w:pPr>
              <w:spacing w:after="0"/>
            </w:pPr>
            <w:r/>
            <w:r>
              <w:rPr>
                <w:rFonts w:ascii="Aptos" w:hAnsi="Aptos"/>
                <w:b w:val="0"/>
                <w:sz w:val="14"/>
              </w:rPr>
              <w:t>Decimal amount plus ISO currency; explicit rounding.</w:t>
            </w:r>
          </w:p>
        </w:tc>
      </w:tr>
      <w:tr>
        <w:trPr>
          <w:cantSplit/>
        </w:trPr>
        <w:tc>
          <w:tcPr>
            <w:tcW w:type="dxa" w:w="2736"/>
            <w:vAlign w:val="center"/>
            <w:shd w:fill="EAF0F8"/>
          </w:tcPr>
          <w:p>
            <w:pPr>
              <w:spacing w:after="0"/>
            </w:pPr>
            <w:r/>
            <w:r>
              <w:rPr>
                <w:rFonts w:ascii="Aptos" w:hAnsi="Aptos"/>
                <w:b w:val="0"/>
                <w:sz w:val="14"/>
              </w:rPr>
              <w:t>Quantity</w:t>
            </w:r>
          </w:p>
        </w:tc>
        <w:tc>
          <w:tcPr>
            <w:tcW w:type="dxa" w:w="7632"/>
            <w:vAlign w:val="center"/>
            <w:shd w:fill="EAF0F8"/>
          </w:tcPr>
          <w:p>
            <w:pPr>
              <w:spacing w:after="0"/>
            </w:pPr>
            <w:r/>
            <w:r>
              <w:rPr>
                <w:rFonts w:ascii="Aptos" w:hAnsi="Aptos"/>
                <w:b w:val="0"/>
                <w:sz w:val="14"/>
              </w:rPr>
              <w:t>Decimal with instrument-specific increment/precision.</w:t>
            </w:r>
          </w:p>
        </w:tc>
      </w:tr>
    </w:tbl>
    <w:p>
      <w:pPr>
        <w:spacing w:after="0"/>
      </w:pPr>
    </w:p>
    <w:p>
      <w:pPr>
        <w:pStyle w:val="Heading1"/>
      </w:pPr>
      <w:r>
        <w:t>6.2 Authoritative ownership</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448"/>
            <w:vAlign w:val="center"/>
            <w:shd w:fill="17365D"/>
          </w:tcPr>
          <w:p>
            <w:pPr>
              <w:spacing w:after="0"/>
            </w:pPr>
            <w:r/>
            <w:r>
              <w:rPr>
                <w:rFonts w:ascii="Aptos" w:hAnsi="Aptos"/>
                <w:b/>
                <w:color w:val="FFFFFF"/>
                <w:sz w:val="14"/>
              </w:rPr>
              <w:t>State</w:t>
            </w:r>
          </w:p>
        </w:tc>
        <w:tc>
          <w:tcPr>
            <w:tcW w:type="dxa" w:w="3888"/>
            <w:vAlign w:val="center"/>
            <w:shd w:fill="17365D"/>
          </w:tcPr>
          <w:p>
            <w:pPr>
              <w:spacing w:after="0"/>
            </w:pPr>
            <w:r/>
            <w:r>
              <w:rPr>
                <w:rFonts w:ascii="Aptos" w:hAnsi="Aptos"/>
                <w:b/>
                <w:color w:val="FFFFFF"/>
                <w:sz w:val="14"/>
              </w:rPr>
              <w:t>Authority</w:t>
            </w:r>
          </w:p>
        </w:tc>
        <w:tc>
          <w:tcPr>
            <w:tcW w:type="dxa" w:w="4032"/>
            <w:vAlign w:val="center"/>
            <w:shd w:fill="17365D"/>
          </w:tcPr>
          <w:p>
            <w:pPr>
              <w:spacing w:after="0"/>
            </w:pPr>
            <w:r/>
            <w:r>
              <w:rPr>
                <w:rFonts w:ascii="Aptos" w:hAnsi="Aptos"/>
                <w:b/>
                <w:color w:val="FFFFFF"/>
                <w:sz w:val="14"/>
              </w:rPr>
              <w:t>Persistence rule</w:t>
            </w:r>
          </w:p>
        </w:tc>
      </w:tr>
      <w:tr>
        <w:trPr>
          <w:cantSplit/>
        </w:trPr>
        <w:tc>
          <w:tcPr>
            <w:tcW w:type="dxa" w:w="2448"/>
            <w:vAlign w:val="center"/>
          </w:tcPr>
          <w:p>
            <w:pPr>
              <w:spacing w:after="0"/>
            </w:pPr>
            <w:r/>
            <w:r>
              <w:rPr>
                <w:rFonts w:ascii="Aptos" w:hAnsi="Aptos"/>
                <w:b w:val="0"/>
                <w:sz w:val="14"/>
              </w:rPr>
              <w:t>Decision/NO-TRADE</w:t>
            </w:r>
          </w:p>
        </w:tc>
        <w:tc>
          <w:tcPr>
            <w:tcW w:type="dxa" w:w="3888"/>
            <w:vAlign w:val="center"/>
          </w:tcPr>
          <w:p>
            <w:pPr>
              <w:spacing w:after="0"/>
            </w:pPr>
            <w:r/>
            <w:r>
              <w:rPr>
                <w:rFonts w:ascii="Aptos" w:hAnsi="Aptos"/>
                <w:b w:val="0"/>
                <w:sz w:val="14"/>
              </w:rPr>
              <w:t>Internal decision history</w:t>
            </w:r>
          </w:p>
        </w:tc>
        <w:tc>
          <w:tcPr>
            <w:tcW w:type="dxa" w:w="4032"/>
            <w:vAlign w:val="center"/>
          </w:tcPr>
          <w:p>
            <w:pPr>
              <w:spacing w:after="0"/>
            </w:pPr>
            <w:r/>
            <w:r>
              <w:rPr>
                <w:rFonts w:ascii="Aptos" w:hAnsi="Aptos"/>
                <w:b w:val="0"/>
                <w:sz w:val="14"/>
              </w:rPr>
              <w:t>Append-only, exact lineage and expiry.</w:t>
            </w:r>
          </w:p>
        </w:tc>
      </w:tr>
      <w:tr>
        <w:trPr>
          <w:cantSplit/>
        </w:trPr>
        <w:tc>
          <w:tcPr>
            <w:tcW w:type="dxa" w:w="2448"/>
            <w:vAlign w:val="center"/>
            <w:shd w:fill="EAF0F8"/>
          </w:tcPr>
          <w:p>
            <w:pPr>
              <w:spacing w:after="0"/>
            </w:pPr>
            <w:r/>
            <w:r>
              <w:rPr>
                <w:rFonts w:ascii="Aptos" w:hAnsi="Aptos"/>
                <w:b w:val="0"/>
                <w:sz w:val="14"/>
              </w:rPr>
              <w:t>Authorization</w:t>
            </w:r>
          </w:p>
        </w:tc>
        <w:tc>
          <w:tcPr>
            <w:tcW w:type="dxa" w:w="3888"/>
            <w:vAlign w:val="center"/>
            <w:shd w:fill="EAF0F8"/>
          </w:tcPr>
          <w:p>
            <w:pPr>
              <w:spacing w:after="0"/>
            </w:pPr>
            <w:r/>
            <w:r>
              <w:rPr>
                <w:rFonts w:ascii="Aptos" w:hAnsi="Aptos"/>
                <w:b w:val="0"/>
                <w:sz w:val="14"/>
              </w:rPr>
              <w:t>Independent gateway evidence</w:t>
            </w:r>
          </w:p>
        </w:tc>
        <w:tc>
          <w:tcPr>
            <w:tcW w:type="dxa" w:w="4032"/>
            <w:vAlign w:val="center"/>
            <w:shd w:fill="EAF0F8"/>
          </w:tcPr>
          <w:p>
            <w:pPr>
              <w:spacing w:after="0"/>
            </w:pPr>
            <w:r/>
            <w:r>
              <w:rPr>
                <w:rFonts w:ascii="Aptos" w:hAnsi="Aptos"/>
                <w:b w:val="0"/>
                <w:sz w:val="14"/>
              </w:rPr>
              <w:t>Immutable decision plus scope and validity window.</w:t>
            </w:r>
          </w:p>
        </w:tc>
      </w:tr>
      <w:tr>
        <w:trPr>
          <w:cantSplit/>
        </w:trPr>
        <w:tc>
          <w:tcPr>
            <w:tcW w:type="dxa" w:w="2448"/>
            <w:vAlign w:val="center"/>
          </w:tcPr>
          <w:p>
            <w:pPr>
              <w:spacing w:after="0"/>
            </w:pPr>
            <w:r/>
            <w:r>
              <w:rPr>
                <w:rFonts w:ascii="Aptos" w:hAnsi="Aptos"/>
                <w:b w:val="0"/>
                <w:sz w:val="14"/>
              </w:rPr>
              <w:t>Order intent/lifecycle</w:t>
            </w:r>
          </w:p>
        </w:tc>
        <w:tc>
          <w:tcPr>
            <w:tcW w:type="dxa" w:w="3888"/>
            <w:vAlign w:val="center"/>
          </w:tcPr>
          <w:p>
            <w:pPr>
              <w:spacing w:after="0"/>
            </w:pPr>
            <w:r/>
            <w:r>
              <w:rPr>
                <w:rFonts w:ascii="Aptos" w:hAnsi="Aptos"/>
                <w:b w:val="0"/>
                <w:sz w:val="14"/>
              </w:rPr>
              <w:t>OMS internal history</w:t>
            </w:r>
          </w:p>
        </w:tc>
        <w:tc>
          <w:tcPr>
            <w:tcW w:type="dxa" w:w="4032"/>
            <w:vAlign w:val="center"/>
          </w:tcPr>
          <w:p>
            <w:pPr>
              <w:spacing w:after="0"/>
            </w:pPr>
            <w:r/>
            <w:r>
              <w:rPr>
                <w:rFonts w:ascii="Aptos" w:hAnsi="Aptos"/>
                <w:b w:val="0"/>
                <w:sz w:val="14"/>
              </w:rPr>
              <w:t>State transition events; no destructive rewrites.</w:t>
            </w:r>
          </w:p>
        </w:tc>
      </w:tr>
      <w:tr>
        <w:trPr>
          <w:cantSplit/>
        </w:trPr>
        <w:tc>
          <w:tcPr>
            <w:tcW w:type="dxa" w:w="2448"/>
            <w:vAlign w:val="center"/>
            <w:shd w:fill="EAF0F8"/>
          </w:tcPr>
          <w:p>
            <w:pPr>
              <w:spacing w:after="0"/>
            </w:pPr>
            <w:r/>
            <w:r>
              <w:rPr>
                <w:rFonts w:ascii="Aptos" w:hAnsi="Aptos"/>
                <w:b w:val="0"/>
                <w:sz w:val="14"/>
              </w:rPr>
              <w:t>External order/fill</w:t>
            </w:r>
          </w:p>
        </w:tc>
        <w:tc>
          <w:tcPr>
            <w:tcW w:type="dxa" w:w="3888"/>
            <w:vAlign w:val="center"/>
            <w:shd w:fill="EAF0F8"/>
          </w:tcPr>
          <w:p>
            <w:pPr>
              <w:spacing w:after="0"/>
            </w:pPr>
            <w:r/>
            <w:r>
              <w:rPr>
                <w:rFonts w:ascii="Aptos" w:hAnsi="Aptos"/>
                <w:b w:val="0"/>
                <w:sz w:val="14"/>
              </w:rPr>
              <w:t>Broker evidence</w:t>
            </w:r>
          </w:p>
        </w:tc>
        <w:tc>
          <w:tcPr>
            <w:tcW w:type="dxa" w:w="4032"/>
            <w:vAlign w:val="center"/>
            <w:shd w:fill="EAF0F8"/>
          </w:tcPr>
          <w:p>
            <w:pPr>
              <w:spacing w:after="0"/>
            </w:pPr>
            <w:r/>
            <w:r>
              <w:rPr>
                <w:rFonts w:ascii="Aptos" w:hAnsi="Aptos"/>
                <w:b w:val="0"/>
                <w:sz w:val="14"/>
              </w:rPr>
              <w:t>Ingested verbatim + normalized canonical record.</w:t>
            </w:r>
          </w:p>
        </w:tc>
      </w:tr>
      <w:tr>
        <w:trPr>
          <w:cantSplit/>
        </w:trPr>
        <w:tc>
          <w:tcPr>
            <w:tcW w:type="dxa" w:w="2448"/>
            <w:vAlign w:val="center"/>
          </w:tcPr>
          <w:p>
            <w:pPr>
              <w:spacing w:after="0"/>
            </w:pPr>
            <w:r/>
            <w:r>
              <w:rPr>
                <w:rFonts w:ascii="Aptos" w:hAnsi="Aptos"/>
                <w:b w:val="0"/>
                <w:sz w:val="14"/>
              </w:rPr>
              <w:t>Position/cash/account reality</w:t>
            </w:r>
          </w:p>
        </w:tc>
        <w:tc>
          <w:tcPr>
            <w:tcW w:type="dxa" w:w="3888"/>
            <w:vAlign w:val="center"/>
          </w:tcPr>
          <w:p>
            <w:pPr>
              <w:spacing w:after="0"/>
            </w:pPr>
            <w:r/>
            <w:r>
              <w:rPr>
                <w:rFonts w:ascii="Aptos" w:hAnsi="Aptos"/>
                <w:b w:val="0"/>
                <w:sz w:val="14"/>
              </w:rPr>
              <w:t>Broker for external reality; ledger for internal accounting</w:t>
            </w:r>
          </w:p>
        </w:tc>
        <w:tc>
          <w:tcPr>
            <w:tcW w:type="dxa" w:w="4032"/>
            <w:vAlign w:val="center"/>
          </w:tcPr>
          <w:p>
            <w:pPr>
              <w:spacing w:after="0"/>
            </w:pPr>
            <w:r/>
            <w:r>
              <w:rPr>
                <w:rFonts w:ascii="Aptos" w:hAnsi="Aptos"/>
                <w:b w:val="0"/>
                <w:sz w:val="14"/>
              </w:rPr>
              <w:t>Reconciled snapshots and evidence.</w:t>
            </w:r>
          </w:p>
        </w:tc>
      </w:tr>
      <w:tr>
        <w:trPr>
          <w:cantSplit/>
        </w:trPr>
        <w:tc>
          <w:tcPr>
            <w:tcW w:type="dxa" w:w="2448"/>
            <w:vAlign w:val="center"/>
            <w:shd w:fill="EAF0F8"/>
          </w:tcPr>
          <w:p>
            <w:pPr>
              <w:spacing w:after="0"/>
            </w:pPr>
            <w:r/>
            <w:r>
              <w:rPr>
                <w:rFonts w:ascii="Aptos" w:hAnsi="Aptos"/>
                <w:b w:val="0"/>
                <w:sz w:val="14"/>
              </w:rPr>
              <w:t>Ledger</w:t>
            </w:r>
          </w:p>
        </w:tc>
        <w:tc>
          <w:tcPr>
            <w:tcW w:type="dxa" w:w="3888"/>
            <w:vAlign w:val="center"/>
            <w:shd w:fill="EAF0F8"/>
          </w:tcPr>
          <w:p>
            <w:pPr>
              <w:spacing w:after="0"/>
            </w:pPr>
            <w:r/>
            <w:r>
              <w:rPr>
                <w:rFonts w:ascii="Aptos" w:hAnsi="Aptos"/>
                <w:b w:val="0"/>
                <w:sz w:val="14"/>
              </w:rPr>
              <w:t>Internal financial event ledger</w:t>
            </w:r>
          </w:p>
        </w:tc>
        <w:tc>
          <w:tcPr>
            <w:tcW w:type="dxa" w:w="4032"/>
            <w:vAlign w:val="center"/>
            <w:shd w:fill="EAF0F8"/>
          </w:tcPr>
          <w:p>
            <w:pPr>
              <w:spacing w:after="0"/>
            </w:pPr>
            <w:r/>
            <w:r>
              <w:rPr>
                <w:rFonts w:ascii="Aptos" w:hAnsi="Aptos"/>
                <w:b w:val="0"/>
                <w:sz w:val="14"/>
              </w:rPr>
              <w:t>Append-only postings and linked reversals.</w:t>
            </w:r>
          </w:p>
        </w:tc>
      </w:tr>
      <w:tr>
        <w:trPr>
          <w:cantSplit/>
        </w:trPr>
        <w:tc>
          <w:tcPr>
            <w:tcW w:type="dxa" w:w="2448"/>
            <w:vAlign w:val="center"/>
          </w:tcPr>
          <w:p>
            <w:pPr>
              <w:spacing w:after="0"/>
            </w:pPr>
            <w:r/>
            <w:r>
              <w:rPr>
                <w:rFonts w:ascii="Aptos" w:hAnsi="Aptos"/>
                <w:b w:val="0"/>
                <w:sz w:val="14"/>
              </w:rPr>
              <w:t>Derived P&amp;L/metrics</w:t>
            </w:r>
          </w:p>
        </w:tc>
        <w:tc>
          <w:tcPr>
            <w:tcW w:type="dxa" w:w="3888"/>
            <w:vAlign w:val="center"/>
          </w:tcPr>
          <w:p>
            <w:pPr>
              <w:spacing w:after="0"/>
            </w:pPr>
            <w:r/>
            <w:r>
              <w:rPr>
                <w:rFonts w:ascii="Aptos" w:hAnsi="Aptos"/>
                <w:b w:val="0"/>
                <w:sz w:val="14"/>
              </w:rPr>
              <w:t>Reconstructible projection</w:t>
            </w:r>
          </w:p>
        </w:tc>
        <w:tc>
          <w:tcPr>
            <w:tcW w:type="dxa" w:w="4032"/>
            <w:vAlign w:val="center"/>
          </w:tcPr>
          <w:p>
            <w:pPr>
              <w:spacing w:after="0"/>
            </w:pPr>
            <w:r/>
            <w:r>
              <w:rPr>
                <w:rFonts w:ascii="Aptos" w:hAnsi="Aptos"/>
                <w:b w:val="0"/>
                <w:sz w:val="14"/>
              </w:rPr>
              <w:t>Versioned calculation policy.</w:t>
            </w:r>
          </w:p>
        </w:tc>
      </w:tr>
      <w:tr>
        <w:trPr>
          <w:cantSplit/>
        </w:trPr>
        <w:tc>
          <w:tcPr>
            <w:tcW w:type="dxa" w:w="2448"/>
            <w:vAlign w:val="center"/>
            <w:shd w:fill="EAF0F8"/>
          </w:tcPr>
          <w:p>
            <w:pPr>
              <w:spacing w:after="0"/>
            </w:pPr>
            <w:r/>
            <w:r>
              <w:rPr>
                <w:rFonts w:ascii="Aptos" w:hAnsi="Aptos"/>
                <w:b w:val="0"/>
                <w:sz w:val="14"/>
              </w:rPr>
              <w:t>Cache/runtime checkpoint</w:t>
            </w:r>
          </w:p>
        </w:tc>
        <w:tc>
          <w:tcPr>
            <w:tcW w:type="dxa" w:w="3888"/>
            <w:vAlign w:val="center"/>
            <w:shd w:fill="EAF0F8"/>
          </w:tcPr>
          <w:p>
            <w:pPr>
              <w:spacing w:after="0"/>
            </w:pPr>
            <w:r/>
            <w:r>
              <w:rPr>
                <w:rFonts w:ascii="Aptos" w:hAnsi="Aptos"/>
                <w:b w:val="0"/>
                <w:sz w:val="14"/>
              </w:rPr>
              <w:t>Ephemeral/derived</w:t>
            </w:r>
          </w:p>
        </w:tc>
        <w:tc>
          <w:tcPr>
            <w:tcW w:type="dxa" w:w="4032"/>
            <w:vAlign w:val="center"/>
            <w:shd w:fill="EAF0F8"/>
          </w:tcPr>
          <w:p>
            <w:pPr>
              <w:spacing w:after="0"/>
            </w:pPr>
            <w:r/>
            <w:r>
              <w:rPr>
                <w:rFonts w:ascii="Aptos" w:hAnsi="Aptos"/>
                <w:b w:val="0"/>
                <w:sz w:val="14"/>
              </w:rPr>
              <w:t>Never sufficient to authorize after recovery.</w:t>
            </w:r>
          </w:p>
        </w:tc>
      </w:tr>
    </w:tbl>
    <w:p>
      <w:pPr>
        <w:spacing w:after="0"/>
      </w:pPr>
    </w:p>
    <w:p>
      <w:pPr>
        <w:pStyle w:val="Heading1"/>
      </w:pPr>
      <w:r>
        <w:t>6.3 Minimum lifecycle states</w:t>
      </w:r>
    </w:p>
    <w:tbl>
      <w:tblPr>
        <w:tblStyle w:val="TableGrid"/>
        <w:tblW w:type="auto" w:w="0"/>
        <w:jc w:val="center"/>
        <w:tblLook w:firstColumn="1" w:firstRow="1" w:lastColumn="0" w:lastRow="0" w:noHBand="0" w:noVBand="1" w:val="04A0"/>
      </w:tblPr>
      <w:tblGrid>
        <w:gridCol w:w="5112"/>
        <w:gridCol w:w="5112"/>
      </w:tblGrid>
      <w:tr>
        <w:trPr>
          <w:cantSplit/>
        </w:trPr>
        <w:tc>
          <w:tcPr>
            <w:tcW w:type="dxa" w:w="2016"/>
            <w:vAlign w:val="center"/>
            <w:shd w:fill="17365D"/>
          </w:tcPr>
          <w:p>
            <w:pPr>
              <w:spacing w:after="0"/>
            </w:pPr>
            <w:r/>
            <w:r>
              <w:rPr>
                <w:rFonts w:ascii="Aptos" w:hAnsi="Aptos"/>
                <w:b/>
                <w:color w:val="FFFFFF"/>
                <w:sz w:val="14"/>
              </w:rPr>
              <w:t>Aggregate</w:t>
            </w:r>
          </w:p>
        </w:tc>
        <w:tc>
          <w:tcPr>
            <w:tcW w:type="dxa" w:w="8352"/>
            <w:vAlign w:val="center"/>
            <w:shd w:fill="17365D"/>
          </w:tcPr>
          <w:p>
            <w:pPr>
              <w:spacing w:after="0"/>
            </w:pPr>
            <w:r/>
            <w:r>
              <w:rPr>
                <w:rFonts w:ascii="Aptos" w:hAnsi="Aptos"/>
                <w:b/>
                <w:color w:val="FFFFFF"/>
                <w:sz w:val="14"/>
              </w:rPr>
              <w:t>States (minimum)</w:t>
            </w:r>
          </w:p>
        </w:tc>
      </w:tr>
      <w:tr>
        <w:trPr>
          <w:cantSplit/>
        </w:trPr>
        <w:tc>
          <w:tcPr>
            <w:tcW w:type="dxa" w:w="2016"/>
            <w:vAlign w:val="center"/>
          </w:tcPr>
          <w:p>
            <w:pPr>
              <w:spacing w:after="0"/>
            </w:pPr>
            <w:r/>
            <w:r>
              <w:rPr>
                <w:rFonts w:ascii="Aptos" w:hAnsi="Aptos"/>
                <w:b w:val="0"/>
                <w:sz w:val="14"/>
              </w:rPr>
              <w:t>Signal</w:t>
            </w:r>
          </w:p>
        </w:tc>
        <w:tc>
          <w:tcPr>
            <w:tcW w:type="dxa" w:w="8352"/>
            <w:vAlign w:val="center"/>
          </w:tcPr>
          <w:p>
            <w:pPr>
              <w:spacing w:after="0"/>
            </w:pPr>
            <w:r/>
            <w:r>
              <w:rPr>
                <w:rFonts w:ascii="Aptos" w:hAnsi="Aptos"/>
                <w:b w:val="0"/>
                <w:sz w:val="14"/>
              </w:rPr>
              <w:t>PROPOSED, VALID, STALE, EXPIRED, SUPERSEDED, INVALID</w:t>
            </w:r>
          </w:p>
        </w:tc>
      </w:tr>
      <w:tr>
        <w:trPr>
          <w:cantSplit/>
        </w:trPr>
        <w:tc>
          <w:tcPr>
            <w:tcW w:type="dxa" w:w="2016"/>
            <w:vAlign w:val="center"/>
            <w:shd w:fill="EAF0F8"/>
          </w:tcPr>
          <w:p>
            <w:pPr>
              <w:spacing w:after="0"/>
            </w:pPr>
            <w:r/>
            <w:r>
              <w:rPr>
                <w:rFonts w:ascii="Aptos" w:hAnsi="Aptos"/>
                <w:b w:val="0"/>
                <w:sz w:val="14"/>
              </w:rPr>
              <w:t>Decision</w:t>
            </w:r>
          </w:p>
        </w:tc>
        <w:tc>
          <w:tcPr>
            <w:tcW w:type="dxa" w:w="8352"/>
            <w:vAlign w:val="center"/>
            <w:shd w:fill="EAF0F8"/>
          </w:tcPr>
          <w:p>
            <w:pPr>
              <w:spacing w:after="0"/>
            </w:pPr>
            <w:r/>
            <w:r>
              <w:rPr>
                <w:rFonts w:ascii="Aptos" w:hAnsi="Aptos"/>
                <w:b w:val="0"/>
                <w:sz w:val="14"/>
              </w:rPr>
              <w:t>TRADE_PROPOSED, NO_TRADE, REJECTED, EXPIRED, INVALIDATED</w:t>
            </w:r>
          </w:p>
        </w:tc>
      </w:tr>
      <w:tr>
        <w:trPr>
          <w:cantSplit/>
        </w:trPr>
        <w:tc>
          <w:tcPr>
            <w:tcW w:type="dxa" w:w="2016"/>
            <w:vAlign w:val="center"/>
          </w:tcPr>
          <w:p>
            <w:pPr>
              <w:spacing w:after="0"/>
            </w:pPr>
            <w:r/>
            <w:r>
              <w:rPr>
                <w:rFonts w:ascii="Aptos" w:hAnsi="Aptos"/>
                <w:b w:val="0"/>
                <w:sz w:val="14"/>
              </w:rPr>
              <w:t>Authorization</w:t>
            </w:r>
          </w:p>
        </w:tc>
        <w:tc>
          <w:tcPr>
            <w:tcW w:type="dxa" w:w="8352"/>
            <w:vAlign w:val="center"/>
          </w:tcPr>
          <w:p>
            <w:pPr>
              <w:spacing w:after="0"/>
            </w:pPr>
            <w:r/>
            <w:r>
              <w:rPr>
                <w:rFonts w:ascii="Aptos" w:hAnsi="Aptos"/>
                <w:b w:val="0"/>
                <w:sz w:val="14"/>
              </w:rPr>
              <w:t>PENDING, APPROVED, REJECTED, UNKNOWN, EXPIRED, REVOKED, SUPERSEDED</w:t>
            </w:r>
          </w:p>
        </w:tc>
      </w:tr>
      <w:tr>
        <w:trPr>
          <w:cantSplit/>
        </w:trPr>
        <w:tc>
          <w:tcPr>
            <w:tcW w:type="dxa" w:w="2016"/>
            <w:vAlign w:val="center"/>
            <w:shd w:fill="EAF0F8"/>
          </w:tcPr>
          <w:p>
            <w:pPr>
              <w:spacing w:after="0"/>
            </w:pPr>
            <w:r/>
            <w:r>
              <w:rPr>
                <w:rFonts w:ascii="Aptos" w:hAnsi="Aptos"/>
                <w:b w:val="0"/>
                <w:sz w:val="14"/>
              </w:rPr>
              <w:t>Reservation</w:t>
            </w:r>
          </w:p>
        </w:tc>
        <w:tc>
          <w:tcPr>
            <w:tcW w:type="dxa" w:w="8352"/>
            <w:vAlign w:val="center"/>
            <w:shd w:fill="EAF0F8"/>
          </w:tcPr>
          <w:p>
            <w:r>
              <w:t>PENDING, ACTIVE, PARTIALLY_CONSUMED, HELD_UNKNOWN, RELEASED, EXPIRED_AUTHORITY</w:t>
            </w:r>
          </w:p>
        </w:tc>
      </w:tr>
      <w:tr>
        <w:trPr>
          <w:cantSplit/>
        </w:trPr>
        <w:tc>
          <w:tcPr>
            <w:tcW w:type="dxa" w:w="2016"/>
            <w:vAlign w:val="center"/>
          </w:tcPr>
          <w:p>
            <w:pPr>
              <w:spacing w:after="0"/>
            </w:pPr>
            <w:r/>
            <w:r>
              <w:rPr>
                <w:rFonts w:ascii="Aptos" w:hAnsi="Aptos"/>
                <w:b w:val="0"/>
                <w:sz w:val="14"/>
              </w:rPr>
              <w:t>Order</w:t>
            </w:r>
          </w:p>
        </w:tc>
        <w:tc>
          <w:tcPr>
            <w:tcW w:type="dxa" w:w="8352"/>
            <w:vAlign w:val="center"/>
          </w:tcPr>
          <w:p>
            <w:pPr>
              <w:spacing w:after="0"/>
            </w:pPr>
            <w:r/>
            <w:r>
              <w:rPr>
                <w:rFonts w:ascii="Aptos" w:hAnsi="Aptos"/>
                <w:b w:val="0"/>
                <w:sz w:val="14"/>
              </w:rPr>
              <w:t>DRAFT, VALIDATED, AUTHORIZED, SUBMISSION_PENDING, SUBMISSION_UNKNOWN, ACKNOWLEDGED, PARTIALLY_FILLED, FILLED, CANCEL_PENDING, CANCEL_UNKNOWN, CANCELLED, REPLACE_PENDING, REJECTED, EXPIRED, ORPHANED, RECONCILIATION_REQUIRED</w:t>
            </w:r>
          </w:p>
        </w:tc>
      </w:tr>
      <w:tr>
        <w:trPr>
          <w:cantSplit/>
        </w:trPr>
        <w:tc>
          <w:tcPr>
            <w:tcW w:type="dxa" w:w="2016"/>
            <w:vAlign w:val="center"/>
            <w:shd w:fill="EAF0F8"/>
          </w:tcPr>
          <w:p>
            <w:pPr>
              <w:spacing w:after="0"/>
            </w:pPr>
            <w:r/>
            <w:r>
              <w:rPr>
                <w:rFonts w:ascii="Aptos" w:hAnsi="Aptos"/>
                <w:b w:val="0"/>
                <w:sz w:val="14"/>
              </w:rPr>
              <w:t>Operational mode</w:t>
            </w:r>
          </w:p>
        </w:tc>
        <w:tc>
          <w:tcPr>
            <w:tcW w:type="dxa" w:w="8352"/>
            <w:vAlign w:val="center"/>
            <w:shd w:fill="EAF0F8"/>
          </w:tcPr>
          <w:p>
            <w:pPr>
              <w:spacing w:after="0"/>
            </w:pPr>
            <w:r/>
            <w:r>
              <w:rPr>
                <w:rFonts w:ascii="Aptos" w:hAnsi="Aptos"/>
                <w:b w:val="0"/>
                <w:sz w:val="14"/>
              </w:rPr>
              <w:t>NORMAL, DEGRADED, NO_NEW_ORDERS, READ_ONLY, CANCEL_ONLY, STRATEGY_DISABLED, INSTRUMENT_DISABLED, BROKER_DISABLED, HALTED</w:t>
            </w:r>
          </w:p>
        </w:tc>
      </w:tr>
      <w:tr>
        <w:trPr>
          <w:cantSplit/>
        </w:trPr>
        <w:tc>
          <w:tcPr>
            <w:tcW w:type="dxa" w:w="2016"/>
            <w:vAlign w:val="center"/>
          </w:tcPr>
          <w:p>
            <w:pPr>
              <w:spacing w:after="0"/>
            </w:pPr>
            <w:r/>
            <w:r>
              <w:rPr>
                <w:rFonts w:ascii="Aptos" w:hAnsi="Aptos"/>
                <w:b w:val="0"/>
                <w:sz w:val="14"/>
              </w:rPr>
              <w:t>Reconciliation case</w:t>
            </w:r>
          </w:p>
        </w:tc>
        <w:tc>
          <w:tcPr>
            <w:tcW w:type="dxa" w:w="8352"/>
            <w:vAlign w:val="center"/>
          </w:tcPr>
          <w:p>
            <w:pPr>
              <w:spacing w:after="0"/>
            </w:pPr>
            <w:r/>
            <w:r>
              <w:rPr>
                <w:rFonts w:ascii="Aptos" w:hAnsi="Aptos"/>
                <w:b w:val="0"/>
                <w:sz w:val="14"/>
              </w:rPr>
              <w:t>OPEN, INVESTIGATING, CONTAINED, CORRECTION_PENDING, RESOLVED, ESCALATED</w:t>
            </w:r>
          </w:p>
        </w:tc>
      </w:tr>
    </w:tbl>
    <w:p>
      <w:pPr/>
      <w:r>
        <w:rPr>
          <w:b/>
        </w:rPr>
        <w:t xml:space="preserve">Reservation-state clarification: </w:t>
      </w:r>
      <w:r>
        <w:t>expiry of reservation authority never by itself releases unresolved financial liability. Where broker/order effects remain unresolved, liability remains conservatively held (HELD_UNKNOWN or equivalent) until authoritative lifecycle/reconciliation evidence permits release.</w:t>
      </w:r>
    </w:p>
    <w:p>
      <w:pPr>
        <w:spacing w:after="0"/>
      </w:pPr>
    </w:p>
    <w:p>
      <w:pPr>
        <w:pStyle w:val="Title"/>
      </w:pPr>
      <w:r>
        <w:t>7. Initial Requirements Traceability Framework</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cantSplit/>
        </w:trPr>
        <w:tc>
          <w:tcPr>
            <w:tcW w:type="dxa" w:w="936"/>
            <w:vAlign w:val="center"/>
            <w:shd w:fill="17365D"/>
          </w:tcPr>
          <w:p>
            <w:pPr>
              <w:spacing w:after="0"/>
            </w:pPr>
            <w:r/>
            <w:r>
              <w:rPr>
                <w:rFonts w:ascii="Aptos" w:hAnsi="Aptos"/>
                <w:b/>
                <w:color w:val="FFFFFF"/>
                <w:sz w:val="14"/>
              </w:rPr>
              <w:t>ID</w:t>
            </w:r>
          </w:p>
        </w:tc>
        <w:tc>
          <w:tcPr>
            <w:tcW w:type="dxa" w:w="3672"/>
            <w:vAlign w:val="center"/>
            <w:shd w:fill="17365D"/>
          </w:tcPr>
          <w:p>
            <w:pPr>
              <w:spacing w:after="0"/>
            </w:pPr>
            <w:r/>
            <w:r>
              <w:rPr>
                <w:rFonts w:ascii="Aptos" w:hAnsi="Aptos"/>
                <w:b/>
                <w:color w:val="FFFFFF"/>
                <w:sz w:val="14"/>
              </w:rPr>
              <w:t>Requirement</w:t>
            </w:r>
          </w:p>
        </w:tc>
        <w:tc>
          <w:tcPr>
            <w:tcW w:type="dxa" w:w="1656"/>
            <w:vAlign w:val="center"/>
            <w:shd w:fill="17365D"/>
          </w:tcPr>
          <w:p>
            <w:pPr>
              <w:spacing w:after="0"/>
            </w:pPr>
            <w:r/>
            <w:r>
              <w:rPr>
                <w:rFonts w:ascii="Aptos" w:hAnsi="Aptos"/>
                <w:b/>
                <w:color w:val="FFFFFF"/>
                <w:sz w:val="14"/>
              </w:rPr>
              <w:t>Source</w:t>
            </w:r>
          </w:p>
        </w:tc>
        <w:tc>
          <w:tcPr>
            <w:tcW w:type="dxa" w:w="1656"/>
            <w:vAlign w:val="center"/>
            <w:shd w:fill="17365D"/>
          </w:tcPr>
          <w:p>
            <w:pPr>
              <w:spacing w:after="0"/>
            </w:pPr>
            <w:r/>
            <w:r>
              <w:rPr>
                <w:rFonts w:ascii="Aptos" w:hAnsi="Aptos"/>
                <w:b/>
                <w:color w:val="FFFFFF"/>
                <w:sz w:val="14"/>
              </w:rPr>
              <w:t>Owner</w:t>
            </w:r>
          </w:p>
        </w:tc>
        <w:tc>
          <w:tcPr>
            <w:tcW w:type="dxa" w:w="1656"/>
            <w:vAlign w:val="center"/>
            <w:shd w:fill="17365D"/>
          </w:tcPr>
          <w:p>
            <w:pPr>
              <w:spacing w:after="0"/>
            </w:pPr>
            <w:r/>
            <w:r>
              <w:rPr>
                <w:rFonts w:ascii="Aptos" w:hAnsi="Aptos"/>
                <w:b/>
                <w:color w:val="FFFFFF"/>
                <w:sz w:val="14"/>
              </w:rPr>
              <w:t>Verification</w:t>
            </w:r>
          </w:p>
        </w:tc>
        <w:tc>
          <w:tcPr>
            <w:tcW w:type="dxa" w:w="1872"/>
            <w:vAlign w:val="center"/>
            <w:shd w:fill="17365D"/>
          </w:tcPr>
          <w:p>
            <w:pPr>
              <w:spacing w:after="0"/>
            </w:pPr>
            <w:r/>
            <w:r>
              <w:rPr>
                <w:rFonts w:ascii="Aptos" w:hAnsi="Aptos"/>
                <w:b/>
                <w:color w:val="FFFFFF"/>
                <w:sz w:val="14"/>
              </w:rPr>
              <w:t>Evidence/control</w:t>
            </w:r>
          </w:p>
        </w:tc>
        <w:tc>
          <w:tcPr>
            <w:tcW w:type="dxa" w:w="936"/>
            <w:vAlign w:val="center"/>
            <w:shd w:fill="17365D"/>
          </w:tcPr>
          <w:p>
            <w:pPr>
              <w:spacing w:after="0"/>
            </w:pPr>
            <w:r/>
            <w:r>
              <w:rPr>
                <w:rFonts w:ascii="Aptos" w:hAnsi="Aptos"/>
                <w:b/>
                <w:color w:val="FFFFFF"/>
                <w:sz w:val="14"/>
              </w:rPr>
              <w:t>Status</w:t>
            </w:r>
          </w:p>
        </w:tc>
      </w:tr>
      <w:tr>
        <w:trPr>
          <w:cantSplit/>
        </w:trPr>
        <w:tc>
          <w:tcPr>
            <w:tcW w:type="dxa" w:w="936"/>
            <w:vAlign w:val="center"/>
          </w:tcPr>
          <w:p>
            <w:pPr>
              <w:spacing w:after="0"/>
            </w:pPr>
            <w:r/>
            <w:r>
              <w:rPr>
                <w:rFonts w:ascii="Aptos" w:hAnsi="Aptos"/>
                <w:b w:val="0"/>
                <w:sz w:val="11"/>
              </w:rPr>
              <w:t>IMP-001</w:t>
            </w:r>
          </w:p>
        </w:tc>
        <w:tc>
          <w:tcPr>
            <w:tcW w:type="dxa" w:w="3672"/>
            <w:vAlign w:val="center"/>
          </w:tcPr>
          <w:p>
            <w:pPr>
              <w:spacing w:after="0"/>
            </w:pPr>
            <w:r/>
            <w:r>
              <w:rPr>
                <w:rFonts w:ascii="Aptos" w:hAnsi="Aptos"/>
                <w:b w:val="0"/>
                <w:sz w:val="11"/>
              </w:rPr>
              <w:t>Canonical baseline registry with precedence and source status</w:t>
            </w:r>
          </w:p>
        </w:tc>
        <w:tc>
          <w:tcPr>
            <w:tcW w:type="dxa" w:w="1656"/>
            <w:vAlign w:val="center"/>
          </w:tcPr>
          <w:p>
            <w:pPr>
              <w:spacing w:after="0"/>
            </w:pPr>
            <w:r/>
            <w:r>
              <w:rPr>
                <w:rFonts w:ascii="Aptos" w:hAnsi="Aptos"/>
                <w:b w:val="0"/>
                <w:sz w:val="11"/>
              </w:rPr>
              <w:t>Closure v1.4 §1; R41 layer</w:t>
            </w:r>
          </w:p>
        </w:tc>
        <w:tc>
          <w:tcPr>
            <w:tcW w:type="dxa" w:w="1656"/>
            <w:vAlign w:val="center"/>
          </w:tcPr>
          <w:p>
            <w:pPr>
              <w:spacing w:after="0"/>
            </w:pPr>
            <w:r/>
            <w:r>
              <w:rPr>
                <w:rFonts w:ascii="Aptos" w:hAnsi="Aptos"/>
                <w:b w:val="0"/>
                <w:sz w:val="11"/>
              </w:rPr>
              <w:t>audit.baseline</w:t>
            </w:r>
          </w:p>
        </w:tc>
        <w:tc>
          <w:tcPr>
            <w:tcW w:type="dxa" w:w="1656"/>
            <w:vAlign w:val="center"/>
          </w:tcPr>
          <w:p>
            <w:pPr>
              <w:spacing w:after="0"/>
            </w:pPr>
            <w:r/>
            <w:r>
              <w:rPr>
                <w:rFonts w:ascii="Aptos" w:hAnsi="Aptos"/>
                <w:b w:val="0"/>
                <w:sz w:val="11"/>
              </w:rPr>
              <w:t>TST-AUD-001</w:t>
            </w:r>
          </w:p>
        </w:tc>
        <w:tc>
          <w:tcPr>
            <w:tcW w:type="dxa" w:w="1872"/>
            <w:vAlign w:val="center"/>
          </w:tcPr>
          <w:p>
            <w:pPr>
              <w:spacing w:after="0"/>
            </w:pPr>
            <w:r/>
            <w:r>
              <w:rPr>
                <w:rFonts w:ascii="Aptos" w:hAnsi="Aptos"/>
                <w:b w:val="0"/>
                <w:sz w:val="11"/>
              </w:rPr>
              <w:t>Baseline manifest hash</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IMP-002</w:t>
            </w:r>
          </w:p>
        </w:tc>
        <w:tc>
          <w:tcPr>
            <w:tcW w:type="dxa" w:w="3672"/>
            <w:vAlign w:val="center"/>
            <w:shd w:fill="EAF0F8"/>
          </w:tcPr>
          <w:p>
            <w:pPr>
              <w:spacing w:after="0"/>
            </w:pPr>
            <w:r/>
            <w:r>
              <w:rPr>
                <w:rFonts w:ascii="Aptos" w:hAnsi="Aptos"/>
                <w:b w:val="0"/>
                <w:sz w:val="11"/>
              </w:rPr>
              <w:t>Typed globally unique identifiers and causal linkage</w:t>
            </w:r>
          </w:p>
        </w:tc>
        <w:tc>
          <w:tcPr>
            <w:tcW w:type="dxa" w:w="1656"/>
            <w:vAlign w:val="center"/>
            <w:shd w:fill="EAF0F8"/>
          </w:tcPr>
          <w:p>
            <w:pPr>
              <w:spacing w:after="0"/>
            </w:pPr>
            <w:r/>
            <w:r>
              <w:rPr>
                <w:rFonts w:ascii="Aptos" w:hAnsi="Aptos"/>
                <w:b w:val="0"/>
                <w:sz w:val="11"/>
              </w:rPr>
              <w:t>R41-CI017</w:t>
            </w:r>
          </w:p>
        </w:tc>
        <w:tc>
          <w:tcPr>
            <w:tcW w:type="dxa" w:w="1656"/>
            <w:vAlign w:val="center"/>
            <w:shd w:fill="EAF0F8"/>
          </w:tcPr>
          <w:p>
            <w:pPr>
              <w:spacing w:after="0"/>
            </w:pPr>
            <w:r/>
            <w:r>
              <w:rPr>
                <w:rFonts w:ascii="Aptos" w:hAnsi="Aptos"/>
                <w:b w:val="0"/>
                <w:sz w:val="11"/>
              </w:rPr>
              <w:t>contracts.ids</w:t>
            </w:r>
          </w:p>
        </w:tc>
        <w:tc>
          <w:tcPr>
            <w:tcW w:type="dxa" w:w="1656"/>
            <w:vAlign w:val="center"/>
            <w:shd w:fill="EAF0F8"/>
          </w:tcPr>
          <w:p>
            <w:pPr>
              <w:spacing w:after="0"/>
            </w:pPr>
            <w:r/>
            <w:r>
              <w:rPr>
                <w:rFonts w:ascii="Aptos" w:hAnsi="Aptos"/>
                <w:b w:val="0"/>
                <w:sz w:val="11"/>
              </w:rPr>
              <w:t>TST-CON-001/002</w:t>
            </w:r>
          </w:p>
        </w:tc>
        <w:tc>
          <w:tcPr>
            <w:tcW w:type="dxa" w:w="1872"/>
            <w:vAlign w:val="center"/>
            <w:shd w:fill="EAF0F8"/>
          </w:tcPr>
          <w:p>
            <w:pPr>
              <w:spacing w:after="0"/>
            </w:pPr>
            <w:r/>
            <w:r>
              <w:rPr>
                <w:rFonts w:ascii="Aptos" w:hAnsi="Aptos"/>
                <w:b w:val="0"/>
                <w:sz w:val="11"/>
              </w:rPr>
              <w:t>Schema registry</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IMP-003</w:t>
            </w:r>
          </w:p>
        </w:tc>
        <w:tc>
          <w:tcPr>
            <w:tcW w:type="dxa" w:w="3672"/>
            <w:vAlign w:val="center"/>
          </w:tcPr>
          <w:p>
            <w:pPr>
              <w:spacing w:after="0"/>
            </w:pPr>
            <w:r/>
            <w:r>
              <w:rPr>
                <w:rFonts w:ascii="Aptos" w:hAnsi="Aptos"/>
                <w:b w:val="0"/>
                <w:sz w:val="11"/>
              </w:rPr>
              <w:t>UTC Clock port and deterministic TestClock</w:t>
            </w:r>
          </w:p>
        </w:tc>
        <w:tc>
          <w:tcPr>
            <w:tcW w:type="dxa" w:w="1656"/>
            <w:vAlign w:val="center"/>
          </w:tcPr>
          <w:p>
            <w:pPr>
              <w:spacing w:after="0"/>
            </w:pPr>
            <w:r/>
            <w:r>
              <w:rPr>
                <w:rFonts w:ascii="Aptos" w:hAnsi="Aptos"/>
                <w:b w:val="0"/>
                <w:sz w:val="11"/>
              </w:rPr>
              <w:t>R41-CI027</w:t>
            </w:r>
          </w:p>
        </w:tc>
        <w:tc>
          <w:tcPr>
            <w:tcW w:type="dxa" w:w="1656"/>
            <w:vAlign w:val="center"/>
          </w:tcPr>
          <w:p>
            <w:pPr>
              <w:spacing w:after="0"/>
            </w:pPr>
            <w:r/>
            <w:r>
              <w:rPr>
                <w:rFonts w:ascii="Aptos" w:hAnsi="Aptos"/>
                <w:b w:val="0"/>
                <w:sz w:val="11"/>
              </w:rPr>
              <w:t>time.clock</w:t>
            </w:r>
          </w:p>
        </w:tc>
        <w:tc>
          <w:tcPr>
            <w:tcW w:type="dxa" w:w="1656"/>
            <w:vAlign w:val="center"/>
          </w:tcPr>
          <w:p>
            <w:pPr>
              <w:spacing w:after="0"/>
            </w:pPr>
            <w:r/>
            <w:r>
              <w:rPr>
                <w:rFonts w:ascii="Aptos" w:hAnsi="Aptos"/>
                <w:b w:val="0"/>
                <w:sz w:val="11"/>
              </w:rPr>
              <w:t>TST-TIM-001-006</w:t>
            </w:r>
          </w:p>
        </w:tc>
        <w:tc>
          <w:tcPr>
            <w:tcW w:type="dxa" w:w="1872"/>
            <w:vAlign w:val="center"/>
          </w:tcPr>
          <w:p>
            <w:pPr>
              <w:spacing w:after="0"/>
            </w:pPr>
            <w:r/>
            <w:r>
              <w:rPr>
                <w:rFonts w:ascii="Aptos" w:hAnsi="Aptos"/>
                <w:b w:val="0"/>
                <w:sz w:val="11"/>
              </w:rPr>
              <w:t>Clock-health metric</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IMP-004</w:t>
            </w:r>
          </w:p>
        </w:tc>
        <w:tc>
          <w:tcPr>
            <w:tcW w:type="dxa" w:w="3672"/>
            <w:vAlign w:val="center"/>
            <w:shd w:fill="EAF0F8"/>
          </w:tcPr>
          <w:p>
            <w:pPr>
              <w:spacing w:after="0"/>
            </w:pPr>
            <w:r/>
            <w:r>
              <w:rPr>
                <w:rFonts w:ascii="Aptos" w:hAnsi="Aptos"/>
                <w:b w:val="0"/>
                <w:sz w:val="11"/>
              </w:rPr>
              <w:t>Exchange calendar/session/holiday/early-close service</w:t>
            </w:r>
          </w:p>
        </w:tc>
        <w:tc>
          <w:tcPr>
            <w:tcW w:type="dxa" w:w="1656"/>
            <w:vAlign w:val="center"/>
            <w:shd w:fill="EAF0F8"/>
          </w:tcPr>
          <w:p>
            <w:pPr>
              <w:spacing w:after="0"/>
            </w:pPr>
            <w:r/>
            <w:r>
              <w:rPr>
                <w:rFonts w:ascii="Aptos" w:hAnsi="Aptos"/>
                <w:b w:val="0"/>
                <w:sz w:val="11"/>
              </w:rPr>
              <w:t>R41-CI025-CI027</w:t>
            </w:r>
          </w:p>
        </w:tc>
        <w:tc>
          <w:tcPr>
            <w:tcW w:type="dxa" w:w="1656"/>
            <w:vAlign w:val="center"/>
            <w:shd w:fill="EAF0F8"/>
          </w:tcPr>
          <w:p>
            <w:pPr>
              <w:spacing w:after="0"/>
            </w:pPr>
            <w:r/>
            <w:r>
              <w:rPr>
                <w:rFonts w:ascii="Aptos" w:hAnsi="Aptos"/>
                <w:b w:val="0"/>
                <w:sz w:val="11"/>
              </w:rPr>
              <w:t>time.calendar</w:t>
            </w:r>
          </w:p>
        </w:tc>
        <w:tc>
          <w:tcPr>
            <w:tcW w:type="dxa" w:w="1656"/>
            <w:vAlign w:val="center"/>
            <w:shd w:fill="EAF0F8"/>
          </w:tcPr>
          <w:p>
            <w:pPr>
              <w:spacing w:after="0"/>
            </w:pPr>
            <w:r/>
            <w:r>
              <w:rPr>
                <w:rFonts w:ascii="Aptos" w:hAnsi="Aptos"/>
                <w:b w:val="0"/>
                <w:sz w:val="11"/>
              </w:rPr>
              <w:t>TST-TIM-010-019</w:t>
            </w:r>
          </w:p>
        </w:tc>
        <w:tc>
          <w:tcPr>
            <w:tcW w:type="dxa" w:w="1872"/>
            <w:vAlign w:val="center"/>
            <w:shd w:fill="EAF0F8"/>
          </w:tcPr>
          <w:p>
            <w:pPr>
              <w:spacing w:after="0"/>
            </w:pPr>
            <w:r/>
            <w:r>
              <w:rPr>
                <w:rFonts w:ascii="Aptos" w:hAnsi="Aptos"/>
                <w:b w:val="0"/>
                <w:sz w:val="11"/>
              </w:rPr>
              <w:t>Calendar version alarm</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IMP-005</w:t>
            </w:r>
          </w:p>
        </w:tc>
        <w:tc>
          <w:tcPr>
            <w:tcW w:type="dxa" w:w="3672"/>
            <w:vAlign w:val="center"/>
          </w:tcPr>
          <w:p>
            <w:pPr>
              <w:spacing w:after="0"/>
            </w:pPr>
            <w:r/>
            <w:r>
              <w:rPr>
                <w:rFonts w:ascii="Aptos" w:hAnsi="Aptos"/>
                <w:b w:val="0"/>
                <w:sz w:val="11"/>
              </w:rPr>
              <w:t>Versioned instrument master and tradability state</w:t>
            </w:r>
          </w:p>
        </w:tc>
        <w:tc>
          <w:tcPr>
            <w:tcW w:type="dxa" w:w="1656"/>
            <w:vAlign w:val="center"/>
          </w:tcPr>
          <w:p>
            <w:pPr>
              <w:spacing w:after="0"/>
            </w:pPr>
            <w:r/>
            <w:r>
              <w:rPr>
                <w:rFonts w:ascii="Aptos" w:hAnsi="Aptos"/>
                <w:b w:val="0"/>
                <w:sz w:val="11"/>
              </w:rPr>
              <w:t>R41-CI025</w:t>
            </w:r>
          </w:p>
        </w:tc>
        <w:tc>
          <w:tcPr>
            <w:tcW w:type="dxa" w:w="1656"/>
            <w:vAlign w:val="center"/>
          </w:tcPr>
          <w:p>
            <w:pPr>
              <w:spacing w:after="0"/>
            </w:pPr>
            <w:r/>
            <w:r>
              <w:rPr>
                <w:rFonts w:ascii="Aptos" w:hAnsi="Aptos"/>
                <w:b w:val="0"/>
                <w:sz w:val="11"/>
              </w:rPr>
              <w:t>instruments</w:t>
            </w:r>
          </w:p>
        </w:tc>
        <w:tc>
          <w:tcPr>
            <w:tcW w:type="dxa" w:w="1656"/>
            <w:vAlign w:val="center"/>
          </w:tcPr>
          <w:p>
            <w:pPr>
              <w:spacing w:after="0"/>
            </w:pPr>
            <w:r/>
            <w:r>
              <w:rPr>
                <w:rFonts w:ascii="Aptos" w:hAnsi="Aptos"/>
                <w:b w:val="0"/>
                <w:sz w:val="11"/>
              </w:rPr>
              <w:t>TST-INS-001-010</w:t>
            </w:r>
          </w:p>
        </w:tc>
        <w:tc>
          <w:tcPr>
            <w:tcW w:type="dxa" w:w="1872"/>
            <w:vAlign w:val="center"/>
          </w:tcPr>
          <w:p>
            <w:pPr>
              <w:spacing w:after="0"/>
            </w:pPr>
            <w:r/>
            <w:r>
              <w:rPr>
                <w:rFonts w:ascii="Aptos" w:hAnsi="Aptos"/>
                <w:b w:val="0"/>
                <w:sz w:val="11"/>
              </w:rPr>
              <w:t>Stale-master block</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IMP-006</w:t>
            </w:r>
          </w:p>
        </w:tc>
        <w:tc>
          <w:tcPr>
            <w:tcW w:type="dxa" w:w="3672"/>
            <w:vAlign w:val="center"/>
            <w:shd w:fill="EAF0F8"/>
          </w:tcPr>
          <w:p>
            <w:pPr>
              <w:spacing w:after="0"/>
            </w:pPr>
            <w:r/>
            <w:r>
              <w:rPr>
                <w:rFonts w:ascii="Aptos" w:hAnsi="Aptos"/>
                <w:b w:val="0"/>
                <w:sz w:val="11"/>
              </w:rPr>
              <w:t>Point-in-time corporate-action model and propagation</w:t>
            </w:r>
          </w:p>
        </w:tc>
        <w:tc>
          <w:tcPr>
            <w:tcW w:type="dxa" w:w="1656"/>
            <w:vAlign w:val="center"/>
            <w:shd w:fill="EAF0F8"/>
          </w:tcPr>
          <w:p>
            <w:pPr>
              <w:spacing w:after="0"/>
            </w:pPr>
            <w:r/>
            <w:r>
              <w:rPr>
                <w:rFonts w:ascii="Aptos" w:hAnsi="Aptos"/>
                <w:b w:val="0"/>
                <w:sz w:val="11"/>
              </w:rPr>
              <w:t>R41-CI028</w:t>
            </w:r>
          </w:p>
        </w:tc>
        <w:tc>
          <w:tcPr>
            <w:tcW w:type="dxa" w:w="1656"/>
            <w:vAlign w:val="center"/>
            <w:shd w:fill="EAF0F8"/>
          </w:tcPr>
          <w:p>
            <w:pPr>
              <w:spacing w:after="0"/>
            </w:pPr>
            <w:r/>
            <w:r>
              <w:rPr>
                <w:rFonts w:ascii="Aptos" w:hAnsi="Aptos"/>
                <w:b w:val="0"/>
                <w:sz w:val="11"/>
              </w:rPr>
              <w:t>corporate_actions</w:t>
            </w:r>
          </w:p>
        </w:tc>
        <w:tc>
          <w:tcPr>
            <w:tcW w:type="dxa" w:w="1656"/>
            <w:vAlign w:val="center"/>
            <w:shd w:fill="EAF0F8"/>
          </w:tcPr>
          <w:p>
            <w:pPr>
              <w:spacing w:after="0"/>
            </w:pPr>
            <w:r/>
            <w:r>
              <w:rPr>
                <w:rFonts w:ascii="Aptos" w:hAnsi="Aptos"/>
                <w:b w:val="0"/>
                <w:sz w:val="11"/>
              </w:rPr>
              <w:t>TST-CA-001-020</w:t>
            </w:r>
          </w:p>
        </w:tc>
        <w:tc>
          <w:tcPr>
            <w:tcW w:type="dxa" w:w="1872"/>
            <w:vAlign w:val="center"/>
            <w:shd w:fill="EAF0F8"/>
          </w:tcPr>
          <w:p>
            <w:pPr>
              <w:spacing w:after="0"/>
            </w:pPr>
            <w:r/>
            <w:r>
              <w:rPr>
                <w:rFonts w:ascii="Aptos" w:hAnsi="Aptos"/>
                <w:b w:val="0"/>
                <w:sz w:val="11"/>
              </w:rPr>
              <w:t>CA consistency alert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IMP-007</w:t>
            </w:r>
          </w:p>
        </w:tc>
        <w:tc>
          <w:tcPr>
            <w:tcW w:type="dxa" w:w="3672"/>
            <w:vAlign w:val="center"/>
          </w:tcPr>
          <w:p>
            <w:pPr>
              <w:spacing w:after="0"/>
            </w:pPr>
            <w:r/>
            <w:r>
              <w:rPr>
                <w:rFonts w:ascii="Aptos" w:hAnsi="Aptos"/>
                <w:b w:val="0"/>
                <w:sz w:val="11"/>
              </w:rPr>
              <w:t>Market-data source identity, validation and quarantine</w:t>
            </w:r>
          </w:p>
        </w:tc>
        <w:tc>
          <w:tcPr>
            <w:tcW w:type="dxa" w:w="1656"/>
            <w:vAlign w:val="center"/>
          </w:tcPr>
          <w:p>
            <w:pPr>
              <w:spacing w:after="0"/>
            </w:pPr>
            <w:r/>
            <w:r>
              <w:rPr>
                <w:rFonts w:ascii="Aptos" w:hAnsi="Aptos"/>
                <w:b w:val="0"/>
                <w:sz w:val="11"/>
              </w:rPr>
              <w:t>R41-CI025-CI027</w:t>
            </w:r>
          </w:p>
        </w:tc>
        <w:tc>
          <w:tcPr>
            <w:tcW w:type="dxa" w:w="1656"/>
            <w:vAlign w:val="center"/>
          </w:tcPr>
          <w:p>
            <w:pPr>
              <w:spacing w:after="0"/>
            </w:pPr>
            <w:r/>
            <w:r>
              <w:rPr>
                <w:rFonts w:ascii="Aptos" w:hAnsi="Aptos"/>
                <w:b w:val="0"/>
                <w:sz w:val="11"/>
              </w:rPr>
              <w:t>market_data.validation</w:t>
            </w:r>
          </w:p>
        </w:tc>
        <w:tc>
          <w:tcPr>
            <w:tcW w:type="dxa" w:w="1656"/>
            <w:vAlign w:val="center"/>
          </w:tcPr>
          <w:p>
            <w:pPr>
              <w:spacing w:after="0"/>
            </w:pPr>
            <w:r/>
            <w:r>
              <w:rPr>
                <w:rFonts w:ascii="Aptos" w:hAnsi="Aptos"/>
                <w:b w:val="0"/>
                <w:sz w:val="11"/>
              </w:rPr>
              <w:t>TST-MD-001-030</w:t>
            </w:r>
          </w:p>
        </w:tc>
        <w:tc>
          <w:tcPr>
            <w:tcW w:type="dxa" w:w="1872"/>
            <w:vAlign w:val="center"/>
          </w:tcPr>
          <w:p>
            <w:pPr>
              <w:spacing w:after="0"/>
            </w:pPr>
            <w:r/>
            <w:r>
              <w:rPr>
                <w:rFonts w:ascii="Aptos" w:hAnsi="Aptos"/>
                <w:b w:val="0"/>
                <w:sz w:val="11"/>
              </w:rPr>
              <w:t>Quality/freshness SLO</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IMP-008</w:t>
            </w:r>
          </w:p>
        </w:tc>
        <w:tc>
          <w:tcPr>
            <w:tcW w:type="dxa" w:w="3672"/>
            <w:vAlign w:val="center"/>
            <w:shd w:fill="EAF0F8"/>
          </w:tcPr>
          <w:p>
            <w:pPr>
              <w:spacing w:after="0"/>
            </w:pPr>
            <w:r/>
            <w:r>
              <w:rPr>
                <w:rFonts w:ascii="Aptos" w:hAnsi="Aptos"/>
                <w:b w:val="0"/>
                <w:sz w:val="11"/>
              </w:rPr>
              <w:t>Strategy interface returns proposal only</w:t>
            </w:r>
          </w:p>
        </w:tc>
        <w:tc>
          <w:tcPr>
            <w:tcW w:type="dxa" w:w="1656"/>
            <w:vAlign w:val="center"/>
            <w:shd w:fill="EAF0F8"/>
          </w:tcPr>
          <w:p>
            <w:pPr>
              <w:spacing w:after="0"/>
            </w:pPr>
            <w:r/>
            <w:r>
              <w:rPr>
                <w:rFonts w:ascii="Aptos" w:hAnsi="Aptos"/>
                <w:b w:val="0"/>
                <w:sz w:val="11"/>
              </w:rPr>
              <w:t>R41-CI015, CI032</w:t>
            </w:r>
          </w:p>
        </w:tc>
        <w:tc>
          <w:tcPr>
            <w:tcW w:type="dxa" w:w="1656"/>
            <w:vAlign w:val="center"/>
            <w:shd w:fill="EAF0F8"/>
          </w:tcPr>
          <w:p>
            <w:pPr>
              <w:spacing w:after="0"/>
            </w:pPr>
            <w:r/>
            <w:r>
              <w:rPr>
                <w:rFonts w:ascii="Aptos" w:hAnsi="Aptos"/>
                <w:b w:val="0"/>
                <w:sz w:val="11"/>
              </w:rPr>
              <w:t>strategies.api</w:t>
            </w:r>
          </w:p>
        </w:tc>
        <w:tc>
          <w:tcPr>
            <w:tcW w:type="dxa" w:w="1656"/>
            <w:vAlign w:val="center"/>
            <w:shd w:fill="EAF0F8"/>
          </w:tcPr>
          <w:p>
            <w:pPr>
              <w:spacing w:after="0"/>
            </w:pPr>
            <w:r/>
            <w:r>
              <w:rPr>
                <w:rFonts w:ascii="Aptos" w:hAnsi="Aptos"/>
                <w:b w:val="0"/>
                <w:sz w:val="11"/>
              </w:rPr>
              <w:t>TST-STR-001-008</w:t>
            </w:r>
          </w:p>
        </w:tc>
        <w:tc>
          <w:tcPr>
            <w:tcW w:type="dxa" w:w="1872"/>
            <w:vAlign w:val="center"/>
            <w:shd w:fill="EAF0F8"/>
          </w:tcPr>
          <w:p>
            <w:pPr>
              <w:spacing w:after="0"/>
            </w:pPr>
            <w:r/>
            <w:r>
              <w:rPr>
                <w:rFonts w:ascii="Aptos" w:hAnsi="Aptos"/>
                <w:b w:val="0"/>
                <w:sz w:val="11"/>
              </w:rPr>
              <w:t>Forbidden dependency test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IMP-009</w:t>
            </w:r>
          </w:p>
        </w:tc>
        <w:tc>
          <w:tcPr>
            <w:tcW w:type="dxa" w:w="3672"/>
            <w:vAlign w:val="center"/>
          </w:tcPr>
          <w:p>
            <w:pPr>
              <w:spacing w:after="0"/>
            </w:pPr>
            <w:r/>
            <w:r>
              <w:rPr>
                <w:rFonts w:ascii="Aptos" w:hAnsi="Aptos"/>
                <w:b w:val="0"/>
                <w:sz w:val="11"/>
              </w:rPr>
              <w:t>Decision binds full immutable lineage and expiry</w:t>
            </w:r>
          </w:p>
        </w:tc>
        <w:tc>
          <w:tcPr>
            <w:tcW w:type="dxa" w:w="1656"/>
            <w:vAlign w:val="center"/>
          </w:tcPr>
          <w:p>
            <w:pPr>
              <w:spacing w:after="0"/>
            </w:pPr>
            <w:r/>
            <w:r>
              <w:rPr>
                <w:rFonts w:ascii="Aptos" w:hAnsi="Aptos"/>
                <w:b w:val="0"/>
                <w:sz w:val="11"/>
              </w:rPr>
              <w:t>R41-CI025, CI029-CI031</w:t>
            </w:r>
          </w:p>
        </w:tc>
        <w:tc>
          <w:tcPr>
            <w:tcW w:type="dxa" w:w="1656"/>
            <w:vAlign w:val="center"/>
          </w:tcPr>
          <w:p>
            <w:pPr>
              <w:spacing w:after="0"/>
            </w:pPr>
            <w:r/>
            <w:r>
              <w:rPr>
                <w:rFonts w:ascii="Aptos" w:hAnsi="Aptos"/>
                <w:b w:val="0"/>
                <w:sz w:val="11"/>
              </w:rPr>
              <w:t>contracts.decision</w:t>
            </w:r>
          </w:p>
        </w:tc>
        <w:tc>
          <w:tcPr>
            <w:tcW w:type="dxa" w:w="1656"/>
            <w:vAlign w:val="center"/>
          </w:tcPr>
          <w:p>
            <w:pPr>
              <w:spacing w:after="0"/>
            </w:pPr>
            <w:r/>
            <w:r>
              <w:rPr>
                <w:rFonts w:ascii="Aptos" w:hAnsi="Aptos"/>
                <w:b w:val="0"/>
                <w:sz w:val="11"/>
              </w:rPr>
              <w:t>TST-DEC-001-015</w:t>
            </w:r>
          </w:p>
        </w:tc>
        <w:tc>
          <w:tcPr>
            <w:tcW w:type="dxa" w:w="1872"/>
            <w:vAlign w:val="center"/>
          </w:tcPr>
          <w:p>
            <w:pPr>
              <w:spacing w:after="0"/>
            </w:pPr>
            <w:r/>
            <w:r>
              <w:rPr>
                <w:rFonts w:ascii="Aptos" w:hAnsi="Aptos"/>
                <w:b w:val="0"/>
                <w:sz w:val="11"/>
              </w:rPr>
              <w:t>Expired-decision counter</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IMP-010</w:t>
            </w:r>
          </w:p>
        </w:tc>
        <w:tc>
          <w:tcPr>
            <w:tcW w:type="dxa" w:w="3672"/>
            <w:vAlign w:val="center"/>
            <w:shd w:fill="EAF0F8"/>
          </w:tcPr>
          <w:p>
            <w:pPr>
              <w:spacing w:after="0"/>
            </w:pPr>
            <w:r/>
            <w:r>
              <w:rPr>
                <w:rFonts w:ascii="Aptos" w:hAnsi="Aptos"/>
                <w:b w:val="0"/>
                <w:sz w:val="11"/>
              </w:rPr>
              <w:t>NO-TRADE is explicit, reasoned and immutable</w:t>
            </w:r>
          </w:p>
        </w:tc>
        <w:tc>
          <w:tcPr>
            <w:tcW w:type="dxa" w:w="1656"/>
            <w:vAlign w:val="center"/>
            <w:shd w:fill="EAF0F8"/>
          </w:tcPr>
          <w:p>
            <w:pPr>
              <w:spacing w:after="0"/>
            </w:pPr>
            <w:r/>
            <w:r>
              <w:rPr>
                <w:rFonts w:ascii="Aptos" w:hAnsi="Aptos"/>
                <w:b w:val="0"/>
                <w:sz w:val="11"/>
              </w:rPr>
              <w:t>R41-CI035</w:t>
            </w:r>
          </w:p>
        </w:tc>
        <w:tc>
          <w:tcPr>
            <w:tcW w:type="dxa" w:w="1656"/>
            <w:vAlign w:val="center"/>
            <w:shd w:fill="EAF0F8"/>
          </w:tcPr>
          <w:p>
            <w:pPr>
              <w:spacing w:after="0"/>
            </w:pPr>
            <w:r/>
            <w:r>
              <w:rPr>
                <w:rFonts w:ascii="Aptos" w:hAnsi="Aptos"/>
                <w:b w:val="0"/>
                <w:sz w:val="11"/>
              </w:rPr>
              <w:t>contracts.decision</w:t>
            </w:r>
          </w:p>
        </w:tc>
        <w:tc>
          <w:tcPr>
            <w:tcW w:type="dxa" w:w="1656"/>
            <w:vAlign w:val="center"/>
            <w:shd w:fill="EAF0F8"/>
          </w:tcPr>
          <w:p>
            <w:pPr>
              <w:spacing w:after="0"/>
            </w:pPr>
            <w:r/>
            <w:r>
              <w:rPr>
                <w:rFonts w:ascii="Aptos" w:hAnsi="Aptos"/>
                <w:b w:val="0"/>
                <w:sz w:val="11"/>
              </w:rPr>
              <w:t>TST-DEC-016-022</w:t>
            </w:r>
          </w:p>
        </w:tc>
        <w:tc>
          <w:tcPr>
            <w:tcW w:type="dxa" w:w="1872"/>
            <w:vAlign w:val="center"/>
            <w:shd w:fill="EAF0F8"/>
          </w:tcPr>
          <w:p>
            <w:pPr>
              <w:spacing w:after="0"/>
            </w:pPr>
            <w:r/>
            <w:r>
              <w:rPr>
                <w:rFonts w:ascii="Aptos" w:hAnsi="Aptos"/>
                <w:b w:val="0"/>
                <w:sz w:val="11"/>
              </w:rPr>
              <w:t>NO-TRADE audit metric</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IMP-011</w:t>
            </w:r>
          </w:p>
        </w:tc>
        <w:tc>
          <w:tcPr>
            <w:tcW w:type="dxa" w:w="3672"/>
            <w:vAlign w:val="center"/>
          </w:tcPr>
          <w:p>
            <w:pPr>
              <w:spacing w:after="0"/>
            </w:pPr>
            <w:r/>
            <w:r>
              <w:rPr>
                <w:rFonts w:ascii="Aptos" w:hAnsi="Aptos"/>
                <w:b w:val="0"/>
                <w:sz w:val="11"/>
              </w:rPr>
              <w:t>Economic engine calculates gross/net edge and uncertainty</w:t>
            </w:r>
          </w:p>
        </w:tc>
        <w:tc>
          <w:tcPr>
            <w:tcW w:type="dxa" w:w="1656"/>
            <w:vAlign w:val="center"/>
          </w:tcPr>
          <w:p>
            <w:pPr>
              <w:spacing w:after="0"/>
            </w:pPr>
            <w:r/>
            <w:r>
              <w:rPr>
                <w:rFonts w:ascii="Aptos" w:hAnsi="Aptos"/>
                <w:b w:val="0"/>
                <w:sz w:val="11"/>
              </w:rPr>
              <w:t>R41-CI034-CI035</w:t>
            </w:r>
          </w:p>
        </w:tc>
        <w:tc>
          <w:tcPr>
            <w:tcW w:type="dxa" w:w="1656"/>
            <w:vAlign w:val="center"/>
          </w:tcPr>
          <w:p>
            <w:pPr>
              <w:spacing w:after="0"/>
            </w:pPr>
            <w:r/>
            <w:r>
              <w:rPr>
                <w:rFonts w:ascii="Aptos" w:hAnsi="Aptos"/>
                <w:b w:val="0"/>
                <w:sz w:val="11"/>
              </w:rPr>
              <w:t>economics</w:t>
            </w:r>
          </w:p>
        </w:tc>
        <w:tc>
          <w:tcPr>
            <w:tcW w:type="dxa" w:w="1656"/>
            <w:vAlign w:val="center"/>
          </w:tcPr>
          <w:p>
            <w:pPr>
              <w:spacing w:after="0"/>
            </w:pPr>
            <w:r/>
            <w:r>
              <w:rPr>
                <w:rFonts w:ascii="Aptos" w:hAnsi="Aptos"/>
                <w:b w:val="0"/>
                <w:sz w:val="11"/>
              </w:rPr>
              <w:t>TST-ECO-001-030</w:t>
            </w:r>
          </w:p>
        </w:tc>
        <w:tc>
          <w:tcPr>
            <w:tcW w:type="dxa" w:w="1872"/>
            <w:vAlign w:val="center"/>
          </w:tcPr>
          <w:p>
            <w:pPr>
              <w:spacing w:after="0"/>
            </w:pPr>
            <w:r/>
            <w:r>
              <w:rPr>
                <w:rFonts w:ascii="Aptos" w:hAnsi="Aptos"/>
                <w:b w:val="0"/>
                <w:sz w:val="11"/>
              </w:rPr>
              <w:t>Forecast-vs-realized metrics</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IMP-012</w:t>
            </w:r>
          </w:p>
        </w:tc>
        <w:tc>
          <w:tcPr>
            <w:tcW w:type="dxa" w:w="3672"/>
            <w:vAlign w:val="center"/>
            <w:shd w:fill="EAF0F8"/>
          </w:tcPr>
          <w:p>
            <w:pPr>
              <w:spacing w:after="0"/>
            </w:pPr>
            <w:r/>
            <w:r>
              <w:rPr>
                <w:rFonts w:ascii="Aptos" w:hAnsi="Aptos"/>
                <w:b w:val="0"/>
                <w:sz w:val="11"/>
              </w:rPr>
              <w:t>Capital feasibility scenarios £5k/£10k/£25k/£50k</w:t>
            </w:r>
          </w:p>
        </w:tc>
        <w:tc>
          <w:tcPr>
            <w:tcW w:type="dxa" w:w="1656"/>
            <w:vAlign w:val="center"/>
            <w:shd w:fill="EAF0F8"/>
          </w:tcPr>
          <w:p>
            <w:pPr>
              <w:spacing w:after="0"/>
            </w:pPr>
            <w:r/>
            <w:r>
              <w:rPr>
                <w:rFonts w:ascii="Aptos" w:hAnsi="Aptos"/>
                <w:b w:val="0"/>
                <w:sz w:val="11"/>
              </w:rPr>
              <w:t>Canonical capital requirement</w:t>
            </w:r>
          </w:p>
        </w:tc>
        <w:tc>
          <w:tcPr>
            <w:tcW w:type="dxa" w:w="1656"/>
            <w:vAlign w:val="center"/>
            <w:shd w:fill="EAF0F8"/>
          </w:tcPr>
          <w:p>
            <w:pPr>
              <w:spacing w:after="0"/>
            </w:pPr>
            <w:r/>
            <w:r>
              <w:rPr>
                <w:rFonts w:ascii="Aptos" w:hAnsi="Aptos"/>
                <w:b w:val="0"/>
                <w:sz w:val="11"/>
              </w:rPr>
              <w:t>economics.feasibility</w:t>
            </w:r>
          </w:p>
        </w:tc>
        <w:tc>
          <w:tcPr>
            <w:tcW w:type="dxa" w:w="1656"/>
            <w:vAlign w:val="center"/>
            <w:shd w:fill="EAF0F8"/>
          </w:tcPr>
          <w:p>
            <w:pPr>
              <w:spacing w:after="0"/>
            </w:pPr>
            <w:r/>
            <w:r>
              <w:rPr>
                <w:rFonts w:ascii="Aptos" w:hAnsi="Aptos"/>
                <w:b w:val="0"/>
                <w:sz w:val="11"/>
              </w:rPr>
              <w:t>TST-ECO-031-042</w:t>
            </w:r>
          </w:p>
        </w:tc>
        <w:tc>
          <w:tcPr>
            <w:tcW w:type="dxa" w:w="1872"/>
            <w:vAlign w:val="center"/>
            <w:shd w:fill="EAF0F8"/>
          </w:tcPr>
          <w:p>
            <w:pPr>
              <w:spacing w:after="0"/>
            </w:pPr>
            <w:r/>
            <w:r>
              <w:rPr>
                <w:rFonts w:ascii="Aptos" w:hAnsi="Aptos"/>
                <w:b w:val="0"/>
                <w:sz w:val="11"/>
              </w:rPr>
              <w:t>Feasibility report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IMP-013</w:t>
            </w:r>
          </w:p>
        </w:tc>
        <w:tc>
          <w:tcPr>
            <w:tcW w:type="dxa" w:w="3672"/>
            <w:vAlign w:val="center"/>
          </w:tcPr>
          <w:p>
            <w:pPr>
              <w:spacing w:after="0"/>
            </w:pPr>
            <w:r/>
            <w:r>
              <w:rPr>
                <w:rFonts w:ascii="Aptos" w:hAnsi="Aptos"/>
                <w:b w:val="0"/>
                <w:sz w:val="11"/>
              </w:rPr>
              <w:t>Portfolio construction includes positions, pending and unresolved effects</w:t>
            </w:r>
          </w:p>
        </w:tc>
        <w:tc>
          <w:tcPr>
            <w:tcW w:type="dxa" w:w="1656"/>
            <w:vAlign w:val="center"/>
          </w:tcPr>
          <w:p>
            <w:pPr>
              <w:spacing w:after="0"/>
            </w:pPr>
            <w:r/>
            <w:r>
              <w:rPr>
                <w:rFonts w:ascii="Aptos" w:hAnsi="Aptos"/>
                <w:b w:val="0"/>
                <w:sz w:val="11"/>
              </w:rPr>
              <w:t>R41-CI032</w:t>
            </w:r>
          </w:p>
        </w:tc>
        <w:tc>
          <w:tcPr>
            <w:tcW w:type="dxa" w:w="1656"/>
            <w:vAlign w:val="center"/>
          </w:tcPr>
          <w:p>
            <w:pPr>
              <w:spacing w:after="0"/>
            </w:pPr>
            <w:r/>
            <w:r>
              <w:rPr>
                <w:rFonts w:ascii="Aptos" w:hAnsi="Aptos"/>
                <w:b w:val="0"/>
                <w:sz w:val="11"/>
              </w:rPr>
              <w:t>portfolio</w:t>
            </w:r>
          </w:p>
        </w:tc>
        <w:tc>
          <w:tcPr>
            <w:tcW w:type="dxa" w:w="1656"/>
            <w:vAlign w:val="center"/>
          </w:tcPr>
          <w:p>
            <w:pPr>
              <w:spacing w:after="0"/>
            </w:pPr>
            <w:r/>
            <w:r>
              <w:rPr>
                <w:rFonts w:ascii="Aptos" w:hAnsi="Aptos"/>
                <w:b w:val="0"/>
                <w:sz w:val="11"/>
              </w:rPr>
              <w:t>TST-PORT-001-025</w:t>
            </w:r>
          </w:p>
        </w:tc>
        <w:tc>
          <w:tcPr>
            <w:tcW w:type="dxa" w:w="1872"/>
            <w:vAlign w:val="center"/>
          </w:tcPr>
          <w:p>
            <w:pPr>
              <w:spacing w:after="0"/>
            </w:pPr>
            <w:r/>
            <w:r>
              <w:rPr>
                <w:rFonts w:ascii="Aptos" w:hAnsi="Aptos"/>
                <w:b w:val="0"/>
                <w:sz w:val="11"/>
              </w:rPr>
              <w:t>Exposure dashboard</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IMP-014</w:t>
            </w:r>
          </w:p>
        </w:tc>
        <w:tc>
          <w:tcPr>
            <w:tcW w:type="dxa" w:w="3672"/>
            <w:vAlign w:val="center"/>
            <w:shd w:fill="EAF0F8"/>
          </w:tcPr>
          <w:p>
            <w:pPr>
              <w:spacing w:after="0"/>
            </w:pPr>
            <w:r/>
            <w:r>
              <w:rPr>
                <w:rFonts w:ascii="Aptos" w:hAnsi="Aptos"/>
                <w:b w:val="0"/>
                <w:sz w:val="11"/>
              </w:rPr>
              <w:t>Atomic reservation prevents concurrent overcommit</w:t>
            </w:r>
          </w:p>
        </w:tc>
        <w:tc>
          <w:tcPr>
            <w:tcW w:type="dxa" w:w="1656"/>
            <w:vAlign w:val="center"/>
            <w:shd w:fill="EAF0F8"/>
          </w:tcPr>
          <w:p>
            <w:pPr>
              <w:spacing w:after="0"/>
            </w:pPr>
            <w:r/>
            <w:r>
              <w:rPr>
                <w:rFonts w:ascii="Aptos" w:hAnsi="Aptos"/>
                <w:b w:val="0"/>
                <w:sz w:val="11"/>
              </w:rPr>
              <w:t>R41-CI003, CI021</w:t>
            </w:r>
          </w:p>
        </w:tc>
        <w:tc>
          <w:tcPr>
            <w:tcW w:type="dxa" w:w="1656"/>
            <w:vAlign w:val="center"/>
            <w:shd w:fill="EAF0F8"/>
          </w:tcPr>
          <w:p>
            <w:pPr>
              <w:spacing w:after="0"/>
            </w:pPr>
            <w:r/>
            <w:r>
              <w:rPr>
                <w:rFonts w:ascii="Aptos" w:hAnsi="Aptos"/>
                <w:b w:val="0"/>
                <w:sz w:val="11"/>
              </w:rPr>
              <w:t>capital.reservations</w:t>
            </w:r>
          </w:p>
        </w:tc>
        <w:tc>
          <w:tcPr>
            <w:tcW w:type="dxa" w:w="1656"/>
            <w:vAlign w:val="center"/>
            <w:shd w:fill="EAF0F8"/>
          </w:tcPr>
          <w:p>
            <w:pPr>
              <w:spacing w:after="0"/>
            </w:pPr>
            <w:r/>
            <w:r>
              <w:rPr>
                <w:rFonts w:ascii="Aptos" w:hAnsi="Aptos"/>
                <w:b w:val="0"/>
                <w:sz w:val="11"/>
              </w:rPr>
              <w:t>TST-CAP-001-030</w:t>
            </w:r>
          </w:p>
        </w:tc>
        <w:tc>
          <w:tcPr>
            <w:tcW w:type="dxa" w:w="1872"/>
            <w:vAlign w:val="center"/>
            <w:shd w:fill="EAF0F8"/>
          </w:tcPr>
          <w:p>
            <w:pPr>
              <w:spacing w:after="0"/>
            </w:pPr>
            <w:r/>
            <w:r>
              <w:rPr>
                <w:rFonts w:ascii="Aptos" w:hAnsi="Aptos"/>
                <w:b w:val="0"/>
                <w:sz w:val="11"/>
              </w:rPr>
              <w:t>Reservation invariant alert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IMP-015</w:t>
            </w:r>
          </w:p>
        </w:tc>
        <w:tc>
          <w:tcPr>
            <w:tcW w:type="dxa" w:w="3672"/>
            <w:vAlign w:val="center"/>
          </w:tcPr>
          <w:p>
            <w:pPr>
              <w:spacing w:after="0"/>
            </w:pPr>
            <w:r/>
            <w:r>
              <w:rPr>
                <w:rFonts w:ascii="Aptos" w:hAnsi="Aptos"/>
                <w:b w:val="0"/>
                <w:sz w:val="11"/>
              </w:rPr>
              <w:t>Independent risk approval is scoped and expiring</w:t>
            </w:r>
          </w:p>
        </w:tc>
        <w:tc>
          <w:tcPr>
            <w:tcW w:type="dxa" w:w="1656"/>
            <w:vAlign w:val="center"/>
          </w:tcPr>
          <w:p>
            <w:pPr>
              <w:spacing w:after="0"/>
            </w:pPr>
            <w:r/>
            <w:r>
              <w:rPr>
                <w:rFonts w:ascii="Aptos" w:hAnsi="Aptos"/>
                <w:b w:val="0"/>
                <w:sz w:val="11"/>
              </w:rPr>
              <w:t>R41-CI033, CI036</w:t>
            </w:r>
          </w:p>
        </w:tc>
        <w:tc>
          <w:tcPr>
            <w:tcW w:type="dxa" w:w="1656"/>
            <w:vAlign w:val="center"/>
          </w:tcPr>
          <w:p>
            <w:pPr>
              <w:spacing w:after="0"/>
            </w:pPr>
            <w:r/>
            <w:r>
              <w:rPr>
                <w:rFonts w:ascii="Aptos" w:hAnsi="Aptos"/>
                <w:b w:val="0"/>
                <w:sz w:val="11"/>
              </w:rPr>
              <w:t>risk.gateway</w:t>
            </w:r>
          </w:p>
        </w:tc>
        <w:tc>
          <w:tcPr>
            <w:tcW w:type="dxa" w:w="1656"/>
            <w:vAlign w:val="center"/>
          </w:tcPr>
          <w:p>
            <w:pPr>
              <w:spacing w:after="0"/>
            </w:pPr>
            <w:r/>
            <w:r>
              <w:rPr>
                <w:rFonts w:ascii="Aptos" w:hAnsi="Aptos"/>
                <w:b w:val="0"/>
                <w:sz w:val="11"/>
              </w:rPr>
              <w:t>TST-RSK-001-040</w:t>
            </w:r>
          </w:p>
        </w:tc>
        <w:tc>
          <w:tcPr>
            <w:tcW w:type="dxa" w:w="1872"/>
            <w:vAlign w:val="center"/>
          </w:tcPr>
          <w:p>
            <w:pPr>
              <w:spacing w:after="0"/>
            </w:pPr>
            <w:r/>
            <w:r>
              <w:rPr>
                <w:rFonts w:ascii="Aptos" w:hAnsi="Aptos"/>
                <w:b w:val="0"/>
                <w:sz w:val="11"/>
              </w:rPr>
              <w:t>Approval/denial telemetry</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IMP-016</w:t>
            </w:r>
          </w:p>
        </w:tc>
        <w:tc>
          <w:tcPr>
            <w:tcW w:type="dxa" w:w="3672"/>
            <w:vAlign w:val="center"/>
            <w:shd w:fill="EAF0F8"/>
          </w:tcPr>
          <w:p>
            <w:pPr>
              <w:spacing w:after="0"/>
            </w:pPr>
            <w:r/>
            <w:r>
              <w:rPr>
                <w:rFonts w:ascii="Aptos" w:hAnsi="Aptos"/>
                <w:b w:val="0"/>
                <w:sz w:val="11"/>
              </w:rPr>
              <w:t>Operational state is an independent authorization input</w:t>
            </w:r>
          </w:p>
        </w:tc>
        <w:tc>
          <w:tcPr>
            <w:tcW w:type="dxa" w:w="1656"/>
            <w:vAlign w:val="center"/>
            <w:shd w:fill="EAF0F8"/>
          </w:tcPr>
          <w:p>
            <w:pPr>
              <w:spacing w:after="0"/>
            </w:pPr>
            <w:r/>
            <w:r>
              <w:rPr>
                <w:rFonts w:ascii="Aptos" w:hAnsi="Aptos"/>
                <w:b w:val="0"/>
                <w:sz w:val="11"/>
              </w:rPr>
              <w:t>R41-CI001, CI038</w:t>
            </w:r>
          </w:p>
        </w:tc>
        <w:tc>
          <w:tcPr>
            <w:tcW w:type="dxa" w:w="1656"/>
            <w:vAlign w:val="center"/>
            <w:shd w:fill="EAF0F8"/>
          </w:tcPr>
          <w:p>
            <w:pPr>
              <w:spacing w:after="0"/>
            </w:pPr>
            <w:r/>
            <w:r>
              <w:rPr>
                <w:rFonts w:ascii="Aptos" w:hAnsi="Aptos"/>
                <w:b w:val="0"/>
                <w:sz w:val="11"/>
              </w:rPr>
              <w:t>operations.modes</w:t>
            </w:r>
          </w:p>
        </w:tc>
        <w:tc>
          <w:tcPr>
            <w:tcW w:type="dxa" w:w="1656"/>
            <w:vAlign w:val="center"/>
            <w:shd w:fill="EAF0F8"/>
          </w:tcPr>
          <w:p>
            <w:pPr>
              <w:spacing w:after="0"/>
            </w:pPr>
            <w:r/>
            <w:r>
              <w:rPr>
                <w:rFonts w:ascii="Aptos" w:hAnsi="Aptos"/>
                <w:b w:val="0"/>
                <w:sz w:val="11"/>
              </w:rPr>
              <w:t>TST-OPS-001-020</w:t>
            </w:r>
          </w:p>
        </w:tc>
        <w:tc>
          <w:tcPr>
            <w:tcW w:type="dxa" w:w="1872"/>
            <w:vAlign w:val="center"/>
            <w:shd w:fill="EAF0F8"/>
          </w:tcPr>
          <w:p>
            <w:pPr>
              <w:spacing w:after="0"/>
            </w:pPr>
            <w:r/>
            <w:r>
              <w:rPr>
                <w:rFonts w:ascii="Aptos" w:hAnsi="Aptos"/>
                <w:b w:val="0"/>
                <w:sz w:val="11"/>
              </w:rPr>
              <w:t>Mode-transition audit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IMP-017</w:t>
            </w:r>
          </w:p>
        </w:tc>
        <w:tc>
          <w:tcPr>
            <w:tcW w:type="dxa" w:w="3672"/>
            <w:vAlign w:val="center"/>
          </w:tcPr>
          <w:p>
            <w:pPr>
              <w:spacing w:after="0"/>
            </w:pPr>
            <w:r/>
            <w:r>
              <w:rPr>
                <w:rFonts w:ascii="Aptos" w:hAnsi="Aptos"/>
                <w:b w:val="0"/>
                <w:sz w:val="11"/>
              </w:rPr>
              <w:t>OMS implements explicit order/submission state machines</w:t>
            </w:r>
          </w:p>
        </w:tc>
        <w:tc>
          <w:tcPr>
            <w:tcW w:type="dxa" w:w="1656"/>
            <w:vAlign w:val="center"/>
          </w:tcPr>
          <w:p>
            <w:pPr>
              <w:spacing w:after="0"/>
            </w:pPr>
            <w:r/>
            <w:r>
              <w:rPr>
                <w:rFonts w:ascii="Aptos" w:hAnsi="Aptos"/>
                <w:b w:val="0"/>
                <w:sz w:val="11"/>
              </w:rPr>
              <w:t>R41-CI015-CI024</w:t>
            </w:r>
          </w:p>
        </w:tc>
        <w:tc>
          <w:tcPr>
            <w:tcW w:type="dxa" w:w="1656"/>
            <w:vAlign w:val="center"/>
          </w:tcPr>
          <w:p>
            <w:pPr>
              <w:spacing w:after="0"/>
            </w:pPr>
            <w:r/>
            <w:r>
              <w:rPr>
                <w:rFonts w:ascii="Aptos" w:hAnsi="Aptos"/>
                <w:b w:val="0"/>
                <w:sz w:val="11"/>
              </w:rPr>
              <w:t>oms</w:t>
            </w:r>
          </w:p>
        </w:tc>
        <w:tc>
          <w:tcPr>
            <w:tcW w:type="dxa" w:w="1656"/>
            <w:vAlign w:val="center"/>
          </w:tcPr>
          <w:p>
            <w:pPr>
              <w:spacing w:after="0"/>
            </w:pPr>
            <w:r/>
            <w:r>
              <w:rPr>
                <w:rFonts w:ascii="Aptos" w:hAnsi="Aptos"/>
                <w:b w:val="0"/>
                <w:sz w:val="11"/>
              </w:rPr>
              <w:t>TST-OMS-001-080</w:t>
            </w:r>
          </w:p>
        </w:tc>
        <w:tc>
          <w:tcPr>
            <w:tcW w:type="dxa" w:w="1872"/>
            <w:vAlign w:val="center"/>
          </w:tcPr>
          <w:p>
            <w:pPr>
              <w:spacing w:after="0"/>
            </w:pPr>
            <w:r/>
            <w:r>
              <w:rPr>
                <w:rFonts w:ascii="Aptos" w:hAnsi="Aptos"/>
                <w:b w:val="0"/>
                <w:sz w:val="11"/>
              </w:rPr>
              <w:t>Illegal-transition alarm</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IMP-018</w:t>
            </w:r>
          </w:p>
        </w:tc>
        <w:tc>
          <w:tcPr>
            <w:tcW w:type="dxa" w:w="3672"/>
            <w:vAlign w:val="center"/>
            <w:shd w:fill="EAF0F8"/>
          </w:tcPr>
          <w:p>
            <w:pPr>
              <w:spacing w:after="0"/>
            </w:pPr>
            <w:r/>
            <w:r>
              <w:rPr>
                <w:rFonts w:ascii="Aptos" w:hAnsi="Aptos"/>
                <w:b w:val="0"/>
                <w:sz w:val="11"/>
              </w:rPr>
              <w:t>Unknown broker outcome persists and forbids blind resubmission</w:t>
            </w:r>
          </w:p>
        </w:tc>
        <w:tc>
          <w:tcPr>
            <w:tcW w:type="dxa" w:w="1656"/>
            <w:vAlign w:val="center"/>
            <w:shd w:fill="EAF0F8"/>
          </w:tcPr>
          <w:p>
            <w:pPr>
              <w:spacing w:after="0"/>
            </w:pPr>
            <w:r/>
            <w:r>
              <w:rPr>
                <w:rFonts w:ascii="Aptos" w:hAnsi="Aptos"/>
                <w:b w:val="0"/>
                <w:sz w:val="11"/>
              </w:rPr>
              <w:t>40.02-I003; R41-CI016</w:t>
            </w:r>
          </w:p>
        </w:tc>
        <w:tc>
          <w:tcPr>
            <w:tcW w:type="dxa" w:w="1656"/>
            <w:vAlign w:val="center"/>
            <w:shd w:fill="EAF0F8"/>
          </w:tcPr>
          <w:p>
            <w:pPr>
              <w:spacing w:after="0"/>
            </w:pPr>
            <w:r/>
            <w:r>
              <w:rPr>
                <w:rFonts w:ascii="Aptos" w:hAnsi="Aptos"/>
                <w:b w:val="0"/>
                <w:sz w:val="11"/>
              </w:rPr>
              <w:t>oms.submission</w:t>
            </w:r>
          </w:p>
        </w:tc>
        <w:tc>
          <w:tcPr>
            <w:tcW w:type="dxa" w:w="1656"/>
            <w:vAlign w:val="center"/>
            <w:shd w:fill="EAF0F8"/>
          </w:tcPr>
          <w:p>
            <w:pPr>
              <w:spacing w:after="0"/>
            </w:pPr>
            <w:r/>
            <w:r>
              <w:rPr>
                <w:rFonts w:ascii="Aptos" w:hAnsi="Aptos"/>
                <w:b w:val="0"/>
                <w:sz w:val="11"/>
              </w:rPr>
              <w:t>TST-OMS-081-100</w:t>
            </w:r>
          </w:p>
        </w:tc>
        <w:tc>
          <w:tcPr>
            <w:tcW w:type="dxa" w:w="1872"/>
            <w:vAlign w:val="center"/>
            <w:shd w:fill="EAF0F8"/>
          </w:tcPr>
          <w:p>
            <w:pPr>
              <w:spacing w:after="0"/>
            </w:pPr>
            <w:r/>
            <w:r>
              <w:rPr>
                <w:rFonts w:ascii="Aptos" w:hAnsi="Aptos"/>
                <w:b w:val="0"/>
                <w:sz w:val="11"/>
              </w:rPr>
              <w:t>Unknown-age alert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IMP-019</w:t>
            </w:r>
          </w:p>
        </w:tc>
        <w:tc>
          <w:tcPr>
            <w:tcW w:type="dxa" w:w="3672"/>
            <w:vAlign w:val="center"/>
          </w:tcPr>
          <w:p>
            <w:pPr>
              <w:spacing w:after="0"/>
            </w:pPr>
            <w:r/>
            <w:r>
              <w:rPr>
                <w:rFonts w:ascii="Aptos" w:hAnsi="Aptos"/>
                <w:b w:val="0"/>
                <w:sz w:val="11"/>
              </w:rPr>
              <w:t>Monotonic fencing guards financial side effects</w:t>
            </w:r>
          </w:p>
        </w:tc>
        <w:tc>
          <w:tcPr>
            <w:tcW w:type="dxa" w:w="1656"/>
            <w:vAlign w:val="center"/>
          </w:tcPr>
          <w:p>
            <w:pPr>
              <w:spacing w:after="0"/>
            </w:pPr>
            <w:r/>
            <w:r>
              <w:rPr>
                <w:rFonts w:ascii="Aptos" w:hAnsi="Aptos"/>
                <w:b w:val="0"/>
                <w:sz w:val="11"/>
              </w:rPr>
              <w:t>40.04-I001</w:t>
            </w:r>
          </w:p>
        </w:tc>
        <w:tc>
          <w:tcPr>
            <w:tcW w:type="dxa" w:w="1656"/>
            <w:vAlign w:val="center"/>
          </w:tcPr>
          <w:p>
            <w:pPr>
              <w:spacing w:after="0"/>
            </w:pPr>
            <w:r/>
            <w:r>
              <w:rPr>
                <w:rFonts w:ascii="Aptos" w:hAnsi="Aptos"/>
                <w:b w:val="0"/>
                <w:sz w:val="11"/>
              </w:rPr>
              <w:t>runtime.fencing</w:t>
            </w:r>
          </w:p>
        </w:tc>
        <w:tc>
          <w:tcPr>
            <w:tcW w:type="dxa" w:w="1656"/>
            <w:vAlign w:val="center"/>
          </w:tcPr>
          <w:p>
            <w:pPr>
              <w:spacing w:after="0"/>
            </w:pPr>
            <w:r/>
            <w:r>
              <w:rPr>
                <w:rFonts w:ascii="Aptos" w:hAnsi="Aptos"/>
                <w:b w:val="0"/>
                <w:sz w:val="11"/>
              </w:rPr>
              <w:t>TST-RUN-001-020</w:t>
            </w:r>
          </w:p>
        </w:tc>
        <w:tc>
          <w:tcPr>
            <w:tcW w:type="dxa" w:w="1872"/>
            <w:vAlign w:val="center"/>
          </w:tcPr>
          <w:p>
            <w:pPr>
              <w:spacing w:after="0"/>
            </w:pPr>
            <w:r/>
            <w:r>
              <w:rPr>
                <w:rFonts w:ascii="Aptos" w:hAnsi="Aptos"/>
                <w:b w:val="0"/>
                <w:sz w:val="11"/>
              </w:rPr>
              <w:t>Stale-writer rejection</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IMP-020</w:t>
            </w:r>
          </w:p>
        </w:tc>
        <w:tc>
          <w:tcPr>
            <w:tcW w:type="dxa" w:w="3672"/>
            <w:vAlign w:val="center"/>
            <w:shd w:fill="EAF0F8"/>
          </w:tcPr>
          <w:p>
            <w:pPr>
              <w:spacing w:after="0"/>
            </w:pPr>
            <w:r/>
            <w:r>
              <w:rPr>
                <w:rFonts w:ascii="Aptos" w:hAnsi="Aptos"/>
                <w:b w:val="0"/>
                <w:sz w:val="11"/>
              </w:rPr>
              <w:t>Broker port isolates SDK and normalizes representations</w:t>
            </w:r>
          </w:p>
        </w:tc>
        <w:tc>
          <w:tcPr>
            <w:tcW w:type="dxa" w:w="1656"/>
            <w:vAlign w:val="center"/>
            <w:shd w:fill="EAF0F8"/>
          </w:tcPr>
          <w:p>
            <w:pPr>
              <w:spacing w:after="0"/>
            </w:pPr>
            <w:r/>
            <w:r>
              <w:rPr>
                <w:rFonts w:ascii="Aptos" w:hAnsi="Aptos"/>
                <w:b w:val="0"/>
                <w:sz w:val="11"/>
              </w:rPr>
              <w:t>Canonical broker boundary</w:t>
            </w:r>
          </w:p>
        </w:tc>
        <w:tc>
          <w:tcPr>
            <w:tcW w:type="dxa" w:w="1656"/>
            <w:vAlign w:val="center"/>
            <w:shd w:fill="EAF0F8"/>
          </w:tcPr>
          <w:p>
            <w:pPr>
              <w:spacing w:after="0"/>
            </w:pPr>
            <w:r/>
            <w:r>
              <w:rPr>
                <w:rFonts w:ascii="Aptos" w:hAnsi="Aptos"/>
                <w:b w:val="0"/>
                <w:sz w:val="11"/>
              </w:rPr>
              <w:t>broker.ports</w:t>
            </w:r>
          </w:p>
        </w:tc>
        <w:tc>
          <w:tcPr>
            <w:tcW w:type="dxa" w:w="1656"/>
            <w:vAlign w:val="center"/>
            <w:shd w:fill="EAF0F8"/>
          </w:tcPr>
          <w:p>
            <w:pPr>
              <w:spacing w:after="0"/>
            </w:pPr>
            <w:r/>
            <w:r>
              <w:rPr>
                <w:rFonts w:ascii="Aptos" w:hAnsi="Aptos"/>
                <w:b w:val="0"/>
                <w:sz w:val="11"/>
              </w:rPr>
              <w:t>TST-BRK-001-025</w:t>
            </w:r>
          </w:p>
        </w:tc>
        <w:tc>
          <w:tcPr>
            <w:tcW w:type="dxa" w:w="1872"/>
            <w:vAlign w:val="center"/>
            <w:shd w:fill="EAF0F8"/>
          </w:tcPr>
          <w:p>
            <w:pPr>
              <w:spacing w:after="0"/>
            </w:pPr>
            <w:r/>
            <w:r>
              <w:rPr>
                <w:rFonts w:ascii="Aptos" w:hAnsi="Aptos"/>
                <w:b w:val="0"/>
                <w:sz w:val="11"/>
              </w:rPr>
              <w:t>Adapter conformance</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IMP-021</w:t>
            </w:r>
          </w:p>
        </w:tc>
        <w:tc>
          <w:tcPr>
            <w:tcW w:type="dxa" w:w="3672"/>
            <w:vAlign w:val="center"/>
          </w:tcPr>
          <w:p>
            <w:r>
              <w:t>Fill deduplication yields effectively-once authoritative financial/economic effects under at-least-once delivery</w:t>
            </w:r>
          </w:p>
        </w:tc>
        <w:tc>
          <w:tcPr>
            <w:tcW w:type="dxa" w:w="1656"/>
            <w:vAlign w:val="center"/>
          </w:tcPr>
          <w:p>
            <w:pPr>
              <w:spacing w:after="0"/>
            </w:pPr>
            <w:r/>
            <w:r>
              <w:rPr>
                <w:rFonts w:ascii="Aptos" w:hAnsi="Aptos"/>
                <w:b w:val="0"/>
                <w:sz w:val="11"/>
              </w:rPr>
              <w:t>R41-CI020</w:t>
            </w:r>
          </w:p>
        </w:tc>
        <w:tc>
          <w:tcPr>
            <w:tcW w:type="dxa" w:w="1656"/>
            <w:vAlign w:val="center"/>
          </w:tcPr>
          <w:p>
            <w:pPr>
              <w:spacing w:after="0"/>
            </w:pPr>
            <w:r/>
            <w:r>
              <w:rPr>
                <w:rFonts w:ascii="Aptos" w:hAnsi="Aptos"/>
                <w:b w:val="0"/>
                <w:sz w:val="11"/>
              </w:rPr>
              <w:t>oms.fills / ledger</w:t>
            </w:r>
          </w:p>
        </w:tc>
        <w:tc>
          <w:tcPr>
            <w:tcW w:type="dxa" w:w="1656"/>
            <w:vAlign w:val="center"/>
          </w:tcPr>
          <w:p>
            <w:r>
              <w:t>Duplicate-fill metric plus deduplication/idempotency evidence</w:t>
            </w:r>
          </w:p>
        </w:tc>
        <w:tc>
          <w:tcPr>
            <w:tcW w:type="dxa" w:w="1872"/>
            <w:vAlign w:val="center"/>
          </w:tcPr>
          <w:p>
            <w:pPr>
              <w:spacing w:after="0"/>
            </w:pPr>
            <w:r/>
            <w:r>
              <w:rPr>
                <w:rFonts w:ascii="Aptos" w:hAnsi="Aptos"/>
                <w:b w:val="0"/>
                <w:sz w:val="11"/>
              </w:rPr>
              <w:t>Duplicate-fill metric</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IMP-022</w:t>
            </w:r>
          </w:p>
        </w:tc>
        <w:tc>
          <w:tcPr>
            <w:tcW w:type="dxa" w:w="3672"/>
            <w:vAlign w:val="center"/>
            <w:shd w:fill="EAF0F8"/>
          </w:tcPr>
          <w:p>
            <w:pPr>
              <w:spacing w:after="0"/>
            </w:pPr>
            <w:r/>
            <w:r>
              <w:rPr>
                <w:rFonts w:ascii="Aptos" w:hAnsi="Aptos"/>
                <w:b w:val="0"/>
                <w:sz w:val="11"/>
              </w:rPr>
              <w:t>Positions/lots/P&amp;L update consistently per partial fill</w:t>
            </w:r>
          </w:p>
        </w:tc>
        <w:tc>
          <w:tcPr>
            <w:tcW w:type="dxa" w:w="1656"/>
            <w:vAlign w:val="center"/>
            <w:shd w:fill="EAF0F8"/>
          </w:tcPr>
          <w:p>
            <w:pPr>
              <w:spacing w:after="0"/>
            </w:pPr>
            <w:r/>
            <w:r>
              <w:rPr>
                <w:rFonts w:ascii="Aptos" w:hAnsi="Aptos"/>
                <w:b w:val="0"/>
                <w:sz w:val="11"/>
              </w:rPr>
              <w:t>R41-CI009, CI013</w:t>
            </w:r>
          </w:p>
        </w:tc>
        <w:tc>
          <w:tcPr>
            <w:tcW w:type="dxa" w:w="1656"/>
            <w:vAlign w:val="center"/>
            <w:shd w:fill="EAF0F8"/>
          </w:tcPr>
          <w:p>
            <w:pPr>
              <w:spacing w:after="0"/>
            </w:pPr>
            <w:r/>
            <w:r>
              <w:rPr>
                <w:rFonts w:ascii="Aptos" w:hAnsi="Aptos"/>
                <w:b w:val="0"/>
                <w:sz w:val="11"/>
              </w:rPr>
              <w:t>positions</w:t>
            </w:r>
          </w:p>
        </w:tc>
        <w:tc>
          <w:tcPr>
            <w:tcW w:type="dxa" w:w="1656"/>
            <w:vAlign w:val="center"/>
            <w:shd w:fill="EAF0F8"/>
          </w:tcPr>
          <w:p>
            <w:pPr>
              <w:spacing w:after="0"/>
            </w:pPr>
            <w:r/>
            <w:r>
              <w:rPr>
                <w:rFonts w:ascii="Aptos" w:hAnsi="Aptos"/>
                <w:b w:val="0"/>
                <w:sz w:val="11"/>
              </w:rPr>
              <w:t>TST-POS-001-040</w:t>
            </w:r>
          </w:p>
        </w:tc>
        <w:tc>
          <w:tcPr>
            <w:tcW w:type="dxa" w:w="1872"/>
            <w:vAlign w:val="center"/>
            <w:shd w:fill="EAF0F8"/>
          </w:tcPr>
          <w:p>
            <w:pPr>
              <w:spacing w:after="0"/>
            </w:pPr>
            <w:r/>
            <w:r>
              <w:rPr>
                <w:rFonts w:ascii="Aptos" w:hAnsi="Aptos"/>
                <w:b w:val="0"/>
                <w:sz w:val="11"/>
              </w:rPr>
              <w:t>Position invariant alert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IMP-023</w:t>
            </w:r>
          </w:p>
        </w:tc>
        <w:tc>
          <w:tcPr>
            <w:tcW w:type="dxa" w:w="3672"/>
            <w:vAlign w:val="center"/>
          </w:tcPr>
          <w:p>
            <w:pPr>
              <w:spacing w:after="0"/>
            </w:pPr>
            <w:r/>
            <w:r>
              <w:rPr>
                <w:rFonts w:ascii="Aptos" w:hAnsi="Aptos"/>
                <w:b w:val="0"/>
                <w:sz w:val="11"/>
              </w:rPr>
              <w:t>Append-only balanced ledger with linked corrections</w:t>
            </w:r>
          </w:p>
        </w:tc>
        <w:tc>
          <w:tcPr>
            <w:tcW w:type="dxa" w:w="1656"/>
            <w:vAlign w:val="center"/>
          </w:tcPr>
          <w:p>
            <w:pPr>
              <w:spacing w:after="0"/>
            </w:pPr>
            <w:r/>
            <w:r>
              <w:rPr>
                <w:rFonts w:ascii="Aptos" w:hAnsi="Aptos"/>
                <w:b w:val="0"/>
                <w:sz w:val="11"/>
              </w:rPr>
              <w:t>R41-CI008-CI010</w:t>
            </w:r>
          </w:p>
        </w:tc>
        <w:tc>
          <w:tcPr>
            <w:tcW w:type="dxa" w:w="1656"/>
            <w:vAlign w:val="center"/>
          </w:tcPr>
          <w:p>
            <w:pPr>
              <w:spacing w:after="0"/>
            </w:pPr>
            <w:r/>
            <w:r>
              <w:rPr>
                <w:rFonts w:ascii="Aptos" w:hAnsi="Aptos"/>
                <w:b w:val="0"/>
                <w:sz w:val="11"/>
              </w:rPr>
              <w:t>ledger</w:t>
            </w:r>
          </w:p>
        </w:tc>
        <w:tc>
          <w:tcPr>
            <w:tcW w:type="dxa" w:w="1656"/>
            <w:vAlign w:val="center"/>
          </w:tcPr>
          <w:p>
            <w:pPr>
              <w:spacing w:after="0"/>
            </w:pPr>
            <w:r/>
            <w:r>
              <w:rPr>
                <w:rFonts w:ascii="Aptos" w:hAnsi="Aptos"/>
                <w:b w:val="0"/>
                <w:sz w:val="11"/>
              </w:rPr>
              <w:t>TST-LED-001-060</w:t>
            </w:r>
          </w:p>
        </w:tc>
        <w:tc>
          <w:tcPr>
            <w:tcW w:type="dxa" w:w="1872"/>
            <w:vAlign w:val="center"/>
          </w:tcPr>
          <w:p>
            <w:pPr>
              <w:spacing w:after="0"/>
            </w:pPr>
            <w:r/>
            <w:r>
              <w:rPr>
                <w:rFonts w:ascii="Aptos" w:hAnsi="Aptos"/>
                <w:b w:val="0"/>
                <w:sz w:val="11"/>
              </w:rPr>
              <w:t>Unbalanced-posting halt</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IMP-024</w:t>
            </w:r>
          </w:p>
        </w:tc>
        <w:tc>
          <w:tcPr>
            <w:tcW w:type="dxa" w:w="3672"/>
            <w:vAlign w:val="center"/>
            <w:shd w:fill="EAF0F8"/>
          </w:tcPr>
          <w:p>
            <w:pPr>
              <w:spacing w:after="0"/>
            </w:pPr>
            <w:r/>
            <w:r>
              <w:rPr>
                <w:rFonts w:ascii="Aptos" w:hAnsi="Aptos"/>
                <w:b w:val="0"/>
                <w:sz w:val="11"/>
              </w:rPr>
              <w:t>Reconciliation covers orders through account/collateral state</w:t>
            </w:r>
          </w:p>
        </w:tc>
        <w:tc>
          <w:tcPr>
            <w:tcW w:type="dxa" w:w="1656"/>
            <w:vAlign w:val="center"/>
            <w:shd w:fill="EAF0F8"/>
          </w:tcPr>
          <w:p>
            <w:pPr>
              <w:spacing w:after="0"/>
            </w:pPr>
            <w:r/>
            <w:r>
              <w:rPr>
                <w:rFonts w:ascii="Aptos" w:hAnsi="Aptos"/>
                <w:b w:val="0"/>
                <w:sz w:val="11"/>
              </w:rPr>
              <w:t>R41-CI011-CI014</w:t>
            </w:r>
          </w:p>
        </w:tc>
        <w:tc>
          <w:tcPr>
            <w:tcW w:type="dxa" w:w="1656"/>
            <w:vAlign w:val="center"/>
            <w:shd w:fill="EAF0F8"/>
          </w:tcPr>
          <w:p>
            <w:pPr>
              <w:spacing w:after="0"/>
            </w:pPr>
            <w:r/>
            <w:r>
              <w:rPr>
                <w:rFonts w:ascii="Aptos" w:hAnsi="Aptos"/>
                <w:b w:val="0"/>
                <w:sz w:val="11"/>
              </w:rPr>
              <w:t>reconciliation</w:t>
            </w:r>
          </w:p>
        </w:tc>
        <w:tc>
          <w:tcPr>
            <w:tcW w:type="dxa" w:w="1656"/>
            <w:vAlign w:val="center"/>
            <w:shd w:fill="EAF0F8"/>
          </w:tcPr>
          <w:p>
            <w:pPr>
              <w:spacing w:after="0"/>
            </w:pPr>
            <w:r/>
            <w:r>
              <w:rPr>
                <w:rFonts w:ascii="Aptos" w:hAnsi="Aptos"/>
                <w:b w:val="0"/>
                <w:sz w:val="11"/>
              </w:rPr>
              <w:t>TST-REC-001-070</w:t>
            </w:r>
          </w:p>
        </w:tc>
        <w:tc>
          <w:tcPr>
            <w:tcW w:type="dxa" w:w="1872"/>
            <w:vAlign w:val="center"/>
            <w:shd w:fill="EAF0F8"/>
          </w:tcPr>
          <w:p>
            <w:pPr>
              <w:spacing w:after="0"/>
            </w:pPr>
            <w:r/>
            <w:r>
              <w:rPr>
                <w:rFonts w:ascii="Aptos" w:hAnsi="Aptos"/>
                <w:b w:val="0"/>
                <w:sz w:val="11"/>
              </w:rPr>
              <w:t>Discrepancy severity SLO</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IMP-025</w:t>
            </w:r>
          </w:p>
        </w:tc>
        <w:tc>
          <w:tcPr>
            <w:tcW w:type="dxa" w:w="3672"/>
            <w:vAlign w:val="center"/>
          </w:tcPr>
          <w:p>
            <w:pPr>
              <w:spacing w:after="0"/>
            </w:pPr>
            <w:r/>
            <w:r>
              <w:rPr>
                <w:rFonts w:ascii="Aptos" w:hAnsi="Aptos"/>
                <w:b w:val="0"/>
                <w:sz w:val="11"/>
              </w:rPr>
              <w:t>External manual activity is detected and contained</w:t>
            </w:r>
          </w:p>
        </w:tc>
        <w:tc>
          <w:tcPr>
            <w:tcW w:type="dxa" w:w="1656"/>
            <w:vAlign w:val="center"/>
          </w:tcPr>
          <w:p>
            <w:pPr>
              <w:spacing w:after="0"/>
            </w:pPr>
            <w:r/>
            <w:r>
              <w:rPr>
                <w:rFonts w:ascii="Aptos" w:hAnsi="Aptos"/>
                <w:b w:val="0"/>
                <w:sz w:val="11"/>
              </w:rPr>
              <w:t>R41-CI012</w:t>
            </w:r>
          </w:p>
        </w:tc>
        <w:tc>
          <w:tcPr>
            <w:tcW w:type="dxa" w:w="1656"/>
            <w:vAlign w:val="center"/>
          </w:tcPr>
          <w:p>
            <w:pPr>
              <w:spacing w:after="0"/>
            </w:pPr>
            <w:r/>
            <w:r>
              <w:rPr>
                <w:rFonts w:ascii="Aptos" w:hAnsi="Aptos"/>
                <w:b w:val="0"/>
                <w:sz w:val="11"/>
              </w:rPr>
              <w:t>reconciliation.external</w:t>
            </w:r>
          </w:p>
        </w:tc>
        <w:tc>
          <w:tcPr>
            <w:tcW w:type="dxa" w:w="1656"/>
            <w:vAlign w:val="center"/>
          </w:tcPr>
          <w:p>
            <w:pPr>
              <w:spacing w:after="0"/>
            </w:pPr>
            <w:r/>
            <w:r>
              <w:rPr>
                <w:rFonts w:ascii="Aptos" w:hAnsi="Aptos"/>
                <w:b w:val="0"/>
                <w:sz w:val="11"/>
              </w:rPr>
              <w:t>TST-REC-071-080</w:t>
            </w:r>
          </w:p>
        </w:tc>
        <w:tc>
          <w:tcPr>
            <w:tcW w:type="dxa" w:w="1872"/>
            <w:vAlign w:val="center"/>
          </w:tcPr>
          <w:p>
            <w:pPr>
              <w:spacing w:after="0"/>
            </w:pPr>
            <w:r/>
            <w:r>
              <w:rPr>
                <w:rFonts w:ascii="Aptos" w:hAnsi="Aptos"/>
                <w:b w:val="0"/>
                <w:sz w:val="11"/>
              </w:rPr>
              <w:t>External-activity alert</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IMP-026</w:t>
            </w:r>
          </w:p>
        </w:tc>
        <w:tc>
          <w:tcPr>
            <w:tcW w:type="dxa" w:w="3672"/>
            <w:vAlign w:val="center"/>
            <w:shd w:fill="EAF0F8"/>
          </w:tcPr>
          <w:p>
            <w:pPr>
              <w:spacing w:after="0"/>
            </w:pPr>
            <w:r/>
            <w:r>
              <w:rPr>
                <w:rFonts w:ascii="Aptos" w:hAnsi="Aptos"/>
                <w:b w:val="0"/>
                <w:sz w:val="11"/>
              </w:rPr>
              <w:t>Transactional outbox and durable event deduplication</w:t>
            </w:r>
          </w:p>
        </w:tc>
        <w:tc>
          <w:tcPr>
            <w:tcW w:type="dxa" w:w="1656"/>
            <w:vAlign w:val="center"/>
            <w:shd w:fill="EAF0F8"/>
          </w:tcPr>
          <w:p>
            <w:pPr>
              <w:spacing w:after="0"/>
            </w:pPr>
            <w:r/>
            <w:r>
              <w:rPr>
                <w:rFonts w:ascii="Aptos" w:hAnsi="Aptos"/>
                <w:b w:val="0"/>
                <w:sz w:val="11"/>
              </w:rPr>
              <w:t>40.03-I003; R41-CI017</w:t>
            </w:r>
          </w:p>
        </w:tc>
        <w:tc>
          <w:tcPr>
            <w:tcW w:type="dxa" w:w="1656"/>
            <w:vAlign w:val="center"/>
            <w:shd w:fill="EAF0F8"/>
          </w:tcPr>
          <w:p>
            <w:pPr>
              <w:spacing w:after="0"/>
            </w:pPr>
            <w:r/>
            <w:r>
              <w:rPr>
                <w:rFonts w:ascii="Aptos" w:hAnsi="Aptos"/>
                <w:b w:val="0"/>
                <w:sz w:val="11"/>
              </w:rPr>
              <w:t>persistence.events</w:t>
            </w:r>
          </w:p>
        </w:tc>
        <w:tc>
          <w:tcPr>
            <w:tcW w:type="dxa" w:w="1656"/>
            <w:vAlign w:val="center"/>
            <w:shd w:fill="EAF0F8"/>
          </w:tcPr>
          <w:p>
            <w:pPr>
              <w:spacing w:after="0"/>
            </w:pPr>
            <w:r/>
            <w:r>
              <w:rPr>
                <w:rFonts w:ascii="Aptos" w:hAnsi="Aptos"/>
                <w:b w:val="0"/>
                <w:sz w:val="11"/>
              </w:rPr>
              <w:t>TST-EVT-001-040</w:t>
            </w:r>
          </w:p>
        </w:tc>
        <w:tc>
          <w:tcPr>
            <w:tcW w:type="dxa" w:w="1872"/>
            <w:vAlign w:val="center"/>
            <w:shd w:fill="EAF0F8"/>
          </w:tcPr>
          <w:p>
            <w:pPr>
              <w:spacing w:after="0"/>
            </w:pPr>
            <w:r/>
            <w:r>
              <w:rPr>
                <w:rFonts w:ascii="Aptos" w:hAnsi="Aptos"/>
                <w:b w:val="0"/>
                <w:sz w:val="11"/>
              </w:rPr>
              <w:t>Lag/integrity metrics</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IMP-027</w:t>
            </w:r>
          </w:p>
        </w:tc>
        <w:tc>
          <w:tcPr>
            <w:tcW w:type="dxa" w:w="3672"/>
            <w:vAlign w:val="center"/>
          </w:tcPr>
          <w:p>
            <w:pPr>
              <w:spacing w:after="0"/>
            </w:pPr>
            <w:r/>
            <w:r>
              <w:rPr>
                <w:rFonts w:ascii="Aptos" w:hAnsi="Aptos"/>
                <w:b w:val="0"/>
                <w:sz w:val="11"/>
              </w:rPr>
              <w:t>Replay runtime is technically non-executable</w:t>
            </w:r>
          </w:p>
        </w:tc>
        <w:tc>
          <w:tcPr>
            <w:tcW w:type="dxa" w:w="1656"/>
            <w:vAlign w:val="center"/>
          </w:tcPr>
          <w:p>
            <w:pPr>
              <w:spacing w:after="0"/>
            </w:pPr>
            <w:r/>
            <w:r>
              <w:rPr>
                <w:rFonts w:ascii="Aptos" w:hAnsi="Aptos"/>
                <w:b w:val="0"/>
                <w:sz w:val="11"/>
              </w:rPr>
              <w:t>R41-CI022, CI043</w:t>
            </w:r>
          </w:p>
        </w:tc>
        <w:tc>
          <w:tcPr>
            <w:tcW w:type="dxa" w:w="1656"/>
            <w:vAlign w:val="center"/>
          </w:tcPr>
          <w:p>
            <w:pPr>
              <w:spacing w:after="0"/>
            </w:pPr>
            <w:r/>
            <w:r>
              <w:rPr>
                <w:rFonts w:ascii="Aptos" w:hAnsi="Aptos"/>
                <w:b w:val="0"/>
                <w:sz w:val="11"/>
              </w:rPr>
              <w:t>runtime.replay</w:t>
            </w:r>
          </w:p>
        </w:tc>
        <w:tc>
          <w:tcPr>
            <w:tcW w:type="dxa" w:w="1656"/>
            <w:vAlign w:val="center"/>
          </w:tcPr>
          <w:p>
            <w:pPr>
              <w:spacing w:after="0"/>
            </w:pPr>
            <w:r/>
            <w:r>
              <w:rPr>
                <w:rFonts w:ascii="Aptos" w:hAnsi="Aptos"/>
                <w:b w:val="0"/>
                <w:sz w:val="11"/>
              </w:rPr>
              <w:t>TST-RUN-021-040</w:t>
            </w:r>
          </w:p>
        </w:tc>
        <w:tc>
          <w:tcPr>
            <w:tcW w:type="dxa" w:w="1872"/>
            <w:vAlign w:val="center"/>
          </w:tcPr>
          <w:p>
            <w:pPr>
              <w:spacing w:after="0"/>
            </w:pPr>
            <w:r/>
            <w:r>
              <w:rPr>
                <w:rFonts w:ascii="Aptos" w:hAnsi="Aptos"/>
                <w:b w:val="0"/>
                <w:sz w:val="11"/>
              </w:rPr>
              <w:t>Credential-absence proof</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IMP-028</w:t>
            </w:r>
          </w:p>
        </w:tc>
        <w:tc>
          <w:tcPr>
            <w:tcW w:type="dxa" w:w="3672"/>
            <w:vAlign w:val="center"/>
            <w:shd w:fill="EAF0F8"/>
          </w:tcPr>
          <w:p>
            <w:pPr>
              <w:spacing w:after="0"/>
            </w:pPr>
            <w:r/>
            <w:r>
              <w:rPr>
                <w:rFonts w:ascii="Aptos" w:hAnsi="Aptos"/>
                <w:b w:val="0"/>
                <w:sz w:val="11"/>
              </w:rPr>
              <w:t>Recovery gate re-establishes integrity and reconciliation</w:t>
            </w:r>
          </w:p>
        </w:tc>
        <w:tc>
          <w:tcPr>
            <w:tcW w:type="dxa" w:w="1656"/>
            <w:vAlign w:val="center"/>
            <w:shd w:fill="EAF0F8"/>
          </w:tcPr>
          <w:p>
            <w:pPr>
              <w:spacing w:after="0"/>
            </w:pPr>
            <w:r/>
            <w:r>
              <w:rPr>
                <w:rFonts w:ascii="Aptos" w:hAnsi="Aptos"/>
                <w:b w:val="0"/>
                <w:sz w:val="11"/>
              </w:rPr>
              <w:t>R41-CI004, CI041</w:t>
            </w:r>
          </w:p>
        </w:tc>
        <w:tc>
          <w:tcPr>
            <w:tcW w:type="dxa" w:w="1656"/>
            <w:vAlign w:val="center"/>
            <w:shd w:fill="EAF0F8"/>
          </w:tcPr>
          <w:p>
            <w:pPr>
              <w:spacing w:after="0"/>
            </w:pPr>
            <w:r/>
            <w:r>
              <w:rPr>
                <w:rFonts w:ascii="Aptos" w:hAnsi="Aptos"/>
                <w:b w:val="0"/>
                <w:sz w:val="11"/>
              </w:rPr>
              <w:t>runtime.recovery</w:t>
            </w:r>
          </w:p>
        </w:tc>
        <w:tc>
          <w:tcPr>
            <w:tcW w:type="dxa" w:w="1656"/>
            <w:vAlign w:val="center"/>
            <w:shd w:fill="EAF0F8"/>
          </w:tcPr>
          <w:p>
            <w:pPr>
              <w:spacing w:after="0"/>
            </w:pPr>
            <w:r/>
            <w:r>
              <w:rPr>
                <w:rFonts w:ascii="Aptos" w:hAnsi="Aptos"/>
                <w:b w:val="0"/>
                <w:sz w:val="11"/>
              </w:rPr>
              <w:t>TST-RCV-001-050</w:t>
            </w:r>
          </w:p>
        </w:tc>
        <w:tc>
          <w:tcPr>
            <w:tcW w:type="dxa" w:w="1872"/>
            <w:vAlign w:val="center"/>
            <w:shd w:fill="EAF0F8"/>
          </w:tcPr>
          <w:p>
            <w:pPr>
              <w:spacing w:after="0"/>
            </w:pPr>
            <w:r/>
            <w:r>
              <w:rPr>
                <w:rFonts w:ascii="Aptos" w:hAnsi="Aptos"/>
                <w:b w:val="0"/>
                <w:sz w:val="11"/>
              </w:rPr>
              <w:t>Recovery evidence manifest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IMP-029</w:t>
            </w:r>
          </w:p>
        </w:tc>
        <w:tc>
          <w:tcPr>
            <w:tcW w:type="dxa" w:w="3672"/>
            <w:vAlign w:val="center"/>
          </w:tcPr>
          <w:p>
            <w:pPr>
              <w:spacing w:after="0"/>
            </w:pPr>
            <w:r/>
            <w:r>
              <w:rPr>
                <w:rFonts w:ascii="Aptos" w:hAnsi="Aptos"/>
                <w:b w:val="0"/>
                <w:sz w:val="11"/>
              </w:rPr>
              <w:t>Environment-scoped secrets and least privilege</w:t>
            </w:r>
          </w:p>
        </w:tc>
        <w:tc>
          <w:tcPr>
            <w:tcW w:type="dxa" w:w="1656"/>
            <w:vAlign w:val="center"/>
          </w:tcPr>
          <w:p>
            <w:pPr>
              <w:spacing w:after="0"/>
            </w:pPr>
            <w:r/>
            <w:r>
              <w:rPr>
                <w:rFonts w:ascii="Aptos" w:hAnsi="Aptos"/>
                <w:b w:val="0"/>
                <w:sz w:val="11"/>
              </w:rPr>
              <w:t>R41-CI042-CI044</w:t>
            </w:r>
          </w:p>
        </w:tc>
        <w:tc>
          <w:tcPr>
            <w:tcW w:type="dxa" w:w="1656"/>
            <w:vAlign w:val="center"/>
          </w:tcPr>
          <w:p>
            <w:pPr>
              <w:spacing w:after="0"/>
            </w:pPr>
            <w:r/>
            <w:r>
              <w:rPr>
                <w:rFonts w:ascii="Aptos" w:hAnsi="Aptos"/>
                <w:b w:val="0"/>
                <w:sz w:val="11"/>
              </w:rPr>
              <w:t>security.secrets</w:t>
            </w:r>
          </w:p>
        </w:tc>
        <w:tc>
          <w:tcPr>
            <w:tcW w:type="dxa" w:w="1656"/>
            <w:vAlign w:val="center"/>
          </w:tcPr>
          <w:p>
            <w:pPr>
              <w:spacing w:after="0"/>
            </w:pPr>
            <w:r/>
            <w:r>
              <w:rPr>
                <w:rFonts w:ascii="Aptos" w:hAnsi="Aptos"/>
                <w:b w:val="0"/>
                <w:sz w:val="11"/>
              </w:rPr>
              <w:t>TST-SEC-001-030</w:t>
            </w:r>
          </w:p>
        </w:tc>
        <w:tc>
          <w:tcPr>
            <w:tcW w:type="dxa" w:w="1872"/>
            <w:vAlign w:val="center"/>
          </w:tcPr>
          <w:p>
            <w:pPr>
              <w:spacing w:after="0"/>
            </w:pPr>
            <w:r/>
            <w:r>
              <w:rPr>
                <w:rFonts w:ascii="Aptos" w:hAnsi="Aptos"/>
                <w:b w:val="0"/>
                <w:sz w:val="11"/>
              </w:rPr>
              <w:t>Secret scan/access logs</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IMP-030</w:t>
            </w:r>
          </w:p>
        </w:tc>
        <w:tc>
          <w:tcPr>
            <w:tcW w:type="dxa" w:w="3672"/>
            <w:vAlign w:val="center"/>
            <w:shd w:fill="EAF0F8"/>
          </w:tcPr>
          <w:p>
            <w:pPr>
              <w:spacing w:after="0"/>
            </w:pPr>
            <w:r/>
            <w:r>
              <w:rPr>
                <w:rFonts w:ascii="Aptos" w:hAnsi="Aptos"/>
                <w:b w:val="0"/>
                <w:sz w:val="11"/>
              </w:rPr>
              <w:t>Structured causal telemetry for every financial workflow</w:t>
            </w:r>
          </w:p>
        </w:tc>
        <w:tc>
          <w:tcPr>
            <w:tcW w:type="dxa" w:w="1656"/>
            <w:vAlign w:val="center"/>
            <w:shd w:fill="EAF0F8"/>
          </w:tcPr>
          <w:p>
            <w:pPr>
              <w:spacing w:after="0"/>
            </w:pPr>
            <w:r/>
            <w:r>
              <w:rPr>
                <w:rFonts w:ascii="Aptos" w:hAnsi="Aptos"/>
                <w:b w:val="0"/>
                <w:sz w:val="11"/>
              </w:rPr>
              <w:t>Canonical observability</w:t>
            </w:r>
          </w:p>
        </w:tc>
        <w:tc>
          <w:tcPr>
            <w:tcW w:type="dxa" w:w="1656"/>
            <w:vAlign w:val="center"/>
            <w:shd w:fill="EAF0F8"/>
          </w:tcPr>
          <w:p>
            <w:pPr>
              <w:spacing w:after="0"/>
            </w:pPr>
            <w:r/>
            <w:r>
              <w:rPr>
                <w:rFonts w:ascii="Aptos" w:hAnsi="Aptos"/>
                <w:b w:val="0"/>
                <w:sz w:val="11"/>
              </w:rPr>
              <w:t>observability</w:t>
            </w:r>
          </w:p>
        </w:tc>
        <w:tc>
          <w:tcPr>
            <w:tcW w:type="dxa" w:w="1656"/>
            <w:vAlign w:val="center"/>
            <w:shd w:fill="EAF0F8"/>
          </w:tcPr>
          <w:p>
            <w:pPr>
              <w:spacing w:after="0"/>
            </w:pPr>
            <w:r/>
            <w:r>
              <w:rPr>
                <w:rFonts w:ascii="Aptos" w:hAnsi="Aptos"/>
                <w:b w:val="0"/>
                <w:sz w:val="11"/>
              </w:rPr>
              <w:t>TST-OBS-001-020</w:t>
            </w:r>
          </w:p>
        </w:tc>
        <w:tc>
          <w:tcPr>
            <w:tcW w:type="dxa" w:w="1872"/>
            <w:vAlign w:val="center"/>
            <w:shd w:fill="EAF0F8"/>
          </w:tcPr>
          <w:p>
            <w:pPr>
              <w:spacing w:after="0"/>
            </w:pPr>
            <w:r/>
            <w:r>
              <w:rPr>
                <w:rFonts w:ascii="Aptos" w:hAnsi="Aptos"/>
                <w:b w:val="0"/>
                <w:sz w:val="11"/>
              </w:rPr>
              <w:t>Trace completeness SLO</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IMP-031</w:t>
            </w:r>
          </w:p>
        </w:tc>
        <w:tc>
          <w:tcPr>
            <w:tcW w:type="dxa" w:w="3672"/>
            <w:vAlign w:val="center"/>
          </w:tcPr>
          <w:p>
            <w:pPr>
              <w:spacing w:after="0"/>
            </w:pPr>
            <w:r/>
            <w:r>
              <w:rPr>
                <w:rFonts w:ascii="Aptos" w:hAnsi="Aptos"/>
                <w:b w:val="0"/>
                <w:sz w:val="11"/>
              </w:rPr>
              <w:t>Kill/restrict/cancel actions are idempotent and broker-aware</w:t>
            </w:r>
          </w:p>
        </w:tc>
        <w:tc>
          <w:tcPr>
            <w:tcW w:type="dxa" w:w="1656"/>
            <w:vAlign w:val="center"/>
          </w:tcPr>
          <w:p>
            <w:pPr>
              <w:spacing w:after="0"/>
            </w:pPr>
            <w:r/>
            <w:r>
              <w:rPr>
                <w:rFonts w:ascii="Aptos" w:hAnsi="Aptos"/>
                <w:b w:val="0"/>
                <w:sz w:val="11"/>
              </w:rPr>
              <w:t>R41-CI002, CI006-CI007</w:t>
            </w:r>
          </w:p>
        </w:tc>
        <w:tc>
          <w:tcPr>
            <w:tcW w:type="dxa" w:w="1656"/>
            <w:vAlign w:val="center"/>
          </w:tcPr>
          <w:p>
            <w:pPr>
              <w:spacing w:after="0"/>
            </w:pPr>
            <w:r/>
            <w:r>
              <w:rPr>
                <w:rFonts w:ascii="Aptos" w:hAnsi="Aptos"/>
                <w:b w:val="0"/>
                <w:sz w:val="11"/>
              </w:rPr>
              <w:t>operations.controls</w:t>
            </w:r>
          </w:p>
        </w:tc>
        <w:tc>
          <w:tcPr>
            <w:tcW w:type="dxa" w:w="1656"/>
            <w:vAlign w:val="center"/>
          </w:tcPr>
          <w:p>
            <w:pPr>
              <w:spacing w:after="0"/>
            </w:pPr>
            <w:r/>
            <w:r>
              <w:rPr>
                <w:rFonts w:ascii="Aptos" w:hAnsi="Aptos"/>
                <w:b w:val="0"/>
                <w:sz w:val="11"/>
              </w:rPr>
              <w:t>TST-OPS-021-050</w:t>
            </w:r>
          </w:p>
        </w:tc>
        <w:tc>
          <w:tcPr>
            <w:tcW w:type="dxa" w:w="1872"/>
            <w:vAlign w:val="center"/>
          </w:tcPr>
          <w:p>
            <w:pPr>
              <w:spacing w:after="0"/>
            </w:pPr>
            <w:r/>
            <w:r>
              <w:rPr>
                <w:rFonts w:ascii="Aptos" w:hAnsi="Aptos"/>
                <w:b w:val="0"/>
                <w:sz w:val="11"/>
              </w:rPr>
              <w:t>Kill rehearsal evidence</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IMP-032</w:t>
            </w:r>
          </w:p>
        </w:tc>
        <w:tc>
          <w:tcPr>
            <w:tcW w:type="dxa" w:w="3672"/>
            <w:vAlign w:val="center"/>
            <w:shd w:fill="EAF0F8"/>
          </w:tcPr>
          <w:p>
            <w:pPr>
              <w:spacing w:after="0"/>
            </w:pPr>
            <w:r/>
            <w:r>
              <w:rPr>
                <w:rFonts w:ascii="Aptos" w:hAnsi="Aptos"/>
                <w:b w:val="0"/>
                <w:sz w:val="11"/>
              </w:rPr>
              <w:t>Immutable release/config/model identity is decision-bound</w:t>
            </w:r>
          </w:p>
        </w:tc>
        <w:tc>
          <w:tcPr>
            <w:tcW w:type="dxa" w:w="1656"/>
            <w:vAlign w:val="center"/>
            <w:shd w:fill="EAF0F8"/>
          </w:tcPr>
          <w:p>
            <w:pPr>
              <w:spacing w:after="0"/>
            </w:pPr>
            <w:r/>
            <w:r>
              <w:rPr>
                <w:rFonts w:ascii="Aptos" w:hAnsi="Aptos"/>
                <w:b w:val="0"/>
                <w:sz w:val="11"/>
              </w:rPr>
              <w:t>R41-CI029, CI040-CI042</w:t>
            </w:r>
          </w:p>
        </w:tc>
        <w:tc>
          <w:tcPr>
            <w:tcW w:type="dxa" w:w="1656"/>
            <w:vAlign w:val="center"/>
            <w:shd w:fill="EAF0F8"/>
          </w:tcPr>
          <w:p>
            <w:pPr>
              <w:spacing w:after="0"/>
            </w:pPr>
            <w:r/>
            <w:r>
              <w:rPr>
                <w:rFonts w:ascii="Aptos" w:hAnsi="Aptos"/>
                <w:b w:val="0"/>
                <w:sz w:val="11"/>
              </w:rPr>
              <w:t>config / deployment</w:t>
            </w:r>
          </w:p>
        </w:tc>
        <w:tc>
          <w:tcPr>
            <w:tcW w:type="dxa" w:w="1656"/>
            <w:vAlign w:val="center"/>
            <w:shd w:fill="EAF0F8"/>
          </w:tcPr>
          <w:p>
            <w:pPr>
              <w:spacing w:after="0"/>
            </w:pPr>
            <w:r/>
            <w:r>
              <w:rPr>
                <w:rFonts w:ascii="Aptos" w:hAnsi="Aptos"/>
                <w:b w:val="0"/>
                <w:sz w:val="11"/>
              </w:rPr>
              <w:t>TST-REL-001-030</w:t>
            </w:r>
          </w:p>
        </w:tc>
        <w:tc>
          <w:tcPr>
            <w:tcW w:type="dxa" w:w="1872"/>
            <w:vAlign w:val="center"/>
            <w:shd w:fill="EAF0F8"/>
          </w:tcPr>
          <w:p>
            <w:pPr>
              <w:spacing w:after="0"/>
            </w:pPr>
            <w:r/>
            <w:r>
              <w:rPr>
                <w:rFonts w:ascii="Aptos" w:hAnsi="Aptos"/>
                <w:b w:val="0"/>
                <w:sz w:val="11"/>
              </w:rPr>
              <w:t>Drift alert</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IMP-033</w:t>
            </w:r>
          </w:p>
        </w:tc>
        <w:tc>
          <w:tcPr>
            <w:tcW w:type="dxa" w:w="3672"/>
            <w:vAlign w:val="center"/>
          </w:tcPr>
          <w:p>
            <w:pPr>
              <w:spacing w:after="0"/>
            </w:pPr>
            <w:r/>
            <w:r>
              <w:rPr>
                <w:rFonts w:ascii="Aptos" w:hAnsi="Aptos"/>
                <w:b w:val="0"/>
                <w:sz w:val="11"/>
              </w:rPr>
              <w:t>Lifecycle evidence manifests are machine-checkable</w:t>
            </w:r>
          </w:p>
        </w:tc>
        <w:tc>
          <w:tcPr>
            <w:tcW w:type="dxa" w:w="1656"/>
            <w:vAlign w:val="center"/>
          </w:tcPr>
          <w:p>
            <w:pPr>
              <w:spacing w:after="0"/>
            </w:pPr>
            <w:r/>
            <w:r>
              <w:rPr>
                <w:rFonts w:ascii="Aptos" w:hAnsi="Aptos"/>
                <w:b w:val="0"/>
                <w:sz w:val="11"/>
              </w:rPr>
              <w:t>Closure v1.4 §6</w:t>
            </w:r>
          </w:p>
        </w:tc>
        <w:tc>
          <w:tcPr>
            <w:tcW w:type="dxa" w:w="1656"/>
            <w:vAlign w:val="center"/>
          </w:tcPr>
          <w:p>
            <w:pPr>
              <w:spacing w:after="0"/>
            </w:pPr>
            <w:r/>
            <w:r>
              <w:rPr>
                <w:rFonts w:ascii="Aptos" w:hAnsi="Aptos"/>
                <w:b w:val="0"/>
                <w:sz w:val="11"/>
              </w:rPr>
              <w:t>audit.evidence</w:t>
            </w:r>
          </w:p>
        </w:tc>
        <w:tc>
          <w:tcPr>
            <w:tcW w:type="dxa" w:w="1656"/>
            <w:vAlign w:val="center"/>
          </w:tcPr>
          <w:p>
            <w:pPr>
              <w:spacing w:after="0"/>
            </w:pPr>
            <w:r/>
            <w:r>
              <w:rPr>
                <w:rFonts w:ascii="Aptos" w:hAnsi="Aptos"/>
                <w:b w:val="0"/>
                <w:sz w:val="11"/>
              </w:rPr>
              <w:t>TST-AUD-010-030</w:t>
            </w:r>
          </w:p>
        </w:tc>
        <w:tc>
          <w:tcPr>
            <w:tcW w:type="dxa" w:w="1872"/>
            <w:vAlign w:val="center"/>
          </w:tcPr>
          <w:p>
            <w:pPr>
              <w:spacing w:after="0"/>
            </w:pPr>
            <w:r/>
            <w:r>
              <w:rPr>
                <w:rFonts w:ascii="Aptos" w:hAnsi="Aptos"/>
                <w:b w:val="0"/>
                <w:sz w:val="11"/>
              </w:rPr>
              <w:t>Gate evaluator</w:t>
            </w:r>
          </w:p>
        </w:tc>
        <w:tc>
          <w:tcPr>
            <w:tcW w:type="dxa" w:w="936"/>
            <w:vAlign w:val="center"/>
          </w:tcPr>
          <w:p>
            <w:pPr>
              <w:spacing w:after="0"/>
            </w:pPr>
            <w:r/>
            <w:r>
              <w:rPr>
                <w:rFonts w:ascii="Aptos" w:hAnsi="Aptos"/>
                <w:b w:val="0"/>
                <w:sz w:val="11"/>
              </w:rPr>
              <w:t>Specified</w:t>
            </w:r>
          </w:p>
        </w:tc>
      </w:tr>
      <w:tr>
        <w:trPr>
          <w:cantSplit/>
        </w:trPr>
        <w:tc>
          <w:tcPr>
            <w:tcW w:type="dxa" w:w="936"/>
            <w:vAlign w:val="center"/>
            <w:shd w:fill="EAF0F8"/>
          </w:tcPr>
          <w:p>
            <w:pPr>
              <w:spacing w:after="0"/>
            </w:pPr>
            <w:r/>
            <w:r>
              <w:rPr>
                <w:rFonts w:ascii="Aptos" w:hAnsi="Aptos"/>
                <w:b w:val="0"/>
                <w:sz w:val="11"/>
              </w:rPr>
              <w:t>IMP-034</w:t>
            </w:r>
          </w:p>
        </w:tc>
        <w:tc>
          <w:tcPr>
            <w:tcW w:type="dxa" w:w="3672"/>
            <w:vAlign w:val="center"/>
            <w:shd w:fill="EAF0F8"/>
          </w:tcPr>
          <w:p>
            <w:pPr>
              <w:spacing w:after="0"/>
            </w:pPr>
            <w:r/>
            <w:r>
              <w:rPr>
                <w:rFonts w:ascii="Aptos" w:hAnsi="Aptos"/>
                <w:b w:val="0"/>
                <w:sz w:val="11"/>
              </w:rPr>
              <w:t>Material changes invalidate affected evidence</w:t>
            </w:r>
          </w:p>
        </w:tc>
        <w:tc>
          <w:tcPr>
            <w:tcW w:type="dxa" w:w="1656"/>
            <w:vAlign w:val="center"/>
            <w:shd w:fill="EAF0F8"/>
          </w:tcPr>
          <w:p>
            <w:pPr>
              <w:spacing w:after="0"/>
            </w:pPr>
            <w:r/>
            <w:r>
              <w:rPr>
                <w:rFonts w:ascii="Aptos" w:hAnsi="Aptos"/>
                <w:b w:val="0"/>
                <w:sz w:val="11"/>
              </w:rPr>
              <w:t>Closure v1.4 change control</w:t>
            </w:r>
          </w:p>
        </w:tc>
        <w:tc>
          <w:tcPr>
            <w:tcW w:type="dxa" w:w="1656"/>
            <w:vAlign w:val="center"/>
            <w:shd w:fill="EAF0F8"/>
          </w:tcPr>
          <w:p>
            <w:pPr>
              <w:spacing w:after="0"/>
            </w:pPr>
            <w:r/>
            <w:r>
              <w:rPr>
                <w:rFonts w:ascii="Aptos" w:hAnsi="Aptos"/>
                <w:b w:val="0"/>
                <w:sz w:val="11"/>
              </w:rPr>
              <w:t>audit.change_control</w:t>
            </w:r>
          </w:p>
        </w:tc>
        <w:tc>
          <w:tcPr>
            <w:tcW w:type="dxa" w:w="1656"/>
            <w:vAlign w:val="center"/>
            <w:shd w:fill="EAF0F8"/>
          </w:tcPr>
          <w:p>
            <w:pPr>
              <w:spacing w:after="0"/>
            </w:pPr>
            <w:r/>
            <w:r>
              <w:rPr>
                <w:rFonts w:ascii="Aptos" w:hAnsi="Aptos"/>
                <w:b w:val="0"/>
                <w:sz w:val="11"/>
              </w:rPr>
              <w:t>TST-AUD-031-040</w:t>
            </w:r>
          </w:p>
        </w:tc>
        <w:tc>
          <w:tcPr>
            <w:tcW w:type="dxa" w:w="1872"/>
            <w:vAlign w:val="center"/>
            <w:shd w:fill="EAF0F8"/>
          </w:tcPr>
          <w:p>
            <w:pPr>
              <w:spacing w:after="0"/>
            </w:pPr>
            <w:r/>
            <w:r>
              <w:rPr>
                <w:rFonts w:ascii="Aptos" w:hAnsi="Aptos"/>
                <w:b w:val="0"/>
                <w:sz w:val="11"/>
              </w:rPr>
              <w:t>Evidence invalidation log</w:t>
            </w:r>
          </w:p>
        </w:tc>
        <w:tc>
          <w:tcPr>
            <w:tcW w:type="dxa" w:w="936"/>
            <w:vAlign w:val="center"/>
            <w:shd w:fill="EAF0F8"/>
          </w:tcPr>
          <w:p>
            <w:pPr>
              <w:spacing w:after="0"/>
            </w:pPr>
            <w:r/>
            <w:r>
              <w:rPr>
                <w:rFonts w:ascii="Aptos" w:hAnsi="Aptos"/>
                <w:b w:val="0"/>
                <w:sz w:val="11"/>
              </w:rPr>
              <w:t>Specified</w:t>
            </w:r>
          </w:p>
        </w:tc>
      </w:tr>
      <w:tr>
        <w:trPr>
          <w:cantSplit/>
        </w:trPr>
        <w:tc>
          <w:tcPr>
            <w:tcW w:type="dxa" w:w="936"/>
            <w:vAlign w:val="center"/>
          </w:tcPr>
          <w:p>
            <w:pPr>
              <w:spacing w:after="0"/>
            </w:pPr>
            <w:r/>
            <w:r>
              <w:rPr>
                <w:rFonts w:ascii="Aptos" w:hAnsi="Aptos"/>
                <w:b w:val="0"/>
                <w:sz w:val="11"/>
              </w:rPr>
              <w:t>IMP-035</w:t>
            </w:r>
          </w:p>
        </w:tc>
        <w:tc>
          <w:tcPr>
            <w:tcW w:type="dxa" w:w="3672"/>
            <w:vAlign w:val="center"/>
          </w:tcPr>
          <w:p>
            <w:pPr>
              <w:spacing w:after="0"/>
            </w:pPr>
            <w:r/>
            <w:r>
              <w:rPr>
                <w:rFonts w:ascii="Aptos" w:hAnsi="Aptos"/>
                <w:b w:val="0"/>
                <w:sz w:val="11"/>
              </w:rPr>
              <w:t>Production code paths cannot run without explicit positive live gate</w:t>
            </w:r>
          </w:p>
        </w:tc>
        <w:tc>
          <w:tcPr>
            <w:tcW w:type="dxa" w:w="1656"/>
            <w:vAlign w:val="center"/>
          </w:tcPr>
          <w:p>
            <w:pPr>
              <w:spacing w:after="0"/>
            </w:pPr>
            <w:r/>
            <w:r>
              <w:rPr>
                <w:rFonts w:ascii="Aptos" w:hAnsi="Aptos"/>
                <w:b w:val="0"/>
                <w:sz w:val="11"/>
              </w:rPr>
              <w:t>40.07-I002</w:t>
            </w:r>
          </w:p>
        </w:tc>
        <w:tc>
          <w:tcPr>
            <w:tcW w:type="dxa" w:w="1656"/>
            <w:vAlign w:val="center"/>
          </w:tcPr>
          <w:p>
            <w:pPr>
              <w:spacing w:after="0"/>
            </w:pPr>
            <w:r/>
            <w:r>
              <w:rPr>
                <w:rFonts w:ascii="Aptos" w:hAnsi="Aptos"/>
                <w:b w:val="0"/>
                <w:sz w:val="11"/>
              </w:rPr>
              <w:t>operations.live_gate</w:t>
            </w:r>
          </w:p>
        </w:tc>
        <w:tc>
          <w:tcPr>
            <w:tcW w:type="dxa" w:w="1656"/>
            <w:vAlign w:val="center"/>
          </w:tcPr>
          <w:p>
            <w:pPr>
              <w:spacing w:after="0"/>
            </w:pPr>
            <w:r/>
            <w:r>
              <w:rPr>
                <w:rFonts w:ascii="Aptos" w:hAnsi="Aptos"/>
                <w:b w:val="0"/>
                <w:sz w:val="11"/>
              </w:rPr>
              <w:t>TST-LIVE-001-020</w:t>
            </w:r>
          </w:p>
        </w:tc>
        <w:tc>
          <w:tcPr>
            <w:tcW w:type="dxa" w:w="1872"/>
            <w:vAlign w:val="center"/>
          </w:tcPr>
          <w:p>
            <w:pPr>
              <w:spacing w:after="0"/>
            </w:pPr>
            <w:r/>
            <w:r>
              <w:rPr>
                <w:rFonts w:ascii="Aptos" w:hAnsi="Aptos"/>
                <w:b w:val="0"/>
                <w:sz w:val="11"/>
              </w:rPr>
              <w:t>Non-bypass proof</w:t>
            </w:r>
          </w:p>
        </w:tc>
        <w:tc>
          <w:tcPr>
            <w:tcW w:type="dxa" w:w="936"/>
            <w:vAlign w:val="center"/>
          </w:tcPr>
          <w:p>
            <w:pPr>
              <w:spacing w:after="0"/>
            </w:pPr>
            <w:r/>
            <w:r>
              <w:rPr>
                <w:rFonts w:ascii="Aptos" w:hAnsi="Aptos"/>
                <w:b w:val="0"/>
                <w:sz w:val="11"/>
              </w:rPr>
              <w:t>Specified</w:t>
            </w:r>
          </w:p>
        </w:tc>
      </w:tr>
    </w:tbl>
    <w:p>
      <w:pPr>
        <w:spacing w:after="0"/>
      </w:pPr>
    </w:p>
    <w:p>
      <w:pPr>
        <w:pStyle w:val="Title"/>
      </w:pPr>
      <w:r>
        <w:t>8. Persistence Baseline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592"/>
            <w:vAlign w:val="center"/>
            <w:shd w:fill="17365D"/>
          </w:tcPr>
          <w:p>
            <w:pPr>
              <w:spacing w:after="0"/>
            </w:pPr>
            <w:r/>
            <w:r>
              <w:rPr>
                <w:rFonts w:ascii="Aptos" w:hAnsi="Aptos"/>
                <w:b/>
                <w:color w:val="FFFFFF"/>
                <w:sz w:val="14"/>
              </w:rPr>
              <w:t>Store/object</w:t>
            </w:r>
          </w:p>
        </w:tc>
        <w:tc>
          <w:tcPr>
            <w:tcW w:type="dxa" w:w="2160"/>
            <w:vAlign w:val="center"/>
            <w:shd w:fill="17365D"/>
          </w:tcPr>
          <w:p>
            <w:pPr>
              <w:spacing w:after="0"/>
            </w:pPr>
            <w:r/>
            <w:r>
              <w:rPr>
                <w:rFonts w:ascii="Aptos" w:hAnsi="Aptos"/>
                <w:b/>
                <w:color w:val="FFFFFF"/>
                <w:sz w:val="14"/>
              </w:rPr>
              <w:t>Category</w:t>
            </w:r>
          </w:p>
        </w:tc>
        <w:tc>
          <w:tcPr>
            <w:tcW w:type="dxa" w:w="5616"/>
            <w:vAlign w:val="center"/>
            <w:shd w:fill="17365D"/>
          </w:tcPr>
          <w:p>
            <w:pPr>
              <w:spacing w:after="0"/>
            </w:pPr>
            <w:r/>
            <w:r>
              <w:rPr>
                <w:rFonts w:ascii="Aptos" w:hAnsi="Aptos"/>
                <w:b/>
                <w:color w:val="FFFFFF"/>
                <w:sz w:val="14"/>
              </w:rPr>
              <w:t>Key control</w:t>
            </w:r>
          </w:p>
        </w:tc>
      </w:tr>
      <w:tr>
        <w:trPr>
          <w:cantSplit/>
        </w:trPr>
        <w:tc>
          <w:tcPr>
            <w:tcW w:type="dxa" w:w="2592"/>
            <w:vAlign w:val="center"/>
          </w:tcPr>
          <w:p>
            <w:pPr>
              <w:spacing w:after="0"/>
            </w:pPr>
            <w:r/>
            <w:r>
              <w:rPr>
                <w:rFonts w:ascii="Aptos" w:hAnsi="Aptos"/>
                <w:b w:val="0"/>
                <w:sz w:val="13"/>
              </w:rPr>
              <w:t>PostgreSQL event_history</w:t>
            </w:r>
          </w:p>
        </w:tc>
        <w:tc>
          <w:tcPr>
            <w:tcW w:type="dxa" w:w="2160"/>
            <w:vAlign w:val="center"/>
          </w:tcPr>
          <w:p>
            <w:pPr>
              <w:spacing w:after="0"/>
            </w:pPr>
            <w:r/>
            <w:r>
              <w:rPr>
                <w:rFonts w:ascii="Aptos" w:hAnsi="Aptos"/>
                <w:b w:val="0"/>
                <w:sz w:val="13"/>
              </w:rPr>
              <w:t>Authoritative append-only</w:t>
            </w:r>
          </w:p>
        </w:tc>
        <w:tc>
          <w:tcPr>
            <w:tcW w:type="dxa" w:w="5616"/>
            <w:vAlign w:val="center"/>
          </w:tcPr>
          <w:p>
            <w:pPr>
              <w:spacing w:after="0"/>
            </w:pPr>
            <w:r/>
            <w:r>
              <w:rPr>
                <w:rFonts w:ascii="Aptos" w:hAnsi="Aptos"/>
                <w:b w:val="0"/>
                <w:sz w:val="13"/>
              </w:rPr>
              <w:t>Event ID uniqueness, stream version, causation, schema version, hash/integrity metadata.</w:t>
            </w:r>
          </w:p>
        </w:tc>
      </w:tr>
      <w:tr>
        <w:trPr>
          <w:cantSplit/>
        </w:trPr>
        <w:tc>
          <w:tcPr>
            <w:tcW w:type="dxa" w:w="2592"/>
            <w:vAlign w:val="center"/>
            <w:shd w:fill="EAF0F8"/>
          </w:tcPr>
          <w:p>
            <w:pPr>
              <w:spacing w:after="0"/>
            </w:pPr>
            <w:r/>
            <w:r>
              <w:rPr>
                <w:rFonts w:ascii="Aptos" w:hAnsi="Aptos"/>
                <w:b w:val="0"/>
                <w:sz w:val="13"/>
              </w:rPr>
              <w:t>PostgreSQL command_inbox/outbox</w:t>
            </w:r>
          </w:p>
        </w:tc>
        <w:tc>
          <w:tcPr>
            <w:tcW w:type="dxa" w:w="2160"/>
            <w:vAlign w:val="center"/>
            <w:shd w:fill="EAF0F8"/>
          </w:tcPr>
          <w:p>
            <w:pPr>
              <w:spacing w:after="0"/>
            </w:pPr>
            <w:r/>
            <w:r>
              <w:rPr>
                <w:rFonts w:ascii="Aptos" w:hAnsi="Aptos"/>
                <w:b w:val="0"/>
                <w:sz w:val="13"/>
              </w:rPr>
              <w:t>Authoritative workflow</w:t>
            </w:r>
          </w:p>
        </w:tc>
        <w:tc>
          <w:tcPr>
            <w:tcW w:type="dxa" w:w="5616"/>
            <w:vAlign w:val="center"/>
            <w:shd w:fill="EAF0F8"/>
          </w:tcPr>
          <w:p>
            <w:pPr>
              <w:spacing w:after="0"/>
            </w:pPr>
            <w:r/>
            <w:r>
              <w:rPr>
                <w:rFonts w:ascii="Aptos" w:hAnsi="Aptos"/>
                <w:b w:val="0"/>
                <w:sz w:val="13"/>
              </w:rPr>
              <w:t>Transactional consume/publish, durable deduplication, retry status.</w:t>
            </w:r>
          </w:p>
        </w:tc>
      </w:tr>
      <w:tr>
        <w:trPr>
          <w:cantSplit/>
        </w:trPr>
        <w:tc>
          <w:tcPr>
            <w:tcW w:type="dxa" w:w="2592"/>
            <w:vAlign w:val="center"/>
          </w:tcPr>
          <w:p>
            <w:pPr>
              <w:spacing w:after="0"/>
            </w:pPr>
            <w:r/>
            <w:r>
              <w:rPr>
                <w:rFonts w:ascii="Aptos" w:hAnsi="Aptos"/>
                <w:b w:val="0"/>
                <w:sz w:val="13"/>
              </w:rPr>
              <w:t>Decisions/approvals</w:t>
            </w:r>
          </w:p>
        </w:tc>
        <w:tc>
          <w:tcPr>
            <w:tcW w:type="dxa" w:w="2160"/>
            <w:vAlign w:val="center"/>
          </w:tcPr>
          <w:p>
            <w:pPr>
              <w:spacing w:after="0"/>
            </w:pPr>
            <w:r/>
            <w:r>
              <w:rPr>
                <w:rFonts w:ascii="Aptos" w:hAnsi="Aptos"/>
                <w:b w:val="0"/>
                <w:sz w:val="13"/>
              </w:rPr>
              <w:t>Authoritative evidence</w:t>
            </w:r>
          </w:p>
        </w:tc>
        <w:tc>
          <w:tcPr>
            <w:tcW w:type="dxa" w:w="5616"/>
            <w:vAlign w:val="center"/>
          </w:tcPr>
          <w:p>
            <w:pPr>
              <w:spacing w:after="0"/>
            </w:pPr>
            <w:r/>
            <w:r>
              <w:rPr>
                <w:rFonts w:ascii="Aptos" w:hAnsi="Aptos"/>
                <w:b w:val="0"/>
                <w:sz w:val="13"/>
              </w:rPr>
              <w:t>Immutable lineage, scope, expiry, authority/control epochs.</w:t>
            </w:r>
          </w:p>
        </w:tc>
      </w:tr>
      <w:tr>
        <w:trPr>
          <w:cantSplit/>
        </w:trPr>
        <w:tc>
          <w:tcPr>
            <w:tcW w:type="dxa" w:w="2592"/>
            <w:vAlign w:val="center"/>
            <w:shd w:fill="EAF0F8"/>
          </w:tcPr>
          <w:p>
            <w:pPr>
              <w:spacing w:after="0"/>
            </w:pPr>
            <w:r/>
            <w:r>
              <w:rPr>
                <w:rFonts w:ascii="Aptos" w:hAnsi="Aptos"/>
                <w:b w:val="0"/>
                <w:sz w:val="13"/>
              </w:rPr>
              <w:t>OMS aggregates</w:t>
            </w:r>
          </w:p>
        </w:tc>
        <w:tc>
          <w:tcPr>
            <w:tcW w:type="dxa" w:w="2160"/>
            <w:vAlign w:val="center"/>
            <w:shd w:fill="EAF0F8"/>
          </w:tcPr>
          <w:p>
            <w:pPr>
              <w:spacing w:after="0"/>
            </w:pPr>
            <w:r/>
            <w:r>
              <w:rPr>
                <w:rFonts w:ascii="Aptos" w:hAnsi="Aptos"/>
                <w:b w:val="0"/>
                <w:sz w:val="13"/>
              </w:rPr>
              <w:t>Authoritative internal lifecycle</w:t>
            </w:r>
          </w:p>
        </w:tc>
        <w:tc>
          <w:tcPr>
            <w:tcW w:type="dxa" w:w="5616"/>
            <w:vAlign w:val="center"/>
            <w:shd w:fill="EAF0F8"/>
          </w:tcPr>
          <w:p>
            <w:pPr>
              <w:spacing w:after="0"/>
            </w:pPr>
            <w:r/>
            <w:r>
              <w:rPr>
                <w:rFonts w:ascii="Aptos" w:hAnsi="Aptos"/>
                <w:b w:val="0"/>
                <w:sz w:val="13"/>
              </w:rPr>
              <w:t>Optimistic concurrency; legal transition constraints; submission ambiguity durable.</w:t>
            </w:r>
          </w:p>
        </w:tc>
      </w:tr>
      <w:tr>
        <w:trPr>
          <w:cantSplit/>
        </w:trPr>
        <w:tc>
          <w:tcPr>
            <w:tcW w:type="dxa" w:w="2592"/>
            <w:vAlign w:val="center"/>
          </w:tcPr>
          <w:p>
            <w:pPr>
              <w:spacing w:after="0"/>
            </w:pPr>
            <w:r/>
            <w:r>
              <w:rPr>
                <w:rFonts w:ascii="Aptos" w:hAnsi="Aptos"/>
                <w:b w:val="0"/>
                <w:sz w:val="13"/>
              </w:rPr>
              <w:t>Broker observations</w:t>
            </w:r>
          </w:p>
        </w:tc>
        <w:tc>
          <w:tcPr>
            <w:tcW w:type="dxa" w:w="2160"/>
            <w:vAlign w:val="center"/>
          </w:tcPr>
          <w:p>
            <w:pPr>
              <w:spacing w:after="0"/>
            </w:pPr>
            <w:r/>
            <w:r>
              <w:rPr>
                <w:rFonts w:ascii="Aptos" w:hAnsi="Aptos"/>
                <w:b w:val="0"/>
                <w:sz w:val="13"/>
              </w:rPr>
              <w:t>Authoritative external evidence copy</w:t>
            </w:r>
          </w:p>
        </w:tc>
        <w:tc>
          <w:tcPr>
            <w:tcW w:type="dxa" w:w="5616"/>
            <w:vAlign w:val="center"/>
          </w:tcPr>
          <w:p>
            <w:pPr>
              <w:spacing w:after="0"/>
            </w:pPr>
            <w:r/>
            <w:r>
              <w:rPr>
                <w:rFonts w:ascii="Aptos" w:hAnsi="Aptos"/>
                <w:b w:val="0"/>
                <w:sz w:val="13"/>
              </w:rPr>
              <w:t>Raw payload retention plus canonical normalization; source/time identity.</w:t>
            </w:r>
          </w:p>
        </w:tc>
      </w:tr>
      <w:tr>
        <w:trPr>
          <w:cantSplit/>
        </w:trPr>
        <w:tc>
          <w:tcPr>
            <w:tcW w:type="dxa" w:w="2592"/>
            <w:vAlign w:val="center"/>
            <w:shd w:fill="EAF0F8"/>
          </w:tcPr>
          <w:p>
            <w:pPr>
              <w:spacing w:after="0"/>
            </w:pPr>
            <w:r/>
            <w:r>
              <w:rPr>
                <w:rFonts w:ascii="Aptos" w:hAnsi="Aptos"/>
                <w:b w:val="0"/>
                <w:sz w:val="13"/>
              </w:rPr>
              <w:t>Ledger entries/postings</w:t>
            </w:r>
          </w:p>
        </w:tc>
        <w:tc>
          <w:tcPr>
            <w:tcW w:type="dxa" w:w="2160"/>
            <w:vAlign w:val="center"/>
            <w:shd w:fill="EAF0F8"/>
          </w:tcPr>
          <w:p>
            <w:pPr>
              <w:spacing w:after="0"/>
            </w:pPr>
            <w:r/>
            <w:r>
              <w:rPr>
                <w:rFonts w:ascii="Aptos" w:hAnsi="Aptos"/>
                <w:b w:val="0"/>
                <w:sz w:val="13"/>
              </w:rPr>
              <w:t>Authoritative financial history</w:t>
            </w:r>
          </w:p>
        </w:tc>
        <w:tc>
          <w:tcPr>
            <w:tcW w:type="dxa" w:w="5616"/>
            <w:vAlign w:val="center"/>
            <w:shd w:fill="EAF0F8"/>
          </w:tcPr>
          <w:p>
            <w:pPr>
              <w:spacing w:after="0"/>
            </w:pPr>
            <w:r/>
            <w:r>
              <w:rPr>
                <w:rFonts w:ascii="Aptos" w:hAnsi="Aptos"/>
                <w:b w:val="0"/>
                <w:sz w:val="13"/>
              </w:rPr>
              <w:t>Balanced transaction; append-only; linked reversal/correction.</w:t>
            </w:r>
          </w:p>
        </w:tc>
      </w:tr>
      <w:tr>
        <w:trPr>
          <w:cantSplit/>
        </w:trPr>
        <w:tc>
          <w:tcPr>
            <w:tcW w:type="dxa" w:w="2592"/>
            <w:vAlign w:val="center"/>
          </w:tcPr>
          <w:p>
            <w:pPr>
              <w:spacing w:after="0"/>
            </w:pPr>
            <w:r/>
            <w:r>
              <w:rPr>
                <w:rFonts w:ascii="Aptos" w:hAnsi="Aptos"/>
                <w:b w:val="0"/>
                <w:sz w:val="13"/>
              </w:rPr>
              <w:t>Reconciliation cases</w:t>
            </w:r>
          </w:p>
        </w:tc>
        <w:tc>
          <w:tcPr>
            <w:tcW w:type="dxa" w:w="2160"/>
            <w:vAlign w:val="center"/>
          </w:tcPr>
          <w:p>
            <w:pPr>
              <w:spacing w:after="0"/>
            </w:pPr>
            <w:r/>
            <w:r>
              <w:rPr>
                <w:rFonts w:ascii="Aptos" w:hAnsi="Aptos"/>
                <w:b w:val="0"/>
                <w:sz w:val="13"/>
              </w:rPr>
              <w:t>Authoritative discrepancy workflow</w:t>
            </w:r>
          </w:p>
        </w:tc>
        <w:tc>
          <w:tcPr>
            <w:tcW w:type="dxa" w:w="5616"/>
            <w:vAlign w:val="center"/>
          </w:tcPr>
          <w:p>
            <w:pPr>
              <w:spacing w:after="0"/>
            </w:pPr>
            <w:r/>
            <w:r>
              <w:rPr>
                <w:rFonts w:ascii="Aptos" w:hAnsi="Aptos"/>
                <w:b w:val="0"/>
                <w:sz w:val="13"/>
              </w:rPr>
              <w:t>Evidence, severity, confidence, containment, correction lineage.</w:t>
            </w:r>
          </w:p>
        </w:tc>
      </w:tr>
      <w:tr>
        <w:trPr>
          <w:cantSplit/>
        </w:trPr>
        <w:tc>
          <w:tcPr>
            <w:tcW w:type="dxa" w:w="2592"/>
            <w:vAlign w:val="center"/>
            <w:shd w:fill="EAF0F8"/>
          </w:tcPr>
          <w:p>
            <w:pPr>
              <w:spacing w:after="0"/>
            </w:pPr>
            <w:r/>
            <w:r>
              <w:rPr>
                <w:rFonts w:ascii="Aptos" w:hAnsi="Aptos"/>
                <w:b w:val="0"/>
                <w:sz w:val="13"/>
              </w:rPr>
              <w:t>Projections/caches</w:t>
            </w:r>
          </w:p>
        </w:tc>
        <w:tc>
          <w:tcPr>
            <w:tcW w:type="dxa" w:w="2160"/>
            <w:vAlign w:val="center"/>
            <w:shd w:fill="EAF0F8"/>
          </w:tcPr>
          <w:p>
            <w:pPr>
              <w:spacing w:after="0"/>
            </w:pPr>
            <w:r/>
            <w:r>
              <w:rPr>
                <w:rFonts w:ascii="Aptos" w:hAnsi="Aptos"/>
                <w:b w:val="0"/>
                <w:sz w:val="13"/>
              </w:rPr>
              <w:t>Derived</w:t>
            </w:r>
          </w:p>
        </w:tc>
        <w:tc>
          <w:tcPr>
            <w:tcW w:type="dxa" w:w="5616"/>
            <w:vAlign w:val="center"/>
            <w:shd w:fill="EAF0F8"/>
          </w:tcPr>
          <w:p>
            <w:pPr>
              <w:spacing w:after="0"/>
            </w:pPr>
            <w:r/>
            <w:r>
              <w:rPr>
                <w:rFonts w:ascii="Aptos" w:hAnsi="Aptos"/>
                <w:b w:val="0"/>
                <w:sz w:val="13"/>
              </w:rPr>
              <w:t>Rebuildable from authoritative sources; never sole recovery authority.</w:t>
            </w:r>
          </w:p>
        </w:tc>
      </w:tr>
      <w:tr>
        <w:trPr>
          <w:cantSplit/>
        </w:trPr>
        <w:tc>
          <w:tcPr>
            <w:tcW w:type="dxa" w:w="2592"/>
            <w:vAlign w:val="center"/>
          </w:tcPr>
          <w:p>
            <w:pPr>
              <w:spacing w:after="0"/>
            </w:pPr>
            <w:r/>
            <w:r>
              <w:rPr>
                <w:rFonts w:ascii="Aptos" w:hAnsi="Aptos"/>
                <w:b w:val="0"/>
                <w:sz w:val="13"/>
              </w:rPr>
              <w:t>Parquet/Arrow datasets</w:t>
            </w:r>
          </w:p>
        </w:tc>
        <w:tc>
          <w:tcPr>
            <w:tcW w:type="dxa" w:w="2160"/>
            <w:vAlign w:val="center"/>
          </w:tcPr>
          <w:p>
            <w:pPr>
              <w:spacing w:after="0"/>
            </w:pPr>
            <w:r/>
            <w:r>
              <w:rPr>
                <w:rFonts w:ascii="Aptos" w:hAnsi="Aptos"/>
                <w:b w:val="0"/>
                <w:sz w:val="13"/>
              </w:rPr>
              <w:t>Immutable analytical evidence</w:t>
            </w:r>
          </w:p>
        </w:tc>
        <w:tc>
          <w:tcPr>
            <w:tcW w:type="dxa" w:w="5616"/>
            <w:vAlign w:val="center"/>
          </w:tcPr>
          <w:p>
            <w:pPr>
              <w:spacing w:after="0"/>
            </w:pPr>
            <w:r/>
            <w:r>
              <w:rPr>
                <w:rFonts w:ascii="Aptos" w:hAnsi="Aptos"/>
                <w:b w:val="0"/>
                <w:sz w:val="13"/>
              </w:rPr>
              <w:t>Point-in-time manifest, content hash, source/version/licence metadata.</w:t>
            </w:r>
          </w:p>
        </w:tc>
      </w:tr>
      <w:tr>
        <w:trPr>
          <w:cantSplit/>
        </w:trPr>
        <w:tc>
          <w:tcPr>
            <w:tcW w:type="dxa" w:w="2592"/>
            <w:vAlign w:val="center"/>
            <w:shd w:fill="EAF0F8"/>
          </w:tcPr>
          <w:p>
            <w:pPr>
              <w:spacing w:after="0"/>
            </w:pPr>
            <w:r/>
            <w:r>
              <w:rPr>
                <w:rFonts w:ascii="Aptos" w:hAnsi="Aptos"/>
                <w:b w:val="0"/>
                <w:sz w:val="13"/>
              </w:rPr>
              <w:t>Secrets</w:t>
            </w:r>
          </w:p>
        </w:tc>
        <w:tc>
          <w:tcPr>
            <w:tcW w:type="dxa" w:w="2160"/>
            <w:vAlign w:val="center"/>
            <w:shd w:fill="EAF0F8"/>
          </w:tcPr>
          <w:p>
            <w:pPr>
              <w:spacing w:after="0"/>
            </w:pPr>
            <w:r/>
            <w:r>
              <w:rPr>
                <w:rFonts w:ascii="Aptos" w:hAnsi="Aptos"/>
                <w:b w:val="0"/>
                <w:sz w:val="13"/>
              </w:rPr>
              <w:t>External secret manager</w:t>
            </w:r>
          </w:p>
        </w:tc>
        <w:tc>
          <w:tcPr>
            <w:tcW w:type="dxa" w:w="5616"/>
            <w:vAlign w:val="center"/>
            <w:shd w:fill="EAF0F8"/>
          </w:tcPr>
          <w:p>
            <w:pPr>
              <w:spacing w:after="0"/>
            </w:pPr>
            <w:r/>
            <w:r>
              <w:rPr>
                <w:rFonts w:ascii="Aptos" w:hAnsi="Aptos"/>
                <w:b w:val="0"/>
                <w:sz w:val="13"/>
              </w:rPr>
              <w:t>References only; no secret value in DB, logs, source or artifacts.</w:t>
            </w:r>
          </w:p>
        </w:tc>
      </w:tr>
    </w:tbl>
    <w:p>
      <w:pPr>
        <w:spacing w:after="0"/>
      </w:pPr>
    </w:p>
    <w:p>
      <w:pPr>
        <w:pStyle w:val="Heading1"/>
      </w:pPr>
      <w:r>
        <w:t>8.1 Transaction boundaries</w:t>
      </w:r>
    </w:p>
    <w:p>
      <w:pPr>
        <w:pStyle w:val="ListBullet"/>
        <w:spacing w:after="20"/>
      </w:pPr>
      <w:r>
        <w:t>A business state change and its outgoing event are committed atomically through the transactional outbox.</w:t>
      </w:r>
    </w:p>
    <w:p>
      <w:pPr>
        <w:pStyle w:val="ListBullet"/>
        <w:spacing w:after="20"/>
      </w:pPr>
      <w:r>
        <w:t>A consumed event is recorded with its handler/version before an economic consequence can be committed.</w:t>
      </w:r>
    </w:p>
    <w:p>
      <w:pPr>
        <w:pStyle w:val="ListBullet"/>
        <w:spacing w:after="20"/>
      </w:pPr>
      <w:r>
        <w:t>Ledger transaction and postings are atomic and balanced; an imbalance is rejected, never temporarily accepted.</w:t>
      </w:r>
    </w:p>
    <w:p>
      <w:pPr>
        <w:pStyle w:val="ListBullet"/>
        <w:spacing w:after="20"/>
      </w:pPr>
      <w:r>
        <w:t>Broker network calls cannot share a database transaction; the OMS records a durable submission attempt before calling and records result/ambiguity afterward.</w:t>
      </w:r>
    </w:p>
    <w:p>
      <w:pPr>
        <w:pStyle w:val="ListBullet"/>
        <w:spacing w:after="20"/>
      </w:pPr>
      <w:r>
        <w:t>Reservation release requires authoritative lifecycle/reconciliation evidence and an optimistic-concurrency check.</w:t>
      </w:r>
    </w:p>
    <w:p>
      <w:pPr>
        <w:pStyle w:val="Title"/>
      </w:pPr>
      <w:r>
        <w:t>9. Staged Build Order and Dependencies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792"/>
            <w:vAlign w:val="center"/>
            <w:shd w:fill="17365D"/>
          </w:tcPr>
          <w:p>
            <w:pPr>
              <w:spacing w:after="0"/>
            </w:pPr>
            <w:r/>
            <w:r>
              <w:rPr>
                <w:rFonts w:ascii="Aptos" w:hAnsi="Aptos"/>
                <w:b/>
                <w:color w:val="FFFFFF"/>
                <w:sz w:val="14"/>
              </w:rPr>
              <w:t>Stage</w:t>
            </w:r>
          </w:p>
        </w:tc>
        <w:tc>
          <w:tcPr>
            <w:tcW w:type="dxa" w:w="1584"/>
            <w:vAlign w:val="center"/>
            <w:shd w:fill="17365D"/>
          </w:tcPr>
          <w:p>
            <w:pPr>
              <w:spacing w:after="0"/>
            </w:pPr>
            <w:r/>
            <w:r>
              <w:rPr>
                <w:rFonts w:ascii="Aptos" w:hAnsi="Aptos"/>
                <w:b/>
                <w:color w:val="FFFFFF"/>
                <w:sz w:val="14"/>
              </w:rPr>
              <w:t>Name</w:t>
            </w:r>
          </w:p>
        </w:tc>
        <w:tc>
          <w:tcPr>
            <w:tcW w:type="dxa" w:w="3672"/>
            <w:vAlign w:val="center"/>
            <w:shd w:fill="17365D"/>
          </w:tcPr>
          <w:p>
            <w:pPr>
              <w:spacing w:after="0"/>
            </w:pPr>
            <w:r/>
            <w:r>
              <w:rPr>
                <w:rFonts w:ascii="Aptos" w:hAnsi="Aptos"/>
                <w:b/>
                <w:color w:val="FFFFFF"/>
                <w:sz w:val="14"/>
              </w:rPr>
              <w:t>Primary output</w:t>
            </w:r>
          </w:p>
        </w:tc>
        <w:tc>
          <w:tcPr>
            <w:tcW w:type="dxa" w:w="1800"/>
            <w:vAlign w:val="center"/>
            <w:shd w:fill="17365D"/>
          </w:tcPr>
          <w:p>
            <w:pPr>
              <w:spacing w:after="0"/>
            </w:pPr>
            <w:r/>
            <w:r>
              <w:rPr>
                <w:rFonts w:ascii="Aptos" w:hAnsi="Aptos"/>
                <w:b/>
                <w:color w:val="FFFFFF"/>
                <w:sz w:val="14"/>
              </w:rPr>
              <w:t>Depends on</w:t>
            </w:r>
          </w:p>
        </w:tc>
        <w:tc>
          <w:tcPr>
            <w:tcW w:type="dxa" w:w="2880"/>
            <w:vAlign w:val="center"/>
            <w:shd w:fill="17365D"/>
          </w:tcPr>
          <w:p>
            <w:pPr>
              <w:spacing w:after="0"/>
            </w:pPr>
            <w:r/>
            <w:r>
              <w:rPr>
                <w:rFonts w:ascii="Aptos" w:hAnsi="Aptos"/>
                <w:b/>
                <w:color w:val="FFFFFF"/>
                <w:sz w:val="14"/>
              </w:rPr>
              <w:t>Exit gate</w:t>
            </w:r>
          </w:p>
        </w:tc>
      </w:tr>
      <w:tr>
        <w:trPr>
          <w:cantSplit/>
        </w:trPr>
        <w:tc>
          <w:tcPr>
            <w:tcW w:type="dxa" w:w="792"/>
            <w:vAlign w:val="center"/>
          </w:tcPr>
          <w:p>
            <w:pPr>
              <w:spacing w:after="0"/>
            </w:pPr>
            <w:r/>
            <w:r>
              <w:rPr>
                <w:rFonts w:ascii="Aptos" w:hAnsi="Aptos"/>
                <w:b w:val="0"/>
                <w:sz w:val="13"/>
              </w:rPr>
              <w:t>0</w:t>
            </w:r>
          </w:p>
        </w:tc>
        <w:tc>
          <w:tcPr>
            <w:tcW w:type="dxa" w:w="1584"/>
            <w:vAlign w:val="center"/>
          </w:tcPr>
          <w:p>
            <w:r>
              <w:t>Baseline 0A/0B</w:t>
            </w:r>
          </w:p>
        </w:tc>
        <w:tc>
          <w:tcPr>
            <w:tcW w:type="dxa" w:w="3672"/>
            <w:vAlign w:val="center"/>
          </w:tcPr>
          <w:p>
            <w:r>
              <w:t>0A: canonical registry, DoD, ADR/risk/progress frameworks; 0B: complete machine-readable invariant traceability and zero-orphan coverage report</w:t>
            </w:r>
          </w:p>
        </w:tc>
        <w:tc>
          <w:tcPr>
            <w:tcW w:type="dxa" w:w="1800"/>
            <w:vAlign w:val="center"/>
          </w:tcPr>
          <w:p>
            <w:r>
              <w:t>Accepted architecture</w:t>
            </w:r>
          </w:p>
        </w:tc>
        <w:tc>
          <w:tcPr>
            <w:tcW w:type="dxa" w:w="2880"/>
            <w:vAlign w:val="center"/>
          </w:tcPr>
          <w:p>
            <w:r>
              <w:t>0A permits Stage 1 bootstrap only; 0B closure is required before formal Stage 1 completion/promotion</w:t>
            </w:r>
          </w:p>
        </w:tc>
      </w:tr>
      <w:tr>
        <w:trPr>
          <w:cantSplit/>
        </w:trPr>
        <w:tc>
          <w:tcPr>
            <w:tcW w:type="dxa" w:w="792"/>
            <w:vAlign w:val="center"/>
            <w:shd w:fill="EAF0F8"/>
          </w:tcPr>
          <w:p>
            <w:pPr>
              <w:spacing w:after="0"/>
            </w:pPr>
            <w:r/>
            <w:r>
              <w:rPr>
                <w:rFonts w:ascii="Aptos" w:hAnsi="Aptos"/>
                <w:b w:val="0"/>
                <w:sz w:val="13"/>
              </w:rPr>
              <w:t>1</w:t>
            </w:r>
          </w:p>
        </w:tc>
        <w:tc>
          <w:tcPr>
            <w:tcW w:type="dxa" w:w="1584"/>
            <w:vAlign w:val="center"/>
            <w:shd w:fill="EAF0F8"/>
          </w:tcPr>
          <w:p>
            <w:pPr>
              <w:spacing w:after="0"/>
            </w:pPr>
            <w:r/>
            <w:r>
              <w:rPr>
                <w:rFonts w:ascii="Aptos" w:hAnsi="Aptos"/>
                <w:b w:val="0"/>
                <w:sz w:val="13"/>
              </w:rPr>
              <w:t>Engineering foundation</w:t>
            </w:r>
          </w:p>
        </w:tc>
        <w:tc>
          <w:tcPr>
            <w:tcW w:type="dxa" w:w="3672"/>
            <w:vAlign w:val="center"/>
            <w:shd w:fill="EAF0F8"/>
          </w:tcPr>
          <w:p>
            <w:pPr>
              <w:spacing w:after="0"/>
            </w:pPr>
            <w:r/>
            <w:r>
              <w:rPr>
                <w:rFonts w:ascii="Aptos" w:hAnsi="Aptos"/>
                <w:b w:val="0"/>
                <w:sz w:val="13"/>
              </w:rPr>
              <w:t>Repository, Python, lockfile, CI, config, logging, tests</w:t>
            </w:r>
          </w:p>
        </w:tc>
        <w:tc>
          <w:tcPr>
            <w:tcW w:type="dxa" w:w="1800"/>
            <w:vAlign w:val="center"/>
            <w:shd w:fill="EAF0F8"/>
          </w:tcPr>
          <w:p>
            <w:r>
              <w:t>Stage 0A for bootstrap; Stage 0B must close before Stage 1 completion/promotion</w:t>
            </w:r>
          </w:p>
        </w:tc>
        <w:tc>
          <w:tcPr>
            <w:tcW w:type="dxa" w:w="2880"/>
            <w:vAlign w:val="center"/>
            <w:shd w:fill="EAF0F8"/>
          </w:tcPr>
          <w:p>
            <w:r>
              <w:t>Reproducible green pipeline plus confirmed Stage 0B traceability closure</w:t>
            </w:r>
          </w:p>
        </w:tc>
      </w:tr>
      <w:tr>
        <w:trPr>
          <w:cantSplit/>
        </w:trPr>
        <w:tc>
          <w:tcPr>
            <w:tcW w:type="dxa" w:w="792"/>
            <w:vAlign w:val="center"/>
          </w:tcPr>
          <w:p>
            <w:pPr>
              <w:spacing w:after="0"/>
            </w:pPr>
            <w:r/>
            <w:r>
              <w:rPr>
                <w:rFonts w:ascii="Aptos" w:hAnsi="Aptos"/>
                <w:b w:val="0"/>
                <w:sz w:val="13"/>
              </w:rPr>
              <w:t>2</w:t>
            </w:r>
          </w:p>
        </w:tc>
        <w:tc>
          <w:tcPr>
            <w:tcW w:type="dxa" w:w="1584"/>
            <w:vAlign w:val="center"/>
          </w:tcPr>
          <w:p>
            <w:pPr>
              <w:spacing w:after="0"/>
            </w:pPr>
            <w:r/>
            <w:r>
              <w:rPr>
                <w:rFonts w:ascii="Aptos" w:hAnsi="Aptos"/>
                <w:b w:val="0"/>
                <w:sz w:val="13"/>
              </w:rPr>
              <w:t>Domain contracts</w:t>
            </w:r>
          </w:p>
        </w:tc>
        <w:tc>
          <w:tcPr>
            <w:tcW w:type="dxa" w:w="3672"/>
            <w:vAlign w:val="center"/>
          </w:tcPr>
          <w:p>
            <w:pPr>
              <w:spacing w:after="0"/>
            </w:pPr>
            <w:r/>
            <w:r>
              <w:rPr>
                <w:rFonts w:ascii="Aptos" w:hAnsi="Aptos"/>
                <w:b w:val="0"/>
                <w:sz w:val="13"/>
              </w:rPr>
              <w:t>IDs, money, states, events, persistence ports</w:t>
            </w:r>
          </w:p>
        </w:tc>
        <w:tc>
          <w:tcPr>
            <w:tcW w:type="dxa" w:w="1800"/>
            <w:vAlign w:val="center"/>
          </w:tcPr>
          <w:p>
            <w:pPr>
              <w:spacing w:after="0"/>
            </w:pPr>
            <w:r/>
            <w:r>
              <w:rPr>
                <w:rFonts w:ascii="Aptos" w:hAnsi="Aptos"/>
                <w:b w:val="0"/>
                <w:sz w:val="13"/>
              </w:rPr>
              <w:t>Stage 1</w:t>
            </w:r>
          </w:p>
        </w:tc>
        <w:tc>
          <w:tcPr>
            <w:tcW w:type="dxa" w:w="2880"/>
            <w:vAlign w:val="center"/>
          </w:tcPr>
          <w:p>
            <w:pPr>
              <w:spacing w:after="0"/>
            </w:pPr>
            <w:r/>
            <w:r>
              <w:rPr>
                <w:rFonts w:ascii="Aptos" w:hAnsi="Aptos"/>
                <w:b w:val="0"/>
                <w:sz w:val="13"/>
              </w:rPr>
              <w:t>Contract/property tests green</w:t>
            </w:r>
          </w:p>
        </w:tc>
      </w:tr>
      <w:tr>
        <w:trPr>
          <w:cantSplit/>
        </w:trPr>
        <w:tc>
          <w:tcPr>
            <w:tcW w:type="dxa" w:w="792"/>
            <w:vAlign w:val="center"/>
            <w:shd w:fill="EAF0F8"/>
          </w:tcPr>
          <w:p>
            <w:pPr>
              <w:spacing w:after="0"/>
            </w:pPr>
            <w:r/>
            <w:r>
              <w:rPr>
                <w:rFonts w:ascii="Aptos" w:hAnsi="Aptos"/>
                <w:b w:val="0"/>
                <w:sz w:val="13"/>
              </w:rPr>
              <w:t>3</w:t>
            </w:r>
          </w:p>
        </w:tc>
        <w:tc>
          <w:tcPr>
            <w:tcW w:type="dxa" w:w="1584"/>
            <w:vAlign w:val="center"/>
            <w:shd w:fill="EAF0F8"/>
          </w:tcPr>
          <w:p>
            <w:pPr>
              <w:spacing w:after="0"/>
            </w:pPr>
            <w:r/>
            <w:r>
              <w:rPr>
                <w:rFonts w:ascii="Aptos" w:hAnsi="Aptos"/>
                <w:b w:val="0"/>
                <w:sz w:val="13"/>
              </w:rPr>
              <w:t>Market/data</w:t>
            </w:r>
          </w:p>
        </w:tc>
        <w:tc>
          <w:tcPr>
            <w:tcW w:type="dxa" w:w="3672"/>
            <w:vAlign w:val="center"/>
            <w:shd w:fill="EAF0F8"/>
          </w:tcPr>
          <w:p>
            <w:pPr>
              <w:spacing w:after="0"/>
            </w:pPr>
            <w:r/>
            <w:r>
              <w:rPr>
                <w:rFonts w:ascii="Aptos" w:hAnsi="Aptos"/>
                <w:b w:val="0"/>
                <w:sz w:val="13"/>
              </w:rPr>
              <w:t>Instruments, time/calendar, bars, corporate actions, quality</w:t>
            </w:r>
          </w:p>
        </w:tc>
        <w:tc>
          <w:tcPr>
            <w:tcW w:type="dxa" w:w="1800"/>
            <w:vAlign w:val="center"/>
            <w:shd w:fill="EAF0F8"/>
          </w:tcPr>
          <w:p>
            <w:pPr>
              <w:spacing w:after="0"/>
            </w:pPr>
            <w:r/>
            <w:r>
              <w:rPr>
                <w:rFonts w:ascii="Aptos" w:hAnsi="Aptos"/>
                <w:b w:val="0"/>
                <w:sz w:val="13"/>
              </w:rPr>
              <w:t>Stage 2</w:t>
            </w:r>
          </w:p>
        </w:tc>
        <w:tc>
          <w:tcPr>
            <w:tcW w:type="dxa" w:w="2880"/>
            <w:vAlign w:val="center"/>
            <w:shd w:fill="EAF0F8"/>
          </w:tcPr>
          <w:p>
            <w:pPr>
              <w:spacing w:after="0"/>
            </w:pPr>
            <w:r/>
            <w:r>
              <w:rPr>
                <w:rFonts w:ascii="Aptos" w:hAnsi="Aptos"/>
                <w:b w:val="0"/>
                <w:sz w:val="13"/>
              </w:rPr>
              <w:t>Point-in-time dataset evidence</w:t>
            </w:r>
          </w:p>
        </w:tc>
      </w:tr>
      <w:tr>
        <w:trPr>
          <w:cantSplit/>
        </w:trPr>
        <w:tc>
          <w:tcPr>
            <w:tcW w:type="dxa" w:w="792"/>
            <w:vAlign w:val="center"/>
          </w:tcPr>
          <w:p>
            <w:pPr>
              <w:spacing w:after="0"/>
            </w:pPr>
            <w:r/>
            <w:r>
              <w:rPr>
                <w:rFonts w:ascii="Aptos" w:hAnsi="Aptos"/>
                <w:b w:val="0"/>
                <w:sz w:val="13"/>
              </w:rPr>
              <w:t>4</w:t>
            </w:r>
          </w:p>
        </w:tc>
        <w:tc>
          <w:tcPr>
            <w:tcW w:type="dxa" w:w="1584"/>
            <w:vAlign w:val="center"/>
          </w:tcPr>
          <w:p>
            <w:pPr>
              <w:spacing w:after="0"/>
            </w:pPr>
            <w:r/>
            <w:r>
              <w:rPr>
                <w:rFonts w:ascii="Aptos" w:hAnsi="Aptos"/>
                <w:b w:val="0"/>
                <w:sz w:val="13"/>
              </w:rPr>
              <w:t>Research/strategy</w:t>
            </w:r>
          </w:p>
        </w:tc>
        <w:tc>
          <w:tcPr>
            <w:tcW w:type="dxa" w:w="3672"/>
            <w:vAlign w:val="center"/>
          </w:tcPr>
          <w:p>
            <w:pPr>
              <w:spacing w:after="0"/>
            </w:pPr>
            <w:r/>
            <w:r>
              <w:rPr>
                <w:rFonts w:ascii="Aptos" w:hAnsi="Aptos"/>
                <w:b w:val="0"/>
                <w:sz w:val="13"/>
              </w:rPr>
              <w:t>Features, proposal interface, benchmark, backtester, economics port</w:t>
            </w:r>
          </w:p>
        </w:tc>
        <w:tc>
          <w:tcPr>
            <w:tcW w:type="dxa" w:w="1800"/>
            <w:vAlign w:val="center"/>
          </w:tcPr>
          <w:p>
            <w:pPr>
              <w:spacing w:after="0"/>
            </w:pPr>
            <w:r/>
            <w:r>
              <w:rPr>
                <w:rFonts w:ascii="Aptos" w:hAnsi="Aptos"/>
                <w:b w:val="0"/>
                <w:sz w:val="13"/>
              </w:rPr>
              <w:t>Stage 3</w:t>
            </w:r>
          </w:p>
        </w:tc>
        <w:tc>
          <w:tcPr>
            <w:tcW w:type="dxa" w:w="2880"/>
            <w:vAlign w:val="center"/>
          </w:tcPr>
          <w:p>
            <w:pPr>
              <w:spacing w:after="0"/>
            </w:pPr>
            <w:r/>
            <w:r>
              <w:rPr>
                <w:rFonts w:ascii="Aptos" w:hAnsi="Aptos"/>
                <w:b w:val="0"/>
                <w:sz w:val="13"/>
              </w:rPr>
              <w:t>Deterministic isolated backtest gate</w:t>
            </w:r>
          </w:p>
        </w:tc>
      </w:tr>
      <w:tr>
        <w:trPr>
          <w:cantSplit/>
        </w:trPr>
        <w:tc>
          <w:tcPr>
            <w:tcW w:type="dxa" w:w="792"/>
            <w:vAlign w:val="center"/>
            <w:shd w:fill="EAF0F8"/>
          </w:tcPr>
          <w:p>
            <w:pPr>
              <w:spacing w:after="0"/>
            </w:pPr>
            <w:r/>
            <w:r>
              <w:rPr>
                <w:rFonts w:ascii="Aptos" w:hAnsi="Aptos"/>
                <w:b w:val="0"/>
                <w:sz w:val="13"/>
              </w:rPr>
              <w:t>5</w:t>
            </w:r>
          </w:p>
        </w:tc>
        <w:tc>
          <w:tcPr>
            <w:tcW w:type="dxa" w:w="1584"/>
            <w:vAlign w:val="center"/>
            <w:shd w:fill="EAF0F8"/>
          </w:tcPr>
          <w:p>
            <w:pPr>
              <w:spacing w:after="0"/>
            </w:pPr>
            <w:r/>
            <w:r>
              <w:rPr>
                <w:rFonts w:ascii="Aptos" w:hAnsi="Aptos"/>
                <w:b w:val="0"/>
                <w:sz w:val="13"/>
              </w:rPr>
              <w:t>Portfolio/risk</w:t>
            </w:r>
          </w:p>
        </w:tc>
        <w:tc>
          <w:tcPr>
            <w:tcW w:type="dxa" w:w="3672"/>
            <w:vAlign w:val="center"/>
            <w:shd w:fill="EAF0F8"/>
          </w:tcPr>
          <w:p>
            <w:pPr>
              <w:spacing w:after="0"/>
            </w:pPr>
            <w:r/>
            <w:r>
              <w:rPr>
                <w:rFonts w:ascii="Aptos" w:hAnsi="Aptos"/>
                <w:b w:val="0"/>
                <w:sz w:val="13"/>
              </w:rPr>
              <w:t>Portfolio, sizing, capital reservations, risk/operational gateway</w:t>
            </w:r>
          </w:p>
        </w:tc>
        <w:tc>
          <w:tcPr>
            <w:tcW w:type="dxa" w:w="1800"/>
            <w:vAlign w:val="center"/>
            <w:shd w:fill="EAF0F8"/>
          </w:tcPr>
          <w:p>
            <w:pPr>
              <w:spacing w:after="0"/>
            </w:pPr>
            <w:r/>
            <w:r>
              <w:rPr>
                <w:rFonts w:ascii="Aptos" w:hAnsi="Aptos"/>
                <w:b w:val="0"/>
                <w:sz w:val="13"/>
              </w:rPr>
              <w:t>Stages 2-4</w:t>
            </w:r>
          </w:p>
        </w:tc>
        <w:tc>
          <w:tcPr>
            <w:tcW w:type="dxa" w:w="2880"/>
            <w:vAlign w:val="center"/>
            <w:shd w:fill="EAF0F8"/>
          </w:tcPr>
          <w:p>
            <w:pPr>
              <w:spacing w:after="0"/>
            </w:pPr>
            <w:r/>
            <w:r>
              <w:rPr>
                <w:rFonts w:ascii="Aptos" w:hAnsi="Aptos"/>
                <w:b w:val="0"/>
                <w:sz w:val="13"/>
              </w:rPr>
              <w:t>Concurrent reservation and veto tests</w:t>
            </w:r>
          </w:p>
        </w:tc>
      </w:tr>
      <w:tr>
        <w:trPr>
          <w:cantSplit/>
        </w:trPr>
        <w:tc>
          <w:tcPr>
            <w:tcW w:type="dxa" w:w="792"/>
            <w:vAlign w:val="center"/>
          </w:tcPr>
          <w:p>
            <w:pPr>
              <w:spacing w:after="0"/>
            </w:pPr>
            <w:r/>
            <w:r>
              <w:rPr>
                <w:rFonts w:ascii="Aptos" w:hAnsi="Aptos"/>
                <w:b w:val="0"/>
                <w:sz w:val="13"/>
              </w:rPr>
              <w:t>6</w:t>
            </w:r>
          </w:p>
        </w:tc>
        <w:tc>
          <w:tcPr>
            <w:tcW w:type="dxa" w:w="1584"/>
            <w:vAlign w:val="center"/>
          </w:tcPr>
          <w:p>
            <w:pPr>
              <w:spacing w:after="0"/>
            </w:pPr>
            <w:r/>
            <w:r>
              <w:rPr>
                <w:rFonts w:ascii="Aptos" w:hAnsi="Aptos"/>
                <w:b w:val="0"/>
                <w:sz w:val="13"/>
              </w:rPr>
              <w:t>Financial truth</w:t>
            </w:r>
          </w:p>
        </w:tc>
        <w:tc>
          <w:tcPr>
            <w:tcW w:type="dxa" w:w="3672"/>
            <w:vAlign w:val="center"/>
          </w:tcPr>
          <w:p>
            <w:pPr>
              <w:spacing w:after="0"/>
            </w:pPr>
            <w:r/>
            <w:r>
              <w:rPr>
                <w:rFonts w:ascii="Aptos" w:hAnsi="Aptos"/>
                <w:b w:val="0"/>
                <w:sz w:val="13"/>
              </w:rPr>
              <w:t>Positions, lots, ledger, P&amp;L, conservation</w:t>
            </w:r>
          </w:p>
        </w:tc>
        <w:tc>
          <w:tcPr>
            <w:tcW w:type="dxa" w:w="1800"/>
            <w:vAlign w:val="center"/>
          </w:tcPr>
          <w:p>
            <w:pPr>
              <w:spacing w:after="0"/>
            </w:pPr>
            <w:r/>
            <w:r>
              <w:rPr>
                <w:rFonts w:ascii="Aptos" w:hAnsi="Aptos"/>
                <w:b w:val="0"/>
                <w:sz w:val="13"/>
              </w:rPr>
              <w:t>Stages 2,5</w:t>
            </w:r>
          </w:p>
        </w:tc>
        <w:tc>
          <w:tcPr>
            <w:tcW w:type="dxa" w:w="2880"/>
            <w:vAlign w:val="center"/>
          </w:tcPr>
          <w:p>
            <w:pPr>
              <w:spacing w:after="0"/>
            </w:pPr>
            <w:r/>
            <w:r>
              <w:rPr>
                <w:rFonts w:ascii="Aptos" w:hAnsi="Aptos"/>
                <w:b w:val="0"/>
                <w:sz w:val="13"/>
              </w:rPr>
              <w:t>Property and reconstruction evidence</w:t>
            </w:r>
          </w:p>
        </w:tc>
      </w:tr>
      <w:tr>
        <w:trPr>
          <w:cantSplit/>
        </w:trPr>
        <w:tc>
          <w:tcPr>
            <w:tcW w:type="dxa" w:w="792"/>
            <w:vAlign w:val="center"/>
            <w:shd w:fill="EAF0F8"/>
          </w:tcPr>
          <w:p>
            <w:pPr>
              <w:spacing w:after="0"/>
            </w:pPr>
            <w:r/>
            <w:r>
              <w:rPr>
                <w:rFonts w:ascii="Aptos" w:hAnsi="Aptos"/>
                <w:b w:val="0"/>
                <w:sz w:val="13"/>
              </w:rPr>
              <w:t>7</w:t>
            </w:r>
          </w:p>
        </w:tc>
        <w:tc>
          <w:tcPr>
            <w:tcW w:type="dxa" w:w="1584"/>
            <w:vAlign w:val="center"/>
            <w:shd w:fill="EAF0F8"/>
          </w:tcPr>
          <w:p>
            <w:pPr>
              <w:spacing w:after="0"/>
            </w:pPr>
            <w:r/>
            <w:r>
              <w:rPr>
                <w:rFonts w:ascii="Aptos" w:hAnsi="Aptos"/>
                <w:b w:val="0"/>
                <w:sz w:val="13"/>
              </w:rPr>
              <w:t>OMS/broker</w:t>
            </w:r>
          </w:p>
        </w:tc>
        <w:tc>
          <w:tcPr>
            <w:tcW w:type="dxa" w:w="3672"/>
            <w:vAlign w:val="center"/>
            <w:shd w:fill="EAF0F8"/>
          </w:tcPr>
          <w:p>
            <w:pPr>
              <w:spacing w:after="0"/>
            </w:pPr>
            <w:r>
              <w:t>OMS, deterministic simulator/mock/fault-injection adapters, submission/fill lifecycle</w:t>
            </w:r>
          </w:p>
        </w:tc>
        <w:tc>
          <w:tcPr>
            <w:tcW w:type="dxa" w:w="1800"/>
            <w:vAlign w:val="center"/>
            <w:shd w:fill="EAF0F8"/>
          </w:tcPr>
          <w:p>
            <w:pPr>
              <w:spacing w:after="0"/>
            </w:pPr>
            <w:r/>
            <w:r>
              <w:rPr>
                <w:rFonts w:ascii="Aptos" w:hAnsi="Aptos"/>
                <w:b w:val="0"/>
                <w:sz w:val="13"/>
              </w:rPr>
              <w:t>Stages 2,5,6</w:t>
            </w:r>
          </w:p>
        </w:tc>
        <w:tc>
          <w:tcPr>
            <w:tcW w:type="dxa" w:w="2880"/>
            <w:vAlign w:val="center"/>
            <w:shd w:fill="EAF0F8"/>
          </w:tcPr>
          <w:p>
            <w:pPr>
              <w:spacing w:after="0"/>
            </w:pPr>
            <w:r/>
            <w:r>
              <w:rPr>
                <w:rFonts w:ascii="Aptos" w:hAnsi="Aptos"/>
                <w:b w:val="0"/>
                <w:sz w:val="13"/>
              </w:rPr>
              <w:t>Ambiguity/idempotency/fencing evidence</w:t>
            </w:r>
          </w:p>
        </w:tc>
      </w:tr>
      <w:tr>
        <w:trPr>
          <w:cantSplit/>
        </w:trPr>
        <w:tc>
          <w:tcPr>
            <w:tcW w:type="dxa" w:w="792"/>
            <w:vAlign w:val="center"/>
          </w:tcPr>
          <w:p>
            <w:pPr>
              <w:spacing w:after="0"/>
            </w:pPr>
            <w:r/>
            <w:r>
              <w:rPr>
                <w:rFonts w:ascii="Aptos" w:hAnsi="Aptos"/>
                <w:b w:val="0"/>
                <w:sz w:val="13"/>
              </w:rPr>
              <w:t>8</w:t>
            </w:r>
          </w:p>
        </w:tc>
        <w:tc>
          <w:tcPr>
            <w:tcW w:type="dxa" w:w="1584"/>
            <w:vAlign w:val="center"/>
          </w:tcPr>
          <w:p>
            <w:pPr>
              <w:spacing w:after="0"/>
            </w:pPr>
            <w:r/>
            <w:r>
              <w:rPr>
                <w:rFonts w:ascii="Aptos" w:hAnsi="Aptos"/>
                <w:b w:val="0"/>
                <w:sz w:val="13"/>
              </w:rPr>
              <w:t>Reconciliation/recovery</w:t>
            </w:r>
          </w:p>
        </w:tc>
        <w:tc>
          <w:tcPr>
            <w:tcW w:type="dxa" w:w="3672"/>
            <w:vAlign w:val="center"/>
          </w:tcPr>
          <w:p>
            <w:pPr>
              <w:spacing w:after="0"/>
            </w:pPr>
            <w:r/>
            <w:r>
              <w:rPr>
                <w:rFonts w:ascii="Aptos" w:hAnsi="Aptos"/>
                <w:b w:val="0"/>
                <w:sz w:val="13"/>
              </w:rPr>
              <w:t>Full broker reconciliation, startup/replay/recovery</w:t>
            </w:r>
          </w:p>
        </w:tc>
        <w:tc>
          <w:tcPr>
            <w:tcW w:type="dxa" w:w="1800"/>
            <w:vAlign w:val="center"/>
          </w:tcPr>
          <w:p>
            <w:pPr>
              <w:spacing w:after="0"/>
            </w:pPr>
            <w:r/>
            <w:r>
              <w:rPr>
                <w:rFonts w:ascii="Aptos" w:hAnsi="Aptos"/>
                <w:b w:val="0"/>
                <w:sz w:val="13"/>
              </w:rPr>
              <w:t>Stages 6,7</w:t>
            </w:r>
          </w:p>
        </w:tc>
        <w:tc>
          <w:tcPr>
            <w:tcW w:type="dxa" w:w="2880"/>
            <w:vAlign w:val="center"/>
          </w:tcPr>
          <w:p>
            <w:pPr>
              <w:spacing w:after="0"/>
            </w:pPr>
            <w:r/>
            <w:r>
              <w:rPr>
                <w:rFonts w:ascii="Aptos" w:hAnsi="Aptos"/>
                <w:b w:val="0"/>
                <w:sz w:val="13"/>
              </w:rPr>
              <w:t>Crash/restart and discrepancy evidence</w:t>
            </w:r>
          </w:p>
        </w:tc>
      </w:tr>
      <w:tr>
        <w:trPr>
          <w:cantSplit/>
        </w:trPr>
        <w:tc>
          <w:tcPr>
            <w:tcW w:type="dxa" w:w="792"/>
            <w:vAlign w:val="center"/>
            <w:shd w:fill="EAF0F8"/>
          </w:tcPr>
          <w:p>
            <w:pPr>
              <w:spacing w:after="0"/>
            </w:pPr>
            <w:r/>
            <w:r>
              <w:rPr>
                <w:rFonts w:ascii="Aptos" w:hAnsi="Aptos"/>
                <w:b w:val="0"/>
                <w:sz w:val="13"/>
              </w:rPr>
              <w:t>9</w:t>
            </w:r>
          </w:p>
        </w:tc>
        <w:tc>
          <w:tcPr>
            <w:tcW w:type="dxa" w:w="1584"/>
            <w:vAlign w:val="center"/>
            <w:shd w:fill="EAF0F8"/>
          </w:tcPr>
          <w:p>
            <w:r>
              <w:t>Security/operations hardening</w:t>
            </w:r>
          </w:p>
        </w:tc>
        <w:tc>
          <w:tcPr>
            <w:tcW w:type="dxa" w:w="3672"/>
            <w:vAlign w:val="center"/>
            <w:shd w:fill="EAF0F8"/>
          </w:tcPr>
          <w:p>
            <w:r>
              <w:t>Cross-cutting security integration, RBAC, secrets hardening, supply-chain assurance, alerts, kill/incident controls and adversarial validation</w:t>
            </w:r>
          </w:p>
        </w:tc>
        <w:tc>
          <w:tcPr>
            <w:tcW w:type="dxa" w:w="1800"/>
            <w:vAlign w:val="center"/>
            <w:shd w:fill="EAF0F8"/>
          </w:tcPr>
          <w:p>
            <w:r>
              <w:t>Stages 1-8 (security controls apply throughout)</w:t>
            </w:r>
          </w:p>
        </w:tc>
        <w:tc>
          <w:tcPr>
            <w:tcW w:type="dxa" w:w="2880"/>
            <w:vAlign w:val="center"/>
            <w:shd w:fill="EAF0F8"/>
          </w:tcPr>
          <w:p>
            <w:r>
              <w:t>Integrated security, threat, incident and kill-rehearsal evidence</w:t>
            </w:r>
          </w:p>
        </w:tc>
      </w:tr>
      <w:tr>
        <w:trPr>
          <w:cantSplit/>
        </w:trPr>
        <w:tc>
          <w:tcPr>
            <w:tcW w:type="dxa" w:w="792"/>
            <w:vAlign w:val="center"/>
          </w:tcPr>
          <w:p>
            <w:pPr>
              <w:spacing w:after="0"/>
            </w:pPr>
            <w:r/>
            <w:r>
              <w:rPr>
                <w:rFonts w:ascii="Aptos" w:hAnsi="Aptos"/>
                <w:b w:val="0"/>
                <w:sz w:val="13"/>
              </w:rPr>
              <w:t>10</w:t>
            </w:r>
          </w:p>
        </w:tc>
        <w:tc>
          <w:tcPr>
            <w:tcW w:type="dxa" w:w="1584"/>
            <w:vAlign w:val="center"/>
          </w:tcPr>
          <w:p>
            <w:pPr>
              <w:spacing w:after="0"/>
            </w:pPr>
            <w:r/>
            <w:r>
              <w:rPr>
                <w:rFonts w:ascii="Aptos" w:hAnsi="Aptos"/>
                <w:b w:val="0"/>
                <w:sz w:val="13"/>
              </w:rPr>
              <w:t>System simulation</w:t>
            </w:r>
          </w:p>
        </w:tc>
        <w:tc>
          <w:tcPr>
            <w:tcW w:type="dxa" w:w="3672"/>
            <w:vAlign w:val="center"/>
          </w:tcPr>
          <w:p>
            <w:pPr>
              <w:spacing w:after="0"/>
            </w:pPr>
            <w:r/>
            <w:r>
              <w:rPr>
                <w:rFonts w:ascii="Aptos" w:hAnsi="Aptos"/>
                <w:b w:val="0"/>
                <w:sz w:val="13"/>
              </w:rPr>
              <w:t>Integrated historical simulation, fault/chaos suite</w:t>
            </w:r>
          </w:p>
        </w:tc>
        <w:tc>
          <w:tcPr>
            <w:tcW w:type="dxa" w:w="1800"/>
            <w:vAlign w:val="center"/>
          </w:tcPr>
          <w:p>
            <w:pPr>
              <w:spacing w:after="0"/>
            </w:pPr>
            <w:r/>
            <w:r>
              <w:rPr>
                <w:rFonts w:ascii="Aptos" w:hAnsi="Aptos"/>
                <w:b w:val="0"/>
                <w:sz w:val="13"/>
              </w:rPr>
              <w:t>Stages 3-9</w:t>
            </w:r>
          </w:p>
        </w:tc>
        <w:tc>
          <w:tcPr>
            <w:tcW w:type="dxa" w:w="2880"/>
            <w:vAlign w:val="center"/>
          </w:tcPr>
          <w:p>
            <w:pPr>
              <w:spacing w:after="0"/>
            </w:pPr>
            <w:r/>
            <w:r>
              <w:rPr>
                <w:rFonts w:ascii="Aptos" w:hAnsi="Aptos"/>
                <w:b w:val="0"/>
                <w:sz w:val="13"/>
              </w:rPr>
              <w:t>Deterministic adversarial evidence</w:t>
            </w:r>
          </w:p>
        </w:tc>
      </w:tr>
      <w:tr>
        <w:trPr>
          <w:cantSplit/>
        </w:trPr>
        <w:tc>
          <w:tcPr>
            <w:tcW w:type="dxa" w:w="792"/>
            <w:vAlign w:val="center"/>
            <w:shd w:fill="EAF0F8"/>
          </w:tcPr>
          <w:p>
            <w:pPr>
              <w:spacing w:after="0"/>
            </w:pPr>
            <w:r/>
            <w:r>
              <w:rPr>
                <w:rFonts w:ascii="Aptos" w:hAnsi="Aptos"/>
                <w:b w:val="0"/>
                <w:sz w:val="13"/>
              </w:rPr>
              <w:t>11</w:t>
            </w:r>
          </w:p>
        </w:tc>
        <w:tc>
          <w:tcPr>
            <w:tcW w:type="dxa" w:w="1584"/>
            <w:vAlign w:val="center"/>
            <w:shd w:fill="EAF0F8"/>
          </w:tcPr>
          <w:p>
            <w:pPr>
              <w:spacing w:after="0"/>
            </w:pPr>
            <w:r/>
            <w:r>
              <w:rPr>
                <w:rFonts w:ascii="Aptos" w:hAnsi="Aptos"/>
                <w:b w:val="0"/>
                <w:sz w:val="13"/>
              </w:rPr>
              <w:t>Shadow/paper</w:t>
            </w:r>
          </w:p>
        </w:tc>
        <w:tc>
          <w:tcPr>
            <w:tcW w:type="dxa" w:w="3672"/>
            <w:vAlign w:val="center"/>
            <w:shd w:fill="EAF0F8"/>
          </w:tcPr>
          <w:p>
            <w:pPr>
              <w:spacing w:after="0"/>
            </w:pPr>
            <w:r/>
            <w:r>
              <w:rPr>
                <w:rFonts w:ascii="Aptos" w:hAnsi="Aptos"/>
                <w:b w:val="0"/>
                <w:sz w:val="13"/>
              </w:rPr>
              <w:t>Production-like non-live runtime</w:t>
            </w:r>
          </w:p>
        </w:tc>
        <w:tc>
          <w:tcPr>
            <w:tcW w:type="dxa" w:w="1800"/>
            <w:vAlign w:val="center"/>
            <w:shd w:fill="EAF0F8"/>
          </w:tcPr>
          <w:p>
            <w:pPr>
              <w:spacing w:after="0"/>
            </w:pPr>
            <w:r/>
            <w:r>
              <w:rPr>
                <w:rFonts w:ascii="Aptos" w:hAnsi="Aptos"/>
                <w:b w:val="0"/>
                <w:sz w:val="13"/>
              </w:rPr>
              <w:t>Explicit later gate</w:t>
            </w:r>
          </w:p>
        </w:tc>
        <w:tc>
          <w:tcPr>
            <w:tcW w:type="dxa" w:w="2880"/>
            <w:vAlign w:val="center"/>
            <w:shd w:fill="EAF0F8"/>
          </w:tcPr>
          <w:p>
            <w:pPr>
              <w:spacing w:after="0"/>
            </w:pPr>
            <w:r/>
            <w:r>
              <w:rPr>
                <w:rFonts w:ascii="Aptos" w:hAnsi="Aptos"/>
                <w:b w:val="0"/>
                <w:sz w:val="13"/>
              </w:rPr>
              <w:t>Sustained evidence; not currently authorized</w:t>
            </w:r>
          </w:p>
        </w:tc>
      </w:tr>
      <w:tr>
        <w:trPr>
          <w:cantSplit/>
        </w:trPr>
        <w:tc>
          <w:tcPr>
            <w:tcW w:type="dxa" w:w="792"/>
            <w:vAlign w:val="center"/>
          </w:tcPr>
          <w:p>
            <w:pPr>
              <w:spacing w:after="0"/>
            </w:pPr>
            <w:r/>
            <w:r>
              <w:rPr>
                <w:rFonts w:ascii="Aptos" w:hAnsi="Aptos"/>
                <w:b w:val="0"/>
                <w:sz w:val="13"/>
              </w:rPr>
              <w:t>12</w:t>
            </w:r>
          </w:p>
        </w:tc>
        <w:tc>
          <w:tcPr>
            <w:tcW w:type="dxa" w:w="1584"/>
            <w:vAlign w:val="center"/>
          </w:tcPr>
          <w:p>
            <w:pPr>
              <w:spacing w:after="0"/>
            </w:pPr>
            <w:r/>
            <w:r>
              <w:rPr>
                <w:rFonts w:ascii="Aptos" w:hAnsi="Aptos"/>
                <w:b w:val="0"/>
                <w:sz w:val="13"/>
              </w:rPr>
              <w:t>Live readiness</w:t>
            </w:r>
          </w:p>
        </w:tc>
        <w:tc>
          <w:tcPr>
            <w:tcW w:type="dxa" w:w="3672"/>
            <w:vAlign w:val="center"/>
          </w:tcPr>
          <w:p>
            <w:pPr>
              <w:spacing w:after="0"/>
            </w:pPr>
            <w:r/>
            <w:r>
              <w:rPr>
                <w:rFonts w:ascii="Aptos" w:hAnsi="Aptos"/>
                <w:b w:val="0"/>
                <w:sz w:val="13"/>
              </w:rPr>
              <w:t>Independent evidence review; no live execution</w:t>
            </w:r>
          </w:p>
        </w:tc>
        <w:tc>
          <w:tcPr>
            <w:tcW w:type="dxa" w:w="1800"/>
            <w:vAlign w:val="center"/>
          </w:tcPr>
          <w:p>
            <w:pPr>
              <w:spacing w:after="0"/>
            </w:pPr>
            <w:r/>
            <w:r>
              <w:rPr>
                <w:rFonts w:ascii="Aptos" w:hAnsi="Aptos"/>
                <w:b w:val="0"/>
                <w:sz w:val="13"/>
              </w:rPr>
              <w:t>Stage 11</w:t>
            </w:r>
          </w:p>
        </w:tc>
        <w:tc>
          <w:tcPr>
            <w:tcW w:type="dxa" w:w="2880"/>
            <w:vAlign w:val="center"/>
          </w:tcPr>
          <w:p>
            <w:pPr>
              <w:spacing w:after="0"/>
            </w:pPr>
            <w:r/>
            <w:r>
              <w:rPr>
                <w:rFonts w:ascii="Aptos" w:hAnsi="Aptos"/>
                <w:b w:val="0"/>
                <w:sz w:val="13"/>
              </w:rPr>
              <w:t>Explicit readiness decision</w:t>
            </w:r>
          </w:p>
        </w:tc>
      </w:tr>
      <w:tr>
        <w:trPr>
          <w:cantSplit/>
        </w:trPr>
        <w:tc>
          <w:tcPr>
            <w:tcW w:type="dxa" w:w="792"/>
            <w:vAlign w:val="center"/>
            <w:shd w:fill="EAF0F8"/>
          </w:tcPr>
          <w:p>
            <w:pPr>
              <w:spacing w:after="0"/>
            </w:pPr>
            <w:r/>
            <w:r>
              <w:rPr>
                <w:rFonts w:ascii="Aptos" w:hAnsi="Aptos"/>
                <w:b w:val="0"/>
                <w:sz w:val="13"/>
              </w:rPr>
              <w:t>13</w:t>
            </w:r>
          </w:p>
        </w:tc>
        <w:tc>
          <w:tcPr>
            <w:tcW w:type="dxa" w:w="1584"/>
            <w:vAlign w:val="center"/>
            <w:shd w:fill="EAF0F8"/>
          </w:tcPr>
          <w:p>
            <w:pPr>
              <w:spacing w:after="0"/>
            </w:pPr>
            <w:r/>
            <w:r>
              <w:rPr>
                <w:rFonts w:ascii="Aptos" w:hAnsi="Aptos"/>
                <w:b w:val="0"/>
                <w:sz w:val="13"/>
              </w:rPr>
              <w:t>Canary</w:t>
            </w:r>
          </w:p>
        </w:tc>
        <w:tc>
          <w:tcPr>
            <w:tcW w:type="dxa" w:w="3672"/>
            <w:vAlign w:val="center"/>
            <w:shd w:fill="EAF0F8"/>
          </w:tcPr>
          <w:p>
            <w:pPr>
              <w:spacing w:after="0"/>
            </w:pPr>
            <w:r/>
            <w:r>
              <w:rPr>
                <w:rFonts w:ascii="Aptos" w:hAnsi="Aptos"/>
                <w:b w:val="0"/>
                <w:sz w:val="13"/>
              </w:rPr>
              <w:t>Tiny enforced bounds</w:t>
            </w:r>
          </w:p>
        </w:tc>
        <w:tc>
          <w:tcPr>
            <w:tcW w:type="dxa" w:w="1800"/>
            <w:vAlign w:val="center"/>
            <w:shd w:fill="EAF0F8"/>
          </w:tcPr>
          <w:p>
            <w:pPr>
              <w:spacing w:after="0"/>
            </w:pPr>
            <w:r/>
            <w:r>
              <w:rPr>
                <w:rFonts w:ascii="Aptos" w:hAnsi="Aptos"/>
                <w:b w:val="0"/>
                <w:sz w:val="13"/>
              </w:rPr>
              <w:t>Explicit user authorization</w:t>
            </w:r>
          </w:p>
        </w:tc>
        <w:tc>
          <w:tcPr>
            <w:tcW w:type="dxa" w:w="2880"/>
            <w:vAlign w:val="center"/>
            <w:shd w:fill="EAF0F8"/>
          </w:tcPr>
          <w:p>
            <w:pPr>
              <w:spacing w:after="0"/>
            </w:pPr>
            <w:r/>
            <w:r>
              <w:rPr>
                <w:rFonts w:ascii="Aptos" w:hAnsi="Aptos"/>
                <w:b w:val="0"/>
                <w:sz w:val="13"/>
              </w:rPr>
              <w:t>Canary exit evidence</w:t>
            </w:r>
          </w:p>
        </w:tc>
      </w:tr>
      <w:tr>
        <w:trPr>
          <w:cantSplit/>
        </w:trPr>
        <w:tc>
          <w:tcPr>
            <w:tcW w:type="dxa" w:w="792"/>
            <w:vAlign w:val="center"/>
          </w:tcPr>
          <w:p>
            <w:pPr>
              <w:spacing w:after="0"/>
            </w:pPr>
            <w:r/>
            <w:r>
              <w:rPr>
                <w:rFonts w:ascii="Aptos" w:hAnsi="Aptos"/>
                <w:b w:val="0"/>
                <w:sz w:val="13"/>
              </w:rPr>
              <w:t>14</w:t>
            </w:r>
          </w:p>
        </w:tc>
        <w:tc>
          <w:tcPr>
            <w:tcW w:type="dxa" w:w="1584"/>
            <w:vAlign w:val="center"/>
          </w:tcPr>
          <w:p>
            <w:pPr>
              <w:spacing w:after="0"/>
            </w:pPr>
            <w:r/>
            <w:r>
              <w:rPr>
                <w:rFonts w:ascii="Aptos" w:hAnsi="Aptos"/>
                <w:b w:val="0"/>
                <w:sz w:val="13"/>
              </w:rPr>
              <w:t>Production</w:t>
            </w:r>
          </w:p>
        </w:tc>
        <w:tc>
          <w:tcPr>
            <w:tcW w:type="dxa" w:w="3672"/>
            <w:vAlign w:val="center"/>
          </w:tcPr>
          <w:p>
            <w:pPr>
              <w:spacing w:after="0"/>
            </w:pPr>
            <w:r/>
            <w:r>
              <w:rPr>
                <w:rFonts w:ascii="Aptos" w:hAnsi="Aptos"/>
                <w:b w:val="0"/>
                <w:sz w:val="13"/>
              </w:rPr>
              <w:t>Controlled live operation</w:t>
            </w:r>
          </w:p>
        </w:tc>
        <w:tc>
          <w:tcPr>
            <w:tcW w:type="dxa" w:w="1800"/>
            <w:vAlign w:val="center"/>
          </w:tcPr>
          <w:p>
            <w:pPr>
              <w:spacing w:after="0"/>
            </w:pPr>
            <w:r/>
            <w:r>
              <w:rPr>
                <w:rFonts w:ascii="Aptos" w:hAnsi="Aptos"/>
                <w:b w:val="0"/>
                <w:sz w:val="13"/>
              </w:rPr>
              <w:t>Successful canary + explicit promotion</w:t>
            </w:r>
          </w:p>
        </w:tc>
        <w:tc>
          <w:tcPr>
            <w:tcW w:type="dxa" w:w="2880"/>
            <w:vAlign w:val="center"/>
          </w:tcPr>
          <w:p>
            <w:pPr>
              <w:spacing w:after="0"/>
            </w:pPr>
            <w:r/>
            <w:r>
              <w:rPr>
                <w:rFonts w:ascii="Aptos" w:hAnsi="Aptos"/>
                <w:b w:val="0"/>
                <w:sz w:val="13"/>
              </w:rPr>
              <w:t>Continuous authorization</w:t>
            </w:r>
          </w:p>
        </w:tc>
      </w:tr>
    </w:tbl>
    <w:p>
      <w:pPr>
        <w:spacing w:after="0"/>
      </w:pPr>
    </w:p>
    <w:p>
      <w:pPr>
        <w:pStyle w:val="Title"/>
      </w:pPr>
      <w:r>
        <w:t>10. Definition of Done</w:t>
      </w:r>
    </w:p>
    <w:p>
      <w:pPr>
        <w:spacing w:after="80"/>
      </w:pPr>
      <w:r>
        <w:t>A component is Done only when every applicable item below is evidenced. “Not applicable” requires an attributable rationale and review; it is not the default.</w:t>
      </w:r>
    </w:p>
    <w:p>
      <w:pPr>
        <w:pStyle w:val="ListBullet"/>
        <w:spacing w:after="20"/>
      </w:pPr>
      <w:r>
        <w:t>Requirement and source traceability complete.</w:t>
      </w:r>
    </w:p>
    <w:p>
      <w:pPr>
        <w:pStyle w:val="ListBullet"/>
        <w:spacing w:after="20"/>
      </w:pPr>
      <w:r>
        <w:t>Code implemented behind a narrow typed interface and reviewed.</w:t>
      </w:r>
    </w:p>
    <w:p>
      <w:pPr>
        <w:pStyle w:val="ListBullet"/>
        <w:spacing w:after="20"/>
      </w:pPr>
      <w:r>
        <w:t>Static analysis, formatting, lint and dependency checks pass.</w:t>
      </w:r>
    </w:p>
    <w:p>
      <w:pPr>
        <w:pStyle w:val="ListBullet"/>
        <w:spacing w:after="20"/>
      </w:pPr>
      <w:r>
        <w:t>Unit, property/invariant and boundary tests pass.</w:t>
      </w:r>
    </w:p>
    <w:p>
      <w:pPr>
        <w:pStyle w:val="ListBullet"/>
        <w:spacing w:after="20"/>
      </w:pPr>
      <w:r>
        <w:t>Component, contract and applicable integration tests pass.</w:t>
      </w:r>
    </w:p>
    <w:p>
      <w:pPr>
        <w:pStyle w:val="ListBullet"/>
        <w:spacing w:after="20"/>
      </w:pPr>
      <w:r>
        <w:t>Failure-path, restart, idempotency and concurrency tests pass where applicable.</w:t>
      </w:r>
    </w:p>
    <w:p>
      <w:pPr>
        <w:pStyle w:val="ListBullet"/>
        <w:spacing w:after="20"/>
      </w:pPr>
      <w:r>
        <w:t>Schema and migrations are implemented, reviewed and reversibility/roll-forward strategy tested.</w:t>
      </w:r>
    </w:p>
    <w:p>
      <w:pPr>
        <w:pStyle w:val="ListBullet"/>
        <w:spacing w:after="20"/>
      </w:pPr>
      <w:r>
        <w:t>Security trust-boundary review and secret/log exposure checks pass.</w:t>
      </w:r>
    </w:p>
    <w:p>
      <w:pPr>
        <w:pStyle w:val="ListBullet"/>
        <w:spacing w:after="20"/>
      </w:pPr>
      <w:r>
        <w:t>Structured logs, metrics, health and alert conditions are implemented.</w:t>
      </w:r>
    </w:p>
    <w:p>
      <w:pPr>
        <w:pStyle w:val="ListBullet"/>
        <w:spacing w:after="20"/>
      </w:pPr>
      <w:r>
        <w:t>Audit evidence, correlation and causality are complete.</w:t>
      </w:r>
    </w:p>
    <w:p>
      <w:pPr>
        <w:pStyle w:val="ListBullet"/>
        <w:spacing w:after="20"/>
      </w:pPr>
      <w:r>
        <w:t>Operational restriction/recovery procedure is documented and exercised.</w:t>
      </w:r>
    </w:p>
    <w:p>
      <w:pPr>
        <w:pStyle w:val="ListBullet"/>
        <w:spacing w:after="20"/>
      </w:pPr>
      <w:r>
        <w:t>Traceability, decision log, risk register and progress register are updated.</w:t>
      </w:r>
    </w:p>
    <w:p>
      <w:pPr>
        <w:pStyle w:val="ListBullet"/>
        <w:spacing w:after="20"/>
      </w:pPr>
      <w:r>
        <w:t>No unresolved blocker or unjustified skipped control remains.</w:t>
      </w:r>
    </w:p>
    <w:p>
      <w:pPr>
        <w:pStyle w:val="ListBullet"/>
        <w:spacing w:after="20"/>
      </w:pPr>
      <w:r>
        <w:t>Objective evidence is stored in a machine-checkable milestone manifest.</w:t>
      </w:r>
    </w:p>
    <w:p>
      <w:pPr>
        <w:pStyle w:val="Heading1"/>
      </w:pPr>
      <w:r>
        <w:t>10.1 Promotion rule</w:t>
      </w:r>
    </w:p>
    <w:p>
      <w:pPr>
        <w:spacing w:after="80"/>
      </w:pPr>
      <w:r>
        <w:t>Passing a component DoD does not authorize the next lifecycle stage. Stage promotion requires the applicable GATE-S&lt;n&gt;-&lt;nn&gt; evidence set, independent approver separation where required, current external assumptions, and explicit authorization. Evidence invalidated by material code, configuration, model, broker, data, market, regulatory or infrastructure change cannot be reused silently.</w:t>
      </w:r>
    </w:p>
    <w:p>
      <w:pPr>
        <w:pStyle w:val="Title"/>
      </w:pPr>
      <w:r>
        <w:t>11. First Executable Implementation Milestone</w:t>
      </w:r>
    </w:p>
    <w:p>
      <w:pPr>
        <w:pStyle w:val="Heading1"/>
      </w:pPr>
      <w:r>
        <w:t>Milestone M1: Safe Engineering Kernel</w:t>
      </w:r>
    </w:p>
    <w:p>
      <w:pPr>
        <w:spacing w:after="80"/>
      </w:pPr>
      <w:r>
        <w:t>M1 creates an executable but financially inert foundation. It contains no production broker credentials, no live adapter and no route capable of external financial side effects.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16"/>
            <w:vAlign w:val="center"/>
            <w:shd w:fill="17365D"/>
          </w:tcPr>
          <w:p>
            <w:pPr>
              <w:spacing w:after="0"/>
            </w:pPr>
            <w:r/>
            <w:r>
              <w:rPr>
                <w:rFonts w:ascii="Aptos" w:hAnsi="Aptos"/>
                <w:b/>
                <w:color w:val="FFFFFF"/>
                <w:sz w:val="14"/>
              </w:rPr>
              <w:t>Work package</w:t>
            </w:r>
          </w:p>
        </w:tc>
        <w:tc>
          <w:tcPr>
            <w:tcW w:type="dxa" w:w="4320"/>
            <w:vAlign w:val="center"/>
            <w:shd w:fill="17365D"/>
          </w:tcPr>
          <w:p>
            <w:pPr>
              <w:spacing w:after="0"/>
            </w:pPr>
            <w:r/>
            <w:r>
              <w:rPr>
                <w:rFonts w:ascii="Aptos" w:hAnsi="Aptos"/>
                <w:b/>
                <w:color w:val="FFFFFF"/>
                <w:sz w:val="14"/>
              </w:rPr>
              <w:t>Deliverable</w:t>
            </w:r>
          </w:p>
        </w:tc>
        <w:tc>
          <w:tcPr>
            <w:tcW w:type="dxa" w:w="4032"/>
            <w:vAlign w:val="center"/>
            <w:shd w:fill="17365D"/>
          </w:tcPr>
          <w:p>
            <w:pPr>
              <w:spacing w:after="0"/>
            </w:pPr>
            <w:r/>
            <w:r>
              <w:rPr>
                <w:rFonts w:ascii="Aptos" w:hAnsi="Aptos"/>
                <w:b/>
                <w:color w:val="FFFFFF"/>
                <w:sz w:val="14"/>
              </w:rPr>
              <w:t>Acceptance evidence</w:t>
            </w:r>
          </w:p>
        </w:tc>
      </w:tr>
      <w:tr>
        <w:trPr>
          <w:cantSplit/>
        </w:trPr>
        <w:tc>
          <w:tcPr>
            <w:tcW w:type="dxa" w:w="2016"/>
            <w:vAlign w:val="center"/>
          </w:tcPr>
          <w:p>
            <w:pPr>
              <w:spacing w:after="0"/>
            </w:pPr>
            <w:r/>
            <w:r>
              <w:rPr>
                <w:rFonts w:ascii="Aptos" w:hAnsi="Aptos"/>
                <w:b w:val="0"/>
                <w:sz w:val="14"/>
              </w:rPr>
              <w:t>M1.1 Repository</w:t>
            </w:r>
          </w:p>
        </w:tc>
        <w:tc>
          <w:tcPr>
            <w:tcW w:type="dxa" w:w="4320"/>
            <w:vAlign w:val="center"/>
          </w:tcPr>
          <w:p>
            <w:pPr>
              <w:spacing w:after="0"/>
            </w:pPr>
            <w:r/>
            <w:r>
              <w:rPr>
                <w:rFonts w:ascii="Aptos" w:hAnsi="Aptos"/>
                <w:b w:val="0"/>
                <w:sz w:val="14"/>
              </w:rPr>
              <w:t>Python 3.12 project, lockfile, source/test layout</w:t>
            </w:r>
          </w:p>
        </w:tc>
        <w:tc>
          <w:tcPr>
            <w:tcW w:type="dxa" w:w="4032"/>
            <w:vAlign w:val="center"/>
          </w:tcPr>
          <w:p>
            <w:pPr>
              <w:spacing w:after="0"/>
            </w:pPr>
            <w:r/>
            <w:r>
              <w:rPr>
                <w:rFonts w:ascii="Aptos" w:hAnsi="Aptos"/>
                <w:b w:val="0"/>
                <w:sz w:val="14"/>
              </w:rPr>
              <w:t>Clean bootstrap from documented command.</w:t>
            </w:r>
          </w:p>
        </w:tc>
      </w:tr>
      <w:tr>
        <w:trPr>
          <w:cantSplit/>
        </w:trPr>
        <w:tc>
          <w:tcPr>
            <w:tcW w:type="dxa" w:w="2016"/>
            <w:vAlign w:val="center"/>
            <w:shd w:fill="EAF0F8"/>
          </w:tcPr>
          <w:p>
            <w:pPr>
              <w:spacing w:after="0"/>
            </w:pPr>
            <w:r/>
            <w:r>
              <w:rPr>
                <w:rFonts w:ascii="Aptos" w:hAnsi="Aptos"/>
                <w:b w:val="0"/>
                <w:sz w:val="14"/>
              </w:rPr>
              <w:t>M1.2 CI quality</w:t>
            </w:r>
          </w:p>
        </w:tc>
        <w:tc>
          <w:tcPr>
            <w:tcW w:type="dxa" w:w="4320"/>
            <w:vAlign w:val="center"/>
            <w:shd w:fill="EAF0F8"/>
          </w:tcPr>
          <w:p>
            <w:pPr>
              <w:spacing w:after="0"/>
            </w:pPr>
            <w:r/>
            <w:r>
              <w:rPr>
                <w:rFonts w:ascii="Aptos" w:hAnsi="Aptos"/>
                <w:b w:val="0"/>
                <w:sz w:val="14"/>
              </w:rPr>
              <w:t>Ruff, mypy, pytest, coverage, dependency/secret scan</w:t>
            </w:r>
          </w:p>
        </w:tc>
        <w:tc>
          <w:tcPr>
            <w:tcW w:type="dxa" w:w="4032"/>
            <w:vAlign w:val="center"/>
            <w:shd w:fill="EAF0F8"/>
          </w:tcPr>
          <w:p>
            <w:pPr>
              <w:spacing w:after="0"/>
            </w:pPr>
            <w:r/>
            <w:r>
              <w:rPr>
                <w:rFonts w:ascii="Aptos" w:hAnsi="Aptos"/>
                <w:b w:val="0"/>
                <w:sz w:val="14"/>
              </w:rPr>
              <w:t>Protected green CI on clean clone.</w:t>
            </w:r>
          </w:p>
        </w:tc>
      </w:tr>
      <w:tr>
        <w:trPr>
          <w:cantSplit/>
        </w:trPr>
        <w:tc>
          <w:tcPr>
            <w:tcW w:type="dxa" w:w="2016"/>
            <w:vAlign w:val="center"/>
          </w:tcPr>
          <w:p>
            <w:pPr>
              <w:spacing w:after="0"/>
            </w:pPr>
            <w:r/>
            <w:r>
              <w:rPr>
                <w:rFonts w:ascii="Aptos" w:hAnsi="Aptos"/>
                <w:b w:val="0"/>
                <w:sz w:val="14"/>
              </w:rPr>
              <w:t>M1.3 Core contracts</w:t>
            </w:r>
          </w:p>
        </w:tc>
        <w:tc>
          <w:tcPr>
            <w:tcW w:type="dxa" w:w="4320"/>
            <w:vAlign w:val="center"/>
          </w:tcPr>
          <w:p>
            <w:pPr>
              <w:spacing w:after="0"/>
            </w:pPr>
            <w:r/>
            <w:r>
              <w:rPr>
                <w:rFonts w:ascii="Aptos" w:hAnsi="Aptos"/>
                <w:b w:val="0"/>
                <w:sz w:val="14"/>
              </w:rPr>
              <w:t>Typed IDs, UTC timestamps, Money, Quantity, Currency</w:t>
            </w:r>
          </w:p>
        </w:tc>
        <w:tc>
          <w:tcPr>
            <w:tcW w:type="dxa" w:w="4032"/>
            <w:vAlign w:val="center"/>
          </w:tcPr>
          <w:p>
            <w:pPr>
              <w:spacing w:after="0"/>
            </w:pPr>
            <w:r/>
            <w:r>
              <w:rPr>
                <w:rFonts w:ascii="Aptos" w:hAnsi="Aptos"/>
                <w:b w:val="0"/>
                <w:sz w:val="14"/>
              </w:rPr>
              <w:t>Serialization and property tests.</w:t>
            </w:r>
          </w:p>
        </w:tc>
      </w:tr>
      <w:tr>
        <w:trPr>
          <w:cantSplit/>
        </w:trPr>
        <w:tc>
          <w:tcPr>
            <w:tcW w:type="dxa" w:w="2016"/>
            <w:vAlign w:val="center"/>
            <w:shd w:fill="EAF0F8"/>
          </w:tcPr>
          <w:p>
            <w:pPr>
              <w:spacing w:after="0"/>
            </w:pPr>
            <w:r/>
            <w:r>
              <w:rPr>
                <w:rFonts w:ascii="Aptos" w:hAnsi="Aptos"/>
                <w:b w:val="0"/>
                <w:sz w:val="14"/>
              </w:rPr>
              <w:t>M1.4 Time</w:t>
            </w:r>
          </w:p>
        </w:tc>
        <w:tc>
          <w:tcPr>
            <w:tcW w:type="dxa" w:w="4320"/>
            <w:vAlign w:val="center"/>
            <w:shd w:fill="EAF0F8"/>
          </w:tcPr>
          <w:p>
            <w:pPr>
              <w:spacing w:after="0"/>
            </w:pPr>
            <w:r/>
            <w:r>
              <w:rPr>
                <w:rFonts w:ascii="Aptos" w:hAnsi="Aptos"/>
                <w:b w:val="0"/>
                <w:sz w:val="14"/>
              </w:rPr>
              <w:t>Clock/TestClock and UTC enforcement</w:t>
            </w:r>
          </w:p>
        </w:tc>
        <w:tc>
          <w:tcPr>
            <w:tcW w:type="dxa" w:w="4032"/>
            <w:vAlign w:val="center"/>
            <w:shd w:fill="EAF0F8"/>
          </w:tcPr>
          <w:p>
            <w:pPr>
              <w:spacing w:after="0"/>
            </w:pPr>
            <w:r/>
            <w:r>
              <w:rPr>
                <w:rFonts w:ascii="Aptos" w:hAnsi="Aptos"/>
                <w:b w:val="0"/>
                <w:sz w:val="14"/>
              </w:rPr>
              <w:t>Deterministic expiry/calendar tests.</w:t>
            </w:r>
          </w:p>
        </w:tc>
      </w:tr>
      <w:tr>
        <w:trPr>
          <w:cantSplit/>
        </w:trPr>
        <w:tc>
          <w:tcPr>
            <w:tcW w:type="dxa" w:w="2016"/>
            <w:vAlign w:val="center"/>
          </w:tcPr>
          <w:p>
            <w:pPr>
              <w:spacing w:after="0"/>
            </w:pPr>
            <w:r/>
            <w:r>
              <w:rPr>
                <w:rFonts w:ascii="Aptos" w:hAnsi="Aptos"/>
                <w:b w:val="0"/>
                <w:sz w:val="14"/>
              </w:rPr>
              <w:t>M1.5 Events</w:t>
            </w:r>
          </w:p>
        </w:tc>
        <w:tc>
          <w:tcPr>
            <w:tcW w:type="dxa" w:w="4320"/>
            <w:vAlign w:val="center"/>
          </w:tcPr>
          <w:p>
            <w:pPr>
              <w:spacing w:after="0"/>
            </w:pPr>
            <w:r/>
            <w:r>
              <w:rPr>
                <w:rFonts w:ascii="Aptos" w:hAnsi="Aptos"/>
                <w:b w:val="0"/>
                <w:sz w:val="14"/>
              </w:rPr>
              <w:t>Event envelope, causality, schema version, idempotency</w:t>
            </w:r>
          </w:p>
        </w:tc>
        <w:tc>
          <w:tcPr>
            <w:tcW w:type="dxa" w:w="4032"/>
            <w:vAlign w:val="center"/>
          </w:tcPr>
          <w:p>
            <w:pPr>
              <w:spacing w:after="0"/>
            </w:pPr>
            <w:r/>
            <w:r>
              <w:rPr>
                <w:rFonts w:ascii="Aptos" w:hAnsi="Aptos"/>
                <w:b w:val="0"/>
                <w:sz w:val="14"/>
              </w:rPr>
              <w:t>Round-trip and duplicate rejection tests.</w:t>
            </w:r>
          </w:p>
        </w:tc>
      </w:tr>
      <w:tr>
        <w:trPr>
          <w:cantSplit/>
        </w:trPr>
        <w:tc>
          <w:tcPr>
            <w:tcW w:type="dxa" w:w="2016"/>
            <w:vAlign w:val="center"/>
            <w:shd w:fill="EAF0F8"/>
          </w:tcPr>
          <w:p>
            <w:pPr>
              <w:spacing w:after="0"/>
            </w:pPr>
            <w:r/>
            <w:r>
              <w:rPr>
                <w:rFonts w:ascii="Aptos" w:hAnsi="Aptos"/>
                <w:b w:val="0"/>
                <w:sz w:val="14"/>
              </w:rPr>
              <w:t>M1.6 Decision contracts</w:t>
            </w:r>
          </w:p>
        </w:tc>
        <w:tc>
          <w:tcPr>
            <w:tcW w:type="dxa" w:w="4320"/>
            <w:vAlign w:val="center"/>
            <w:shd w:fill="EAF0F8"/>
          </w:tcPr>
          <w:p>
            <w:pPr>
              <w:spacing w:after="0"/>
            </w:pPr>
            <w:r/>
            <w:r>
              <w:rPr>
                <w:rFonts w:ascii="Aptos" w:hAnsi="Aptos"/>
                <w:b w:val="0"/>
                <w:sz w:val="14"/>
              </w:rPr>
              <w:t>Proposal, NO-TRADE, approval scope and expiry</w:t>
            </w:r>
          </w:p>
        </w:tc>
        <w:tc>
          <w:tcPr>
            <w:tcW w:type="dxa" w:w="4032"/>
            <w:vAlign w:val="center"/>
            <w:shd w:fill="EAF0F8"/>
          </w:tcPr>
          <w:p>
            <w:pPr>
              <w:spacing w:after="0"/>
            </w:pPr>
            <w:r/>
            <w:r>
              <w:rPr>
                <w:rFonts w:ascii="Aptos" w:hAnsi="Aptos"/>
                <w:b w:val="0"/>
                <w:sz w:val="14"/>
              </w:rPr>
              <w:t>Invalid/stale/unknown negative tests.</w:t>
            </w:r>
          </w:p>
        </w:tc>
      </w:tr>
      <w:tr>
        <w:trPr>
          <w:cantSplit/>
        </w:trPr>
        <w:tc>
          <w:tcPr>
            <w:tcW w:type="dxa" w:w="2016"/>
            <w:vAlign w:val="center"/>
          </w:tcPr>
          <w:p>
            <w:pPr>
              <w:spacing w:after="0"/>
            </w:pPr>
            <w:r/>
            <w:r>
              <w:rPr>
                <w:rFonts w:ascii="Aptos" w:hAnsi="Aptos"/>
                <w:b w:val="0"/>
                <w:sz w:val="14"/>
              </w:rPr>
              <w:t>M1.7 Operational mode</w:t>
            </w:r>
          </w:p>
        </w:tc>
        <w:tc>
          <w:tcPr>
            <w:tcW w:type="dxa" w:w="4320"/>
            <w:vAlign w:val="center"/>
          </w:tcPr>
          <w:p>
            <w:pPr>
              <w:spacing w:after="0"/>
            </w:pPr>
            <w:r/>
            <w:r>
              <w:rPr>
                <w:rFonts w:ascii="Aptos" w:hAnsi="Aptos"/>
                <w:b w:val="0"/>
                <w:sz w:val="14"/>
              </w:rPr>
              <w:t>Mode model defaults to NO_NEW_ORDERS without authorization</w:t>
            </w:r>
          </w:p>
        </w:tc>
        <w:tc>
          <w:tcPr>
            <w:tcW w:type="dxa" w:w="4032"/>
            <w:vAlign w:val="center"/>
          </w:tcPr>
          <w:p>
            <w:pPr>
              <w:spacing w:after="0"/>
            </w:pPr>
            <w:r/>
            <w:r>
              <w:rPr>
                <w:rFonts w:ascii="Aptos" w:hAnsi="Aptos"/>
                <w:b w:val="0"/>
                <w:sz w:val="14"/>
              </w:rPr>
              <w:t>Fail-closed startup tests.</w:t>
            </w:r>
          </w:p>
        </w:tc>
      </w:tr>
      <w:tr>
        <w:trPr>
          <w:cantSplit/>
        </w:trPr>
        <w:tc>
          <w:tcPr>
            <w:tcW w:type="dxa" w:w="2016"/>
            <w:vAlign w:val="center"/>
            <w:shd w:fill="EAF0F8"/>
          </w:tcPr>
          <w:p>
            <w:pPr>
              <w:spacing w:after="0"/>
            </w:pPr>
            <w:r/>
            <w:r>
              <w:rPr>
                <w:rFonts w:ascii="Aptos" w:hAnsi="Aptos"/>
                <w:b w:val="0"/>
                <w:sz w:val="14"/>
              </w:rPr>
              <w:t>M1.8 Evidence</w:t>
            </w:r>
          </w:p>
        </w:tc>
        <w:tc>
          <w:tcPr>
            <w:tcW w:type="dxa" w:w="4320"/>
            <w:vAlign w:val="center"/>
            <w:shd w:fill="EAF0F8"/>
          </w:tcPr>
          <w:p>
            <w:pPr>
              <w:spacing w:after="0"/>
            </w:pPr>
            <w:r/>
            <w:r>
              <w:rPr>
                <w:rFonts w:ascii="Aptos" w:hAnsi="Aptos"/>
                <w:b w:val="0"/>
                <w:sz w:val="14"/>
              </w:rPr>
              <w:t>Traceability exporter and milestone manifest skeleton</w:t>
            </w:r>
          </w:p>
        </w:tc>
        <w:tc>
          <w:tcPr>
            <w:tcW w:type="dxa" w:w="4032"/>
            <w:vAlign w:val="center"/>
            <w:shd w:fill="EAF0F8"/>
          </w:tcPr>
          <w:p>
            <w:pPr>
              <w:spacing w:after="0"/>
            </w:pPr>
            <w:r/>
            <w:r>
              <w:rPr>
                <w:rFonts w:ascii="Aptos" w:hAnsi="Aptos"/>
                <w:b w:val="0"/>
                <w:sz w:val="14"/>
              </w:rPr>
              <w:t>Machine-validated manifest.</w:t>
            </w:r>
          </w:p>
        </w:tc>
      </w:tr>
    </w:tbl>
    <w:p>
      <w:pPr>
        <w:spacing w:after="0"/>
      </w:pPr>
    </w:p>
    <w:p>
      <w:pPr>
        <w:pStyle w:val="Heading2"/>
      </w:pPr>
      <w:r>
        <w:t>M1 hard exclusions</w:t>
      </w:r>
    </w:p>
    <w:p>
      <w:pPr>
        <w:pStyle w:val="ListBullet"/>
        <w:spacing w:after="20"/>
      </w:pPr>
      <w:r>
        <w:t>No broker network SDK dependency and no network-capable production broker adapter.</w:t>
      </w:r>
    </w:p>
    <w:p>
      <w:pPr>
        <w:pStyle w:val="ListBullet"/>
        <w:spacing w:after="20"/>
      </w:pPr>
      <w:r>
        <w:t>No live credentials or production secret paths.</w:t>
      </w:r>
    </w:p>
    <w:p>
      <w:pPr>
        <w:pStyle w:val="ListBullet"/>
        <w:spacing w:after="20"/>
      </w:pPr>
      <w:r>
        <w:t>No callable/configurable route capable of submitting a live order; production broker capability must be absent or technically non-executable.</w:t>
      </w:r>
    </w:p>
    <w:p>
      <w:pPr>
        <w:pStyle w:val="ListBullet"/>
        <w:spacing w:after="20"/>
      </w:pPr>
      <w:r>
        <w:t>No acceptance criterion based only on a successful happy-path test.</w:t>
      </w:r>
    </w:p>
    <w:p>
      <w:pPr>
        <w:pStyle w:val="ListBullet"/>
        <w:spacing w:after="20"/>
      </w:pPr>
      <w:r>
        <w:t>No use of floating point for authoritative monetary values.</w:t>
      </w:r>
    </w:p>
    <w:p>
      <w:pPr>
        <w:pStyle w:val="Heading2"/>
      </w:pPr>
      <w:r>
        <w:t>M1 exit criteria</w:t>
      </w:r>
    </w:p>
    <w:p>
      <w:pPr>
        <w:pStyle w:val="ListBullet"/>
        <w:spacing w:after="20"/>
      </w:pPr>
      <w:r>
        <w:t>All M1-scoped atomic requirements derived from IMP-001 through IMP-004, IMP-009, IMP-010, IMP-026, IMP-029, IMP-030 and IMP-033 are implemented and verified. Where an IMP requirement would otherwise be only partially applicable, it must first be decomposed into separately identified atomic subrequirements; vague partial implementation is not permitted.</w:t>
      </w:r>
    </w:p>
    <w:p>
      <w:pPr>
        <w:pStyle w:val="ListBullet"/>
        <w:spacing w:after="20"/>
      </w:pPr>
      <w:r>
        <w:t>A negative architecture test proves strategies cannot import broker or OMS submission modules.</w:t>
      </w:r>
    </w:p>
    <w:p>
      <w:pPr>
        <w:pStyle w:val="ListBullet"/>
        <w:spacing w:after="20"/>
      </w:pPr>
      <w:r>
        <w:t>A replay-mode test proves all financial side-effect ports are absent or hard-denied.</w:t>
      </w:r>
    </w:p>
    <w:p>
      <w:pPr>
        <w:pStyle w:val="ListBullet"/>
        <w:spacing w:after="20"/>
      </w:pPr>
      <w:r>
        <w:t>A clean machine can reproduce the environment and obtain identical locked dependencies.</w:t>
      </w:r>
    </w:p>
    <w:p>
      <w:pPr>
        <w:pStyle w:val="ListBullet"/>
        <w:spacing w:after="20"/>
      </w:pPr>
      <w:r>
        <w:t>Stage 2 may begin after M1 review; shadow, paper and live permissions remain unchanged.</w:t>
      </w:r>
    </w:p>
    <w:p>
      <w:pPr>
        <w:pStyle w:val="Title"/>
      </w:pPr>
      <w:r>
        <w:t>12. Blockers, Deferred Assumptions and Decisions</w:t>
      </w:r>
    </w:p>
    <w:p>
      <w:pPr>
        <w:pStyle w:val="Heading1"/>
      </w:pPr>
      <w:r>
        <w:t>12.1 Genuine blockers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152"/>
            <w:vAlign w:val="center"/>
            <w:shd w:fill="17365D"/>
          </w:tcPr>
          <w:p>
            <w:pPr>
              <w:spacing w:after="0"/>
            </w:pPr>
            <w:r/>
            <w:r>
              <w:rPr>
                <w:rFonts w:ascii="Aptos" w:hAnsi="Aptos"/>
                <w:b/>
                <w:color w:val="FFFFFF"/>
                <w:sz w:val="14"/>
              </w:rPr>
              <w:t>ID</w:t>
            </w:r>
          </w:p>
        </w:tc>
        <w:tc>
          <w:tcPr>
            <w:tcW w:type="dxa" w:w="3888"/>
            <w:vAlign w:val="center"/>
            <w:shd w:fill="17365D"/>
          </w:tcPr>
          <w:p>
            <w:pPr>
              <w:spacing w:after="0"/>
            </w:pPr>
            <w:r/>
            <w:r>
              <w:rPr>
                <w:rFonts w:ascii="Aptos" w:hAnsi="Aptos"/>
                <w:b/>
                <w:color w:val="FFFFFF"/>
                <w:sz w:val="14"/>
              </w:rPr>
              <w:t>Blocker</w:t>
            </w:r>
          </w:p>
        </w:tc>
        <w:tc>
          <w:tcPr>
            <w:tcW w:type="dxa" w:w="2016"/>
            <w:vAlign w:val="center"/>
            <w:shd w:fill="17365D"/>
          </w:tcPr>
          <w:p>
            <w:pPr>
              <w:spacing w:after="0"/>
            </w:pPr>
            <w:r/>
            <w:r>
              <w:rPr>
                <w:rFonts w:ascii="Aptos" w:hAnsi="Aptos"/>
                <w:b/>
                <w:color w:val="FFFFFF"/>
                <w:sz w:val="14"/>
              </w:rPr>
              <w:t>Blocks</w:t>
            </w:r>
          </w:p>
        </w:tc>
        <w:tc>
          <w:tcPr>
            <w:tcW w:type="dxa" w:w="3600"/>
            <w:vAlign w:val="center"/>
            <w:shd w:fill="17365D"/>
          </w:tcPr>
          <w:p>
            <w:pPr>
              <w:spacing w:after="0"/>
            </w:pPr>
            <w:r/>
            <w:r>
              <w:rPr>
                <w:rFonts w:ascii="Aptos" w:hAnsi="Aptos"/>
                <w:b/>
                <w:color w:val="FFFFFF"/>
                <w:sz w:val="14"/>
              </w:rPr>
              <w:t>Disposition</w:t>
            </w:r>
          </w:p>
        </w:tc>
      </w:tr>
      <w:tr>
        <w:trPr>
          <w:cantSplit/>
        </w:trPr>
        <w:tc>
          <w:tcPr>
            <w:tcW w:type="dxa" w:w="1152"/>
            <w:vAlign w:val="center"/>
          </w:tcPr>
          <w:p>
            <w:pPr>
              <w:spacing w:after="0"/>
            </w:pPr>
            <w:r/>
            <w:r>
              <w:rPr>
                <w:rFonts w:ascii="Aptos" w:hAnsi="Aptos"/>
                <w:b w:val="0"/>
                <w:sz w:val="13"/>
              </w:rPr>
              <w:t>BLK-001</w:t>
            </w:r>
          </w:p>
        </w:tc>
        <w:tc>
          <w:tcPr>
            <w:tcW w:type="dxa" w:w="3888"/>
            <w:vAlign w:val="center"/>
          </w:tcPr>
          <w:p>
            <w:pPr>
              <w:spacing w:after="0"/>
            </w:pPr>
            <w:r/>
            <w:r>
              <w:rPr>
                <w:rFonts w:ascii="Aptos" w:hAnsi="Aptos"/>
                <w:b w:val="0"/>
                <w:sz w:val="13"/>
              </w:rPr>
              <w:t>F40.02-F40.06 corrective implementation evidence is not yet produced.</w:t>
            </w:r>
          </w:p>
        </w:tc>
        <w:tc>
          <w:tcPr>
            <w:tcW w:type="dxa" w:w="2016"/>
            <w:vAlign w:val="center"/>
          </w:tcPr>
          <w:p>
            <w:pPr>
              <w:spacing w:after="0"/>
            </w:pPr>
            <w:r/>
            <w:r>
              <w:rPr>
                <w:rFonts w:ascii="Aptos" w:hAnsi="Aptos"/>
                <w:b w:val="0"/>
                <w:sz w:val="13"/>
              </w:rPr>
              <w:t>Relevant later integration/promotion gates</w:t>
            </w:r>
          </w:p>
        </w:tc>
        <w:tc>
          <w:tcPr>
            <w:tcW w:type="dxa" w:w="3600"/>
            <w:vAlign w:val="center"/>
          </w:tcPr>
          <w:p>
            <w:pPr>
              <w:spacing w:after="0"/>
            </w:pPr>
            <w:r/>
            <w:r>
              <w:rPr>
                <w:rFonts w:ascii="Aptos" w:hAnsi="Aptos"/>
                <w:b w:val="0"/>
                <w:sz w:val="13"/>
              </w:rPr>
              <w:t>Translate each correction into code, tests and evidence during Stages 2-10.</w:t>
            </w:r>
          </w:p>
        </w:tc>
      </w:tr>
      <w:tr>
        <w:trPr>
          <w:cantSplit/>
        </w:trPr>
        <w:tc>
          <w:tcPr>
            <w:tcW w:type="dxa" w:w="1152"/>
            <w:vAlign w:val="center"/>
            <w:shd w:fill="EAF0F8"/>
          </w:tcPr>
          <w:p>
            <w:pPr>
              <w:spacing w:after="0"/>
            </w:pPr>
            <w:r/>
            <w:r>
              <w:rPr>
                <w:rFonts w:ascii="Aptos" w:hAnsi="Aptos"/>
                <w:b w:val="0"/>
                <w:sz w:val="13"/>
              </w:rPr>
              <w:t>BLK-002</w:t>
            </w:r>
          </w:p>
        </w:tc>
        <w:tc>
          <w:tcPr>
            <w:tcW w:type="dxa" w:w="3888"/>
            <w:vAlign w:val="center"/>
            <w:shd w:fill="EAF0F8"/>
          </w:tcPr>
          <w:p>
            <w:pPr>
              <w:spacing w:after="0"/>
            </w:pPr>
            <w:r/>
            <w:r>
              <w:rPr>
                <w:rFonts w:ascii="Aptos" w:hAnsi="Aptos"/>
                <w:b w:val="0"/>
                <w:sz w:val="13"/>
              </w:rPr>
              <w:t>F40.07-1/2 live stage-gate and rollback/kill evidence absent.</w:t>
            </w:r>
          </w:p>
        </w:tc>
        <w:tc>
          <w:tcPr>
            <w:tcW w:type="dxa" w:w="2016"/>
            <w:vAlign w:val="center"/>
            <w:shd w:fill="EAF0F8"/>
          </w:tcPr>
          <w:p>
            <w:pPr>
              <w:spacing w:after="0"/>
            </w:pPr>
            <w:r/>
            <w:r>
              <w:rPr>
                <w:rFonts w:ascii="Aptos" w:hAnsi="Aptos"/>
                <w:b w:val="0"/>
                <w:sz w:val="13"/>
              </w:rPr>
              <w:t>Canary and production</w:t>
            </w:r>
          </w:p>
        </w:tc>
        <w:tc>
          <w:tcPr>
            <w:tcW w:type="dxa" w:w="3600"/>
            <w:vAlign w:val="center"/>
            <w:shd w:fill="EAF0F8"/>
          </w:tcPr>
          <w:p>
            <w:pPr>
              <w:spacing w:after="0"/>
            </w:pPr>
            <w:r/>
            <w:r>
              <w:rPr>
                <w:rFonts w:ascii="Aptos" w:hAnsi="Aptos"/>
                <w:b w:val="0"/>
                <w:sz w:val="13"/>
              </w:rPr>
              <w:t>Non-waivable until rehearsed and independently reviewed.</w:t>
            </w:r>
          </w:p>
        </w:tc>
      </w:tr>
      <w:tr>
        <w:trPr>
          <w:cantSplit/>
        </w:trPr>
        <w:tc>
          <w:tcPr>
            <w:tcW w:type="dxa" w:w="1152"/>
            <w:vAlign w:val="center"/>
          </w:tcPr>
          <w:p>
            <w:pPr>
              <w:spacing w:after="0"/>
            </w:pPr>
            <w:r/>
            <w:r>
              <w:rPr>
                <w:rFonts w:ascii="Aptos" w:hAnsi="Aptos"/>
                <w:b w:val="0"/>
                <w:sz w:val="13"/>
              </w:rPr>
              <w:t>BLK-003</w:t>
            </w:r>
          </w:p>
        </w:tc>
        <w:tc>
          <w:tcPr>
            <w:tcW w:type="dxa" w:w="3888"/>
            <w:vAlign w:val="center"/>
          </w:tcPr>
          <w:p>
            <w:pPr>
              <w:spacing w:after="0"/>
            </w:pPr>
            <w:r/>
            <w:r>
              <w:rPr>
                <w:rFonts w:ascii="Aptos" w:hAnsi="Aptos"/>
                <w:b w:val="0"/>
                <w:sz w:val="13"/>
              </w:rPr>
              <w:t>Separated approval roles and evidence invalidation workflow not implemented.</w:t>
            </w:r>
          </w:p>
        </w:tc>
        <w:tc>
          <w:tcPr>
            <w:tcW w:type="dxa" w:w="2016"/>
            <w:vAlign w:val="center"/>
          </w:tcPr>
          <w:p>
            <w:pPr>
              <w:spacing w:after="0"/>
            </w:pPr>
            <w:r/>
            <w:r>
              <w:rPr>
                <w:rFonts w:ascii="Aptos" w:hAnsi="Aptos"/>
                <w:b w:val="0"/>
                <w:sz w:val="13"/>
              </w:rPr>
              <w:t>Paper/live promotions where applicable</w:t>
            </w:r>
          </w:p>
        </w:tc>
        <w:tc>
          <w:tcPr>
            <w:tcW w:type="dxa" w:w="3600"/>
            <w:vAlign w:val="center"/>
          </w:tcPr>
          <w:p>
            <w:pPr>
              <w:spacing w:after="0"/>
            </w:pPr>
            <w:r/>
            <w:r>
              <w:rPr>
                <w:rFonts w:ascii="Aptos" w:hAnsi="Aptos"/>
                <w:b w:val="0"/>
                <w:sz w:val="13"/>
              </w:rPr>
              <w:t>Implement governance model and machine-checkable gate evaluator.</w:t>
            </w:r>
          </w:p>
        </w:tc>
      </w:tr>
      <w:tr>
        <w:trPr>
          <w:cantSplit/>
        </w:trPr>
        <w:tc>
          <w:tcPr>
            <w:tcW w:type="dxa" w:w="1152"/>
            <w:vAlign w:val="center"/>
            <w:shd w:fill="EAF0F8"/>
          </w:tcPr>
          <w:p>
            <w:pPr>
              <w:spacing w:after="0"/>
            </w:pPr>
            <w:r/>
            <w:r>
              <w:rPr>
                <w:rFonts w:ascii="Aptos" w:hAnsi="Aptos"/>
                <w:b w:val="0"/>
                <w:sz w:val="13"/>
              </w:rPr>
              <w:t>BLK-004</w:t>
            </w:r>
          </w:p>
        </w:tc>
        <w:tc>
          <w:tcPr>
            <w:tcW w:type="dxa" w:w="3888"/>
            <w:vAlign w:val="center"/>
            <w:shd w:fill="EAF0F8"/>
          </w:tcPr>
          <w:p>
            <w:pPr>
              <w:spacing w:after="0"/>
            </w:pPr>
            <w:r/>
            <w:r>
              <w:rPr>
                <w:rFonts w:ascii="Aptos" w:hAnsi="Aptos"/>
                <w:b w:val="0"/>
                <w:sz w:val="13"/>
              </w:rPr>
              <w:t>Broker, legal/regulatory, tax and data-entitlement assumptions not current/final.</w:t>
            </w:r>
          </w:p>
        </w:tc>
        <w:tc>
          <w:tcPr>
            <w:tcW w:type="dxa" w:w="2016"/>
            <w:vAlign w:val="center"/>
            <w:shd w:fill="EAF0F8"/>
          </w:tcPr>
          <w:p>
            <w:pPr>
              <w:spacing w:after="0"/>
            </w:pPr>
            <w:r/>
            <w:r>
              <w:rPr>
                <w:rFonts w:ascii="Aptos" w:hAnsi="Aptos"/>
                <w:b w:val="0"/>
                <w:sz w:val="13"/>
              </w:rPr>
              <w:t>Live readiness</w:t>
            </w:r>
          </w:p>
        </w:tc>
        <w:tc>
          <w:tcPr>
            <w:tcW w:type="dxa" w:w="3600"/>
            <w:vAlign w:val="center"/>
            <w:shd w:fill="EAF0F8"/>
          </w:tcPr>
          <w:p>
            <w:pPr>
              <w:spacing w:after="0"/>
            </w:pPr>
            <w:r/>
            <w:r>
              <w:rPr>
                <w:rFonts w:ascii="Aptos" w:hAnsi="Aptos"/>
                <w:b w:val="0"/>
                <w:sz w:val="13"/>
              </w:rPr>
              <w:t>Versioned external review near Stage 12; does not block M1.</w:t>
            </w:r>
          </w:p>
        </w:tc>
      </w:tr>
    </w:tbl>
    <w:p>
      <w:pPr>
        <w:spacing w:after="0"/>
      </w:pPr>
    </w:p>
    <w:p>
      <w:pPr>
        <w:pStyle w:val="Heading1"/>
      </w:pPr>
      <w:r>
        <w:t>12.2 Safely deferred assumptions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16"/>
            <w:vAlign w:val="center"/>
            <w:shd w:fill="17365D"/>
          </w:tcPr>
          <w:p>
            <w:pPr>
              <w:spacing w:after="0"/>
            </w:pPr>
            <w:r/>
            <w:r>
              <w:rPr>
                <w:rFonts w:ascii="Aptos" w:hAnsi="Aptos"/>
                <w:b/>
                <w:color w:val="FFFFFF"/>
                <w:sz w:val="14"/>
              </w:rPr>
              <w:t>Decision</w:t>
            </w:r>
          </w:p>
        </w:tc>
        <w:tc>
          <w:tcPr>
            <w:tcW w:type="dxa" w:w="4608"/>
            <w:vAlign w:val="center"/>
            <w:shd w:fill="17365D"/>
          </w:tcPr>
          <w:p>
            <w:pPr>
              <w:spacing w:after="0"/>
            </w:pPr>
            <w:r/>
            <w:r>
              <w:rPr>
                <w:rFonts w:ascii="Aptos" w:hAnsi="Aptos"/>
                <w:b/>
                <w:color w:val="FFFFFF"/>
                <w:sz w:val="14"/>
              </w:rPr>
              <w:t>Current default</w:t>
            </w:r>
          </w:p>
        </w:tc>
        <w:tc>
          <w:tcPr>
            <w:tcW w:type="dxa" w:w="3744"/>
            <w:vAlign w:val="center"/>
            <w:shd w:fill="17365D"/>
          </w:tcPr>
          <w:p>
            <w:pPr>
              <w:spacing w:after="0"/>
            </w:pPr>
            <w:r/>
            <w:r>
              <w:rPr>
                <w:rFonts w:ascii="Aptos" w:hAnsi="Aptos"/>
                <w:b/>
                <w:color w:val="FFFFFF"/>
                <w:sz w:val="14"/>
              </w:rPr>
              <w:t>Decision deadline</w:t>
            </w:r>
          </w:p>
        </w:tc>
      </w:tr>
      <w:tr>
        <w:trPr>
          <w:cantSplit/>
        </w:trPr>
        <w:tc>
          <w:tcPr>
            <w:tcW w:type="dxa" w:w="2016"/>
            <w:vAlign w:val="center"/>
          </w:tcPr>
          <w:p>
            <w:pPr>
              <w:spacing w:after="0"/>
            </w:pPr>
            <w:r/>
            <w:r>
              <w:rPr>
                <w:rFonts w:ascii="Aptos" w:hAnsi="Aptos"/>
                <w:b w:val="0"/>
                <w:sz w:val="14"/>
              </w:rPr>
              <w:t>Broker</w:t>
            </w:r>
          </w:p>
        </w:tc>
        <w:tc>
          <w:tcPr>
            <w:tcW w:type="dxa" w:w="4608"/>
            <w:vAlign w:val="center"/>
          </w:tcPr>
          <w:p>
            <w:pPr>
              <w:spacing w:after="0"/>
            </w:pPr>
            <w:r/>
            <w:r>
              <w:rPr>
                <w:rFonts w:ascii="Aptos" w:hAnsi="Aptos"/>
                <w:b w:val="0"/>
                <w:sz w:val="14"/>
              </w:rPr>
              <w:t>Canonical broker interface; mock first; IBKR candidate only</w:t>
            </w:r>
          </w:p>
        </w:tc>
        <w:tc>
          <w:tcPr>
            <w:tcW w:type="dxa" w:w="3744"/>
            <w:vAlign w:val="center"/>
          </w:tcPr>
          <w:p>
            <w:pPr>
              <w:spacing w:after="0"/>
            </w:pPr>
            <w:r/>
            <w:r>
              <w:rPr>
                <w:rFonts w:ascii="Aptos" w:hAnsi="Aptos"/>
                <w:b w:val="0"/>
                <w:sz w:val="14"/>
              </w:rPr>
              <w:t>Before paper adapter commitment.</w:t>
            </w:r>
          </w:p>
        </w:tc>
      </w:tr>
      <w:tr>
        <w:trPr>
          <w:cantSplit/>
        </w:trPr>
        <w:tc>
          <w:tcPr>
            <w:tcW w:type="dxa" w:w="2016"/>
            <w:vAlign w:val="center"/>
            <w:shd w:fill="EAF0F8"/>
          </w:tcPr>
          <w:p>
            <w:pPr>
              <w:spacing w:after="0"/>
            </w:pPr>
            <w:r/>
            <w:r>
              <w:rPr>
                <w:rFonts w:ascii="Aptos" w:hAnsi="Aptos"/>
                <w:b w:val="0"/>
                <w:sz w:val="14"/>
              </w:rPr>
              <w:t>Research data</w:t>
            </w:r>
          </w:p>
        </w:tc>
        <w:tc>
          <w:tcPr>
            <w:tcW w:type="dxa" w:w="4608"/>
            <w:vAlign w:val="center"/>
            <w:shd w:fill="EAF0F8"/>
          </w:tcPr>
          <w:p>
            <w:pPr>
              <w:spacing w:after="0"/>
            </w:pPr>
            <w:r/>
            <w:r>
              <w:rPr>
                <w:rFonts w:ascii="Aptos" w:hAnsi="Aptos"/>
                <w:b w:val="0"/>
                <w:sz w:val="14"/>
              </w:rPr>
              <w:t>Provider-neutral contracts; Databento leading candidate</w:t>
            </w:r>
          </w:p>
        </w:tc>
        <w:tc>
          <w:tcPr>
            <w:tcW w:type="dxa" w:w="3744"/>
            <w:vAlign w:val="center"/>
            <w:shd w:fill="EAF0F8"/>
          </w:tcPr>
          <w:p>
            <w:pPr>
              <w:spacing w:after="0"/>
            </w:pPr>
            <w:r/>
            <w:r>
              <w:rPr>
                <w:rFonts w:ascii="Aptos" w:hAnsi="Aptos"/>
                <w:b w:val="0"/>
                <w:sz w:val="14"/>
              </w:rPr>
              <w:t>Before production research dataset ingestion.</w:t>
            </w:r>
          </w:p>
        </w:tc>
      </w:tr>
      <w:tr>
        <w:trPr>
          <w:cantSplit/>
        </w:trPr>
        <w:tc>
          <w:tcPr>
            <w:tcW w:type="dxa" w:w="2016"/>
            <w:vAlign w:val="center"/>
          </w:tcPr>
          <w:p>
            <w:pPr>
              <w:spacing w:after="0"/>
            </w:pPr>
            <w:r/>
            <w:r>
              <w:rPr>
                <w:rFonts w:ascii="Aptos" w:hAnsi="Aptos"/>
                <w:b w:val="0"/>
                <w:sz w:val="14"/>
              </w:rPr>
              <w:t>Deployment topology</w:t>
            </w:r>
          </w:p>
        </w:tc>
        <w:tc>
          <w:tcPr>
            <w:tcW w:type="dxa" w:w="4608"/>
            <w:vAlign w:val="center"/>
          </w:tcPr>
          <w:p>
            <w:pPr>
              <w:spacing w:after="0"/>
            </w:pPr>
            <w:r/>
            <w:r>
              <w:rPr>
                <w:rFonts w:ascii="Aptos" w:hAnsi="Aptos"/>
                <w:b w:val="0"/>
                <w:sz w:val="14"/>
              </w:rPr>
              <w:t>Local modular monolith for development</w:t>
            </w:r>
          </w:p>
        </w:tc>
        <w:tc>
          <w:tcPr>
            <w:tcW w:type="dxa" w:w="3744"/>
            <w:vAlign w:val="center"/>
          </w:tcPr>
          <w:p>
            <w:pPr>
              <w:spacing w:after="0"/>
            </w:pPr>
            <w:r/>
            <w:r>
              <w:rPr>
                <w:rFonts w:ascii="Aptos" w:hAnsi="Aptos"/>
                <w:b w:val="0"/>
                <w:sz w:val="14"/>
              </w:rPr>
              <w:t>Before shadow environment design.</w:t>
            </w:r>
          </w:p>
        </w:tc>
      </w:tr>
      <w:tr>
        <w:trPr>
          <w:cantSplit/>
        </w:trPr>
        <w:tc>
          <w:tcPr>
            <w:tcW w:type="dxa" w:w="2016"/>
            <w:vAlign w:val="center"/>
            <w:shd w:fill="EAF0F8"/>
          </w:tcPr>
          <w:p>
            <w:pPr>
              <w:spacing w:after="0"/>
            </w:pPr>
            <w:r/>
            <w:r>
              <w:rPr>
                <w:rFonts w:ascii="Aptos" w:hAnsi="Aptos"/>
                <w:b w:val="0"/>
                <w:sz w:val="14"/>
              </w:rPr>
              <w:t>Cloud/provider</w:t>
            </w:r>
          </w:p>
        </w:tc>
        <w:tc>
          <w:tcPr>
            <w:tcW w:type="dxa" w:w="4608"/>
            <w:vAlign w:val="center"/>
            <w:shd w:fill="EAF0F8"/>
          </w:tcPr>
          <w:p>
            <w:pPr>
              <w:spacing w:after="0"/>
            </w:pPr>
            <w:r/>
            <w:r>
              <w:rPr>
                <w:rFonts w:ascii="Aptos" w:hAnsi="Aptos"/>
                <w:b w:val="0"/>
                <w:sz w:val="14"/>
              </w:rPr>
              <w:t>No binding provider</w:t>
            </w:r>
          </w:p>
        </w:tc>
        <w:tc>
          <w:tcPr>
            <w:tcW w:type="dxa" w:w="3744"/>
            <w:vAlign w:val="center"/>
            <w:shd w:fill="EAF0F8"/>
          </w:tcPr>
          <w:p>
            <w:pPr>
              <w:spacing w:after="0"/>
            </w:pPr>
            <w:r/>
            <w:r>
              <w:rPr>
                <w:rFonts w:ascii="Aptos" w:hAnsi="Aptos"/>
                <w:b w:val="0"/>
                <w:sz w:val="14"/>
              </w:rPr>
              <w:t>Before Stage 9 deployment implementation.</w:t>
            </w:r>
          </w:p>
        </w:tc>
      </w:tr>
      <w:tr>
        <w:trPr>
          <w:cantSplit/>
        </w:trPr>
        <w:tc>
          <w:tcPr>
            <w:tcW w:type="dxa" w:w="2016"/>
            <w:vAlign w:val="center"/>
          </w:tcPr>
          <w:p>
            <w:pPr>
              <w:spacing w:after="0"/>
            </w:pPr>
            <w:r/>
            <w:r>
              <w:rPr>
                <w:rFonts w:ascii="Aptos" w:hAnsi="Aptos"/>
                <w:b w:val="0"/>
                <w:sz w:val="14"/>
              </w:rPr>
              <w:t>First strategy</w:t>
            </w:r>
          </w:p>
        </w:tc>
        <w:tc>
          <w:tcPr>
            <w:tcW w:type="dxa" w:w="4608"/>
            <w:vAlign w:val="center"/>
          </w:tcPr>
          <w:p>
            <w:pPr>
              <w:spacing w:after="0"/>
            </w:pPr>
            <w:r/>
            <w:r>
              <w:rPr>
                <w:rFonts w:ascii="Aptos" w:hAnsi="Aptos"/>
                <w:b w:val="0"/>
                <w:sz w:val="14"/>
              </w:rPr>
              <w:t>Simple benchmark with no direct authority</w:t>
            </w:r>
          </w:p>
        </w:tc>
        <w:tc>
          <w:tcPr>
            <w:tcW w:type="dxa" w:w="3744"/>
            <w:vAlign w:val="center"/>
          </w:tcPr>
          <w:p>
            <w:pPr>
              <w:spacing w:after="0"/>
            </w:pPr>
            <w:r/>
            <w:r>
              <w:rPr>
                <w:rFonts w:ascii="Aptos" w:hAnsi="Aptos"/>
                <w:b w:val="0"/>
                <w:sz w:val="14"/>
              </w:rPr>
              <w:t>Stage 4 planning.</w:t>
            </w:r>
          </w:p>
        </w:tc>
      </w:tr>
      <w:tr>
        <w:trPr>
          <w:cantSplit/>
        </w:trPr>
        <w:tc>
          <w:tcPr>
            <w:tcW w:type="dxa" w:w="2016"/>
            <w:vAlign w:val="center"/>
            <w:shd w:fill="EAF0F8"/>
          </w:tcPr>
          <w:p>
            <w:pPr>
              <w:spacing w:after="0"/>
            </w:pPr>
            <w:r/>
            <w:r>
              <w:rPr>
                <w:rFonts w:ascii="Aptos" w:hAnsi="Aptos"/>
                <w:b w:val="0"/>
                <w:sz w:val="14"/>
              </w:rPr>
              <w:t>Compliance ruleset</w:t>
            </w:r>
          </w:p>
        </w:tc>
        <w:tc>
          <w:tcPr>
            <w:tcW w:type="dxa" w:w="4608"/>
            <w:vAlign w:val="center"/>
            <w:shd w:fill="EAF0F8"/>
          </w:tcPr>
          <w:p>
            <w:pPr>
              <w:spacing w:after="0"/>
            </w:pPr>
            <w:r/>
            <w:r>
              <w:rPr>
                <w:rFonts w:ascii="Aptos" w:hAnsi="Aptos"/>
                <w:b w:val="0"/>
                <w:sz w:val="14"/>
              </w:rPr>
              <w:t>Pluggable gateway with deny/unknown states</w:t>
            </w:r>
          </w:p>
        </w:tc>
        <w:tc>
          <w:tcPr>
            <w:tcW w:type="dxa" w:w="3744"/>
            <w:vAlign w:val="center"/>
            <w:shd w:fill="EAF0F8"/>
          </w:tcPr>
          <w:p>
            <w:pPr>
              <w:spacing w:after="0"/>
            </w:pPr>
            <w:r/>
            <w:r>
              <w:rPr>
                <w:rFonts w:ascii="Aptos" w:hAnsi="Aptos"/>
                <w:b w:val="0"/>
                <w:sz w:val="14"/>
              </w:rPr>
              <w:t>Before paper/live scope approval.</w:t>
            </w:r>
          </w:p>
        </w:tc>
      </w:tr>
      <w:tr>
        <w:trPr>
          <w:cantSplit/>
        </w:trPr>
        <w:tc>
          <w:tcPr>
            <w:tcW w:type="dxa" w:w="2016"/>
            <w:vAlign w:val="center"/>
          </w:tcPr>
          <w:p>
            <w:pPr>
              <w:spacing w:after="0"/>
            </w:pPr>
            <w:r/>
            <w:r>
              <w:rPr>
                <w:rFonts w:ascii="Aptos" w:hAnsi="Aptos"/>
                <w:b w:val="0"/>
                <w:sz w:val="14"/>
              </w:rPr>
              <w:t>Retention durations</w:t>
            </w:r>
          </w:p>
        </w:tc>
        <w:tc>
          <w:tcPr>
            <w:tcW w:type="dxa" w:w="4608"/>
            <w:vAlign w:val="center"/>
          </w:tcPr>
          <w:p>
            <w:pPr>
              <w:spacing w:after="0"/>
            </w:pPr>
            <w:r/>
            <w:r>
              <w:rPr>
                <w:rFonts w:ascii="Aptos" w:hAnsi="Aptos"/>
                <w:b w:val="0"/>
                <w:sz w:val="14"/>
              </w:rPr>
              <w:t>Policy-driven, no destructive default</w:t>
            </w:r>
          </w:p>
        </w:tc>
        <w:tc>
          <w:tcPr>
            <w:tcW w:type="dxa" w:w="3744"/>
            <w:vAlign w:val="center"/>
          </w:tcPr>
          <w:p>
            <w:pPr>
              <w:spacing w:after="0"/>
            </w:pPr>
            <w:r/>
            <w:r>
              <w:rPr>
                <w:rFonts w:ascii="Aptos" w:hAnsi="Aptos"/>
                <w:b w:val="0"/>
                <w:sz w:val="14"/>
              </w:rPr>
              <w:t>Before operational evidence rollout.</w:t>
            </w:r>
          </w:p>
        </w:tc>
      </w:tr>
      <w:tr>
        <w:trPr>
          <w:cantSplit/>
        </w:trPr>
        <w:tc>
          <w:tcPr>
            <w:tcW w:type="dxa" w:w="2016"/>
            <w:vAlign w:val="center"/>
            <w:shd w:fill="EAF0F8"/>
          </w:tcPr>
          <w:p>
            <w:pPr>
              <w:spacing w:after="0"/>
            </w:pPr>
            <w:r/>
            <w:r>
              <w:rPr>
                <w:rFonts w:ascii="Aptos" w:hAnsi="Aptos"/>
                <w:b w:val="0"/>
                <w:sz w:val="14"/>
              </w:rPr>
              <w:t>Base currency/account structure</w:t>
            </w:r>
          </w:p>
        </w:tc>
        <w:tc>
          <w:tcPr>
            <w:tcW w:type="dxa" w:w="4608"/>
            <w:vAlign w:val="center"/>
            <w:shd w:fill="EAF0F8"/>
          </w:tcPr>
          <w:p>
            <w:pPr>
              <w:spacing w:after="0"/>
            </w:pPr>
            <w:r/>
            <w:r>
              <w:rPr>
                <w:rFonts w:ascii="Aptos" w:hAnsi="Aptos"/>
                <w:b w:val="0"/>
                <w:sz w:val="14"/>
              </w:rPr>
              <w:t>Explicit config, GBP feasibility reporting</w:t>
            </w:r>
          </w:p>
        </w:tc>
        <w:tc>
          <w:tcPr>
            <w:tcW w:type="dxa" w:w="3744"/>
            <w:vAlign w:val="center"/>
            <w:shd w:fill="EAF0F8"/>
          </w:tcPr>
          <w:p>
            <w:pPr>
              <w:spacing w:after="0"/>
            </w:pPr>
            <w:r/>
            <w:r>
              <w:rPr>
                <w:rFonts w:ascii="Aptos" w:hAnsi="Aptos"/>
                <w:b w:val="0"/>
                <w:sz w:val="14"/>
              </w:rPr>
              <w:t>Before broker/account integration.</w:t>
            </w:r>
          </w:p>
        </w:tc>
      </w:tr>
    </w:tbl>
    <w:p>
      <w:pPr>
        <w:spacing w:after="0"/>
      </w:pPr>
    </w:p>
    <w:p>
      <w:pPr>
        <w:pStyle w:val="Heading1"/>
      </w:pPr>
      <w:r>
        <w:t>12.3 Initial ADRs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296"/>
            <w:vAlign w:val="center"/>
            <w:shd w:fill="17365D"/>
          </w:tcPr>
          <w:p>
            <w:pPr>
              <w:spacing w:after="0"/>
            </w:pPr>
            <w:r/>
            <w:r>
              <w:rPr>
                <w:rFonts w:ascii="Aptos" w:hAnsi="Aptos"/>
                <w:b/>
                <w:color w:val="FFFFFF"/>
                <w:sz w:val="14"/>
              </w:rPr>
              <w:t>ADR</w:t>
            </w:r>
          </w:p>
        </w:tc>
        <w:tc>
          <w:tcPr>
            <w:tcW w:type="dxa" w:w="8064"/>
            <w:vAlign w:val="center"/>
            <w:shd w:fill="17365D"/>
          </w:tcPr>
          <w:p>
            <w:pPr>
              <w:spacing w:after="0"/>
            </w:pPr>
            <w:r/>
            <w:r>
              <w:rPr>
                <w:rFonts w:ascii="Aptos" w:hAnsi="Aptos"/>
                <w:b/>
                <w:color w:val="FFFFFF"/>
                <w:sz w:val="14"/>
              </w:rPr>
              <w:t>Decision</w:t>
            </w:r>
          </w:p>
        </w:tc>
        <w:tc>
          <w:tcPr>
            <w:tcW w:type="dxa" w:w="1440"/>
            <w:vAlign w:val="center"/>
            <w:shd w:fill="17365D"/>
          </w:tcPr>
          <w:p>
            <w:pPr>
              <w:spacing w:after="0"/>
            </w:pPr>
            <w:r/>
            <w:r>
              <w:rPr>
                <w:rFonts w:ascii="Aptos" w:hAnsi="Aptos"/>
                <w:b/>
                <w:color w:val="FFFFFF"/>
                <w:sz w:val="14"/>
              </w:rPr>
              <w:t>Status</w:t>
            </w:r>
          </w:p>
        </w:tc>
      </w:tr>
      <w:tr>
        <w:trPr>
          <w:cantSplit/>
        </w:trPr>
        <w:tc>
          <w:tcPr>
            <w:tcW w:type="dxa" w:w="1296"/>
            <w:vAlign w:val="center"/>
          </w:tcPr>
          <w:p>
            <w:pPr>
              <w:spacing w:after="0"/>
            </w:pPr>
            <w:r/>
            <w:r>
              <w:rPr>
                <w:rFonts w:ascii="Aptos" w:hAnsi="Aptos"/>
                <w:b w:val="0"/>
                <w:sz w:val="14"/>
              </w:rPr>
              <w:t>ADR-001</w:t>
            </w:r>
          </w:p>
        </w:tc>
        <w:tc>
          <w:tcPr>
            <w:tcW w:type="dxa" w:w="8064"/>
            <w:vAlign w:val="center"/>
          </w:tcPr>
          <w:p>
            <w:pPr>
              <w:spacing w:after="0"/>
            </w:pPr>
            <w:r/>
            <w:r>
              <w:rPr>
                <w:rFonts w:ascii="Aptos" w:hAnsi="Aptos"/>
                <w:b w:val="0"/>
                <w:sz w:val="14"/>
              </w:rPr>
              <w:t>Begin as a modular monolith with extraction-ready ports.</w:t>
            </w:r>
          </w:p>
        </w:tc>
        <w:tc>
          <w:tcPr>
            <w:tcW w:type="dxa" w:w="1440"/>
            <w:vAlign w:val="center"/>
          </w:tcPr>
          <w:p>
            <w:pPr>
              <w:spacing w:after="0"/>
            </w:pPr>
            <w:r/>
            <w:r>
              <w:rPr>
                <w:rFonts w:ascii="Aptos" w:hAnsi="Aptos"/>
                <w:b w:val="0"/>
                <w:sz w:val="14"/>
              </w:rPr>
              <w:t>Accepted baseline</w:t>
            </w:r>
          </w:p>
        </w:tc>
      </w:tr>
      <w:tr>
        <w:trPr>
          <w:cantSplit/>
        </w:trPr>
        <w:tc>
          <w:tcPr>
            <w:tcW w:type="dxa" w:w="1296"/>
            <w:vAlign w:val="center"/>
            <w:shd w:fill="EAF0F8"/>
          </w:tcPr>
          <w:p>
            <w:pPr>
              <w:spacing w:after="0"/>
            </w:pPr>
            <w:r/>
            <w:r>
              <w:rPr>
                <w:rFonts w:ascii="Aptos" w:hAnsi="Aptos"/>
                <w:b w:val="0"/>
                <w:sz w:val="14"/>
              </w:rPr>
              <w:t>ADR-002</w:t>
            </w:r>
          </w:p>
        </w:tc>
        <w:tc>
          <w:tcPr>
            <w:tcW w:type="dxa" w:w="8064"/>
            <w:vAlign w:val="center"/>
            <w:shd w:fill="EAF0F8"/>
          </w:tcPr>
          <w:p>
            <w:pPr>
              <w:spacing w:after="0"/>
            </w:pPr>
            <w:r/>
            <w:r>
              <w:rPr>
                <w:rFonts w:ascii="Aptos" w:hAnsi="Aptos"/>
                <w:b w:val="0"/>
                <w:sz w:val="14"/>
              </w:rPr>
              <w:t>Use Python 3.12.x and a hash-locked dependency graph.</w:t>
            </w:r>
          </w:p>
        </w:tc>
        <w:tc>
          <w:tcPr>
            <w:tcW w:type="dxa" w:w="1440"/>
            <w:vAlign w:val="center"/>
            <w:shd w:fill="EAF0F8"/>
          </w:tcPr>
          <w:p>
            <w:pPr>
              <w:spacing w:after="0"/>
            </w:pPr>
            <w:r/>
            <w:r>
              <w:rPr>
                <w:rFonts w:ascii="Aptos" w:hAnsi="Aptos"/>
                <w:b w:val="0"/>
                <w:sz w:val="14"/>
              </w:rPr>
              <w:t>Proposed for M1</w:t>
            </w:r>
          </w:p>
        </w:tc>
      </w:tr>
      <w:tr>
        <w:trPr>
          <w:cantSplit/>
        </w:trPr>
        <w:tc>
          <w:tcPr>
            <w:tcW w:type="dxa" w:w="1296"/>
            <w:vAlign w:val="center"/>
          </w:tcPr>
          <w:p>
            <w:pPr>
              <w:spacing w:after="0"/>
            </w:pPr>
            <w:r/>
            <w:r>
              <w:rPr>
                <w:rFonts w:ascii="Aptos" w:hAnsi="Aptos"/>
                <w:b w:val="0"/>
                <w:sz w:val="14"/>
              </w:rPr>
              <w:t>ADR-003</w:t>
            </w:r>
          </w:p>
        </w:tc>
        <w:tc>
          <w:tcPr>
            <w:tcW w:type="dxa" w:w="8064"/>
            <w:vAlign w:val="center"/>
          </w:tcPr>
          <w:p>
            <w:pPr>
              <w:spacing w:after="0"/>
            </w:pPr>
            <w:r/>
            <w:r>
              <w:rPr>
                <w:rFonts w:ascii="Aptos" w:hAnsi="Aptos"/>
                <w:b w:val="0"/>
                <w:sz w:val="14"/>
              </w:rPr>
              <w:t>Use Decimal plus explicit currency/rounding for authoritative finance.</w:t>
            </w:r>
          </w:p>
        </w:tc>
        <w:tc>
          <w:tcPr>
            <w:tcW w:type="dxa" w:w="1440"/>
            <w:vAlign w:val="center"/>
          </w:tcPr>
          <w:p>
            <w:pPr>
              <w:spacing w:after="0"/>
            </w:pPr>
            <w:r/>
            <w:r>
              <w:rPr>
                <w:rFonts w:ascii="Aptos" w:hAnsi="Aptos"/>
                <w:b w:val="0"/>
                <w:sz w:val="14"/>
              </w:rPr>
              <w:t>Accepted baseline</w:t>
            </w:r>
          </w:p>
        </w:tc>
      </w:tr>
      <w:tr>
        <w:trPr>
          <w:cantSplit/>
        </w:trPr>
        <w:tc>
          <w:tcPr>
            <w:tcW w:type="dxa" w:w="1296"/>
            <w:vAlign w:val="center"/>
            <w:shd w:fill="EAF0F8"/>
          </w:tcPr>
          <w:p>
            <w:pPr>
              <w:spacing w:after="0"/>
            </w:pPr>
            <w:r/>
            <w:r>
              <w:rPr>
                <w:rFonts w:ascii="Aptos" w:hAnsi="Aptos"/>
                <w:b w:val="0"/>
                <w:sz w:val="14"/>
              </w:rPr>
              <w:t>ADR-004</w:t>
            </w:r>
          </w:p>
        </w:tc>
        <w:tc>
          <w:tcPr>
            <w:tcW w:type="dxa" w:w="8064"/>
            <w:vAlign w:val="center"/>
            <w:shd w:fill="EAF0F8"/>
          </w:tcPr>
          <w:p>
            <w:pPr>
              <w:spacing w:after="0"/>
            </w:pPr>
            <w:r/>
            <w:r>
              <w:rPr>
                <w:rFonts w:ascii="Aptos" w:hAnsi="Aptos"/>
                <w:b w:val="0"/>
                <w:sz w:val="14"/>
              </w:rPr>
              <w:t>Use PostgreSQL for operational/event state and immutable Parquet/Arrow for analytics.</w:t>
            </w:r>
          </w:p>
        </w:tc>
        <w:tc>
          <w:tcPr>
            <w:tcW w:type="dxa" w:w="1440"/>
            <w:vAlign w:val="center"/>
            <w:shd w:fill="EAF0F8"/>
          </w:tcPr>
          <w:p>
            <w:pPr>
              <w:spacing w:after="0"/>
            </w:pPr>
            <w:r/>
            <w:r>
              <w:rPr>
                <w:rFonts w:ascii="Aptos" w:hAnsi="Aptos"/>
                <w:b w:val="0"/>
                <w:sz w:val="14"/>
              </w:rPr>
              <w:t>Accepted direction</w:t>
            </w:r>
          </w:p>
        </w:tc>
      </w:tr>
      <w:tr>
        <w:trPr>
          <w:cantSplit/>
        </w:trPr>
        <w:tc>
          <w:tcPr>
            <w:tcW w:type="dxa" w:w="1296"/>
            <w:vAlign w:val="center"/>
          </w:tcPr>
          <w:p>
            <w:pPr>
              <w:spacing w:after="0"/>
            </w:pPr>
            <w:r/>
            <w:r>
              <w:rPr>
                <w:rFonts w:ascii="Aptos" w:hAnsi="Aptos"/>
                <w:b w:val="0"/>
                <w:sz w:val="14"/>
              </w:rPr>
              <w:t>ADR-005</w:t>
            </w:r>
          </w:p>
        </w:tc>
        <w:tc>
          <w:tcPr>
            <w:tcW w:type="dxa" w:w="8064"/>
            <w:vAlign w:val="center"/>
          </w:tcPr>
          <w:p>
            <w:pPr>
              <w:spacing w:after="0"/>
            </w:pPr>
            <w:r/>
            <w:r>
              <w:rPr>
                <w:rFonts w:ascii="Aptos" w:hAnsi="Aptos"/>
                <w:b w:val="0"/>
                <w:sz w:val="14"/>
              </w:rPr>
              <w:t>Use transactional outbox/inbox and optimistic concurrency.</w:t>
            </w:r>
          </w:p>
        </w:tc>
        <w:tc>
          <w:tcPr>
            <w:tcW w:type="dxa" w:w="1440"/>
            <w:vAlign w:val="center"/>
          </w:tcPr>
          <w:p>
            <w:pPr>
              <w:spacing w:after="0"/>
            </w:pPr>
            <w:r/>
            <w:r>
              <w:rPr>
                <w:rFonts w:ascii="Aptos" w:hAnsi="Aptos"/>
                <w:b w:val="0"/>
                <w:sz w:val="14"/>
              </w:rPr>
              <w:t>Proposed for Stage 2</w:t>
            </w:r>
          </w:p>
        </w:tc>
      </w:tr>
      <w:tr>
        <w:trPr>
          <w:cantSplit/>
        </w:trPr>
        <w:tc>
          <w:tcPr>
            <w:tcW w:type="dxa" w:w="1296"/>
            <w:vAlign w:val="center"/>
            <w:shd w:fill="EAF0F8"/>
          </w:tcPr>
          <w:p>
            <w:pPr>
              <w:spacing w:after="0"/>
            </w:pPr>
            <w:r/>
            <w:r>
              <w:rPr>
                <w:rFonts w:ascii="Aptos" w:hAnsi="Aptos"/>
                <w:b w:val="0"/>
                <w:sz w:val="14"/>
              </w:rPr>
              <w:t>ADR-006</w:t>
            </w:r>
          </w:p>
        </w:tc>
        <w:tc>
          <w:tcPr>
            <w:tcW w:type="dxa" w:w="8064"/>
            <w:vAlign w:val="center"/>
            <w:shd w:fill="EAF0F8"/>
          </w:tcPr>
          <w:p>
            <w:pPr>
              <w:spacing w:after="0"/>
            </w:pPr>
            <w:r/>
            <w:r>
              <w:rPr>
                <w:rFonts w:ascii="Aptos" w:hAnsi="Aptos"/>
                <w:b w:val="0"/>
                <w:sz w:val="14"/>
              </w:rPr>
              <w:t>Default process startup to NO_NEW_ORDERS until authorization/reconciliation gates pass.</w:t>
            </w:r>
          </w:p>
        </w:tc>
        <w:tc>
          <w:tcPr>
            <w:tcW w:type="dxa" w:w="1440"/>
            <w:vAlign w:val="center"/>
            <w:shd w:fill="EAF0F8"/>
          </w:tcPr>
          <w:p>
            <w:pPr>
              <w:spacing w:after="0"/>
            </w:pPr>
            <w:r/>
            <w:r>
              <w:rPr>
                <w:rFonts w:ascii="Aptos" w:hAnsi="Aptos"/>
                <w:b w:val="0"/>
                <w:sz w:val="14"/>
              </w:rPr>
              <w:t>Accepted safety default</w:t>
            </w:r>
          </w:p>
        </w:tc>
      </w:tr>
      <w:tr>
        <w:trPr>
          <w:cantSplit/>
        </w:trPr>
        <w:tc>
          <w:tcPr>
            <w:tcW w:type="dxa" w:w="1296"/>
            <w:vAlign w:val="center"/>
          </w:tcPr>
          <w:p>
            <w:pPr>
              <w:spacing w:after="0"/>
            </w:pPr>
            <w:r/>
            <w:r>
              <w:rPr>
                <w:rFonts w:ascii="Aptos" w:hAnsi="Aptos"/>
                <w:b w:val="0"/>
                <w:sz w:val="14"/>
              </w:rPr>
              <w:t>ADR-007</w:t>
            </w:r>
          </w:p>
        </w:tc>
        <w:tc>
          <w:tcPr>
            <w:tcW w:type="dxa" w:w="8064"/>
            <w:vAlign w:val="center"/>
          </w:tcPr>
          <w:p>
            <w:pPr>
              <w:spacing w:after="0"/>
            </w:pPr>
            <w:r/>
            <w:r>
              <w:rPr>
                <w:rFonts w:ascii="Aptos" w:hAnsi="Aptos"/>
                <w:b w:val="0"/>
                <w:sz w:val="14"/>
              </w:rPr>
              <w:t>Exclude all production broker capabilities through Stage 10.</w:t>
            </w:r>
          </w:p>
        </w:tc>
        <w:tc>
          <w:tcPr>
            <w:tcW w:type="dxa" w:w="1440"/>
            <w:vAlign w:val="center"/>
          </w:tcPr>
          <w:p>
            <w:pPr>
              <w:spacing w:after="0"/>
            </w:pPr>
            <w:r/>
            <w:r>
              <w:rPr>
                <w:rFonts w:ascii="Aptos" w:hAnsi="Aptos"/>
                <w:b w:val="0"/>
                <w:sz w:val="14"/>
              </w:rPr>
              <w:t>Accepted safety default</w:t>
            </w:r>
          </w:p>
        </w:tc>
      </w:tr>
    </w:tbl>
    <w:p>
      <w:pPr>
        <w:spacing w:after="0"/>
      </w:pPr>
    </w:p>
    <w:p>
      <w:pPr>
        <w:pStyle w:val="Title"/>
      </w:pPr>
      <w:r>
        <w:t>13. Test and Failure-Injection Baseline</w:t>
      </w:r>
    </w:p>
    <w:tbl>
      <w:tblPr>
        <w:tblStyle w:val="TableGrid"/>
        <w:tblW w:type="auto" w:w="0"/>
        <w:jc w:val="center"/>
        <w:tblLook w:firstColumn="1" w:firstRow="1" w:lastColumn="0" w:lastRow="0" w:noHBand="0" w:noVBand="1" w:val="04A0"/>
      </w:tblPr>
      <w:tblGrid>
        <w:gridCol w:w="5112"/>
        <w:gridCol w:w="5112"/>
      </w:tblGrid>
      <w:tr>
        <w:trPr>
          <w:cantSplit/>
        </w:trPr>
        <w:tc>
          <w:tcPr>
            <w:tcW w:type="dxa" w:w="2160"/>
            <w:vAlign w:val="center"/>
            <w:shd w:fill="17365D"/>
          </w:tcPr>
          <w:p>
            <w:pPr>
              <w:spacing w:after="0"/>
            </w:pPr>
            <w:r/>
            <w:r>
              <w:rPr>
                <w:rFonts w:ascii="Aptos" w:hAnsi="Aptos"/>
                <w:b/>
                <w:color w:val="FFFFFF"/>
                <w:sz w:val="14"/>
              </w:rPr>
              <w:t>Category</w:t>
            </w:r>
          </w:p>
        </w:tc>
        <w:tc>
          <w:tcPr>
            <w:tcW w:type="dxa" w:w="8208"/>
            <w:vAlign w:val="center"/>
            <w:shd w:fill="17365D"/>
          </w:tcPr>
          <w:p>
            <w:pPr>
              <w:spacing w:after="0"/>
            </w:pPr>
            <w:r/>
            <w:r>
              <w:rPr>
                <w:rFonts w:ascii="Aptos" w:hAnsi="Aptos"/>
                <w:b/>
                <w:color w:val="FFFFFF"/>
                <w:sz w:val="14"/>
              </w:rPr>
              <w:t>Mandatory examples</w:t>
            </w:r>
          </w:p>
        </w:tc>
      </w:tr>
      <w:tr>
        <w:trPr>
          <w:cantSplit/>
        </w:trPr>
        <w:tc>
          <w:tcPr>
            <w:tcW w:type="dxa" w:w="2160"/>
            <w:vAlign w:val="center"/>
          </w:tcPr>
          <w:p>
            <w:pPr>
              <w:spacing w:after="0"/>
            </w:pPr>
            <w:r/>
            <w:r>
              <w:rPr>
                <w:rFonts w:ascii="Aptos" w:hAnsi="Aptos"/>
                <w:b w:val="0"/>
                <w:sz w:val="14"/>
              </w:rPr>
              <w:t>Contract/property</w:t>
            </w:r>
          </w:p>
        </w:tc>
        <w:tc>
          <w:tcPr>
            <w:tcW w:type="dxa" w:w="8208"/>
            <w:vAlign w:val="center"/>
          </w:tcPr>
          <w:p>
            <w:pPr>
              <w:spacing w:after="0"/>
            </w:pPr>
            <w:r/>
            <w:r>
              <w:rPr>
                <w:rFonts w:ascii="Aptos" w:hAnsi="Aptos"/>
                <w:b w:val="0"/>
                <w:sz w:val="14"/>
              </w:rPr>
              <w:t>Money arithmetic, quantity precision, IDs, state transition legality, balanced ledger, reservation conservation.</w:t>
            </w:r>
          </w:p>
        </w:tc>
      </w:tr>
      <w:tr>
        <w:trPr>
          <w:cantSplit/>
        </w:trPr>
        <w:tc>
          <w:tcPr>
            <w:tcW w:type="dxa" w:w="2160"/>
            <w:vAlign w:val="center"/>
            <w:shd w:fill="EAF0F8"/>
          </w:tcPr>
          <w:p>
            <w:pPr>
              <w:spacing w:after="0"/>
            </w:pPr>
            <w:r/>
            <w:r>
              <w:rPr>
                <w:rFonts w:ascii="Aptos" w:hAnsi="Aptos"/>
                <w:b w:val="0"/>
                <w:sz w:val="14"/>
              </w:rPr>
              <w:t>Time</w:t>
            </w:r>
          </w:p>
        </w:tc>
        <w:tc>
          <w:tcPr>
            <w:tcW w:type="dxa" w:w="8208"/>
            <w:vAlign w:val="center"/>
            <w:shd w:fill="EAF0F8"/>
          </w:tcPr>
          <w:p>
            <w:pPr>
              <w:spacing w:after="0"/>
            </w:pPr>
            <w:r/>
            <w:r>
              <w:rPr>
                <w:rFonts w:ascii="Aptos" w:hAnsi="Aptos"/>
                <w:b w:val="0"/>
                <w:sz w:val="14"/>
              </w:rPr>
              <w:t>DST boundary, holiday, early close, leap date, clock rollback/drift, stale dependency, expiry.</w:t>
            </w:r>
          </w:p>
        </w:tc>
      </w:tr>
      <w:tr>
        <w:trPr>
          <w:cantSplit/>
        </w:trPr>
        <w:tc>
          <w:tcPr>
            <w:tcW w:type="dxa" w:w="2160"/>
            <w:vAlign w:val="center"/>
          </w:tcPr>
          <w:p>
            <w:pPr>
              <w:spacing w:after="0"/>
            </w:pPr>
            <w:r/>
            <w:r>
              <w:rPr>
                <w:rFonts w:ascii="Aptos" w:hAnsi="Aptos"/>
                <w:b w:val="0"/>
                <w:sz w:val="14"/>
              </w:rPr>
              <w:t>Data</w:t>
            </w:r>
          </w:p>
        </w:tc>
        <w:tc>
          <w:tcPr>
            <w:tcW w:type="dxa" w:w="8208"/>
            <w:vAlign w:val="center"/>
          </w:tcPr>
          <w:p>
            <w:pPr>
              <w:spacing w:after="0"/>
            </w:pPr>
            <w:r/>
            <w:r>
              <w:rPr>
                <w:rFonts w:ascii="Aptos" w:hAnsi="Aptos"/>
                <w:b w:val="0"/>
                <w:sz w:val="14"/>
              </w:rPr>
              <w:t>Missing/duplicate/outlier/reordered bars, late corrections, symbol change, split/dividend timing.</w:t>
            </w:r>
          </w:p>
        </w:tc>
      </w:tr>
      <w:tr>
        <w:trPr>
          <w:cantSplit/>
        </w:trPr>
        <w:tc>
          <w:tcPr>
            <w:tcW w:type="dxa" w:w="2160"/>
            <w:vAlign w:val="center"/>
            <w:shd w:fill="EAF0F8"/>
          </w:tcPr>
          <w:p>
            <w:pPr>
              <w:spacing w:after="0"/>
            </w:pPr>
            <w:r/>
            <w:r>
              <w:rPr>
                <w:rFonts w:ascii="Aptos" w:hAnsi="Aptos"/>
                <w:b w:val="0"/>
                <w:sz w:val="14"/>
              </w:rPr>
              <w:t>Concurrency</w:t>
            </w:r>
          </w:p>
        </w:tc>
        <w:tc>
          <w:tcPr>
            <w:tcW w:type="dxa" w:w="8208"/>
            <w:vAlign w:val="center"/>
            <w:shd w:fill="EAF0F8"/>
          </w:tcPr>
          <w:p>
            <w:pPr>
              <w:spacing w:after="0"/>
            </w:pPr>
            <w:r/>
            <w:r>
              <w:rPr>
                <w:rFonts w:ascii="Aptos" w:hAnsi="Aptos"/>
                <w:b w:val="0"/>
                <w:sz w:val="14"/>
              </w:rPr>
              <w:t>Two decisions competing for capital; stale writer; duplicate event consumers; cancel/replace race.</w:t>
            </w:r>
          </w:p>
        </w:tc>
      </w:tr>
      <w:tr>
        <w:trPr>
          <w:cantSplit/>
        </w:trPr>
        <w:tc>
          <w:tcPr>
            <w:tcW w:type="dxa" w:w="2160"/>
            <w:vAlign w:val="center"/>
          </w:tcPr>
          <w:p>
            <w:pPr>
              <w:spacing w:after="0"/>
            </w:pPr>
            <w:r/>
            <w:r>
              <w:rPr>
                <w:rFonts w:ascii="Aptos" w:hAnsi="Aptos"/>
                <w:b w:val="0"/>
                <w:sz w:val="14"/>
              </w:rPr>
              <w:t>Broker ambiguity</w:t>
            </w:r>
          </w:p>
        </w:tc>
        <w:tc>
          <w:tcPr>
            <w:tcW w:type="dxa" w:w="8208"/>
            <w:vAlign w:val="center"/>
          </w:tcPr>
          <w:p>
            <w:pPr>
              <w:spacing w:after="0"/>
            </w:pPr>
            <w:r/>
            <w:r>
              <w:rPr>
                <w:rFonts w:ascii="Aptos" w:hAnsi="Aptos"/>
                <w:b w:val="0"/>
                <w:sz w:val="14"/>
              </w:rPr>
              <w:t>Timeout after acceptance, delayed ACK, duplicate fill, out-of-order fill, malformed response, rate limit.</w:t>
            </w:r>
          </w:p>
        </w:tc>
      </w:tr>
      <w:tr>
        <w:trPr>
          <w:cantSplit/>
        </w:trPr>
        <w:tc>
          <w:tcPr>
            <w:tcW w:type="dxa" w:w="2160"/>
            <w:vAlign w:val="center"/>
            <w:shd w:fill="EAF0F8"/>
          </w:tcPr>
          <w:p>
            <w:pPr>
              <w:spacing w:after="0"/>
            </w:pPr>
            <w:r/>
            <w:r>
              <w:rPr>
                <w:rFonts w:ascii="Aptos" w:hAnsi="Aptos"/>
                <w:b w:val="0"/>
                <w:sz w:val="14"/>
              </w:rPr>
              <w:t>Recovery</w:t>
            </w:r>
          </w:p>
        </w:tc>
        <w:tc>
          <w:tcPr>
            <w:tcW w:type="dxa" w:w="8208"/>
            <w:vAlign w:val="center"/>
            <w:shd w:fill="EAF0F8"/>
          </w:tcPr>
          <w:p>
            <w:pPr>
              <w:spacing w:after="0"/>
            </w:pPr>
            <w:r/>
            <w:r>
              <w:rPr>
                <w:rFonts w:ascii="Aptos" w:hAnsi="Aptos"/>
                <w:b w:val="0"/>
                <w:sz w:val="14"/>
              </w:rPr>
              <w:t>Crash after durable attempt/before response, partial fill then crash, replay, checkpoint corruption, backup restore.</w:t>
            </w:r>
          </w:p>
        </w:tc>
      </w:tr>
      <w:tr>
        <w:trPr>
          <w:cantSplit/>
        </w:trPr>
        <w:tc>
          <w:tcPr>
            <w:tcW w:type="dxa" w:w="2160"/>
            <w:vAlign w:val="center"/>
          </w:tcPr>
          <w:p>
            <w:pPr>
              <w:spacing w:after="0"/>
            </w:pPr>
            <w:r/>
            <w:r>
              <w:rPr>
                <w:rFonts w:ascii="Aptos" w:hAnsi="Aptos"/>
                <w:b w:val="0"/>
                <w:sz w:val="14"/>
              </w:rPr>
              <w:t>Financial truth</w:t>
            </w:r>
          </w:p>
        </w:tc>
        <w:tc>
          <w:tcPr>
            <w:tcW w:type="dxa" w:w="8208"/>
            <w:vAlign w:val="center"/>
          </w:tcPr>
          <w:p>
            <w:pPr>
              <w:spacing w:after="0"/>
            </w:pPr>
            <w:r/>
            <w:r>
              <w:rPr>
                <w:rFonts w:ascii="Aptos" w:hAnsi="Aptos"/>
                <w:b w:val="0"/>
                <w:sz w:val="14"/>
              </w:rPr>
              <w:t>Partial fills/closes, fees, FX, external cash/trades, bust/correction, corporate-action adjustment.</w:t>
            </w:r>
          </w:p>
        </w:tc>
      </w:tr>
      <w:tr>
        <w:trPr>
          <w:cantSplit/>
        </w:trPr>
        <w:tc>
          <w:tcPr>
            <w:tcW w:type="dxa" w:w="2160"/>
            <w:vAlign w:val="center"/>
            <w:shd w:fill="EAF0F8"/>
          </w:tcPr>
          <w:p>
            <w:pPr>
              <w:spacing w:after="0"/>
            </w:pPr>
            <w:r/>
            <w:r>
              <w:rPr>
                <w:rFonts w:ascii="Aptos" w:hAnsi="Aptos"/>
                <w:b w:val="0"/>
                <w:sz w:val="14"/>
              </w:rPr>
              <w:t>Security</w:t>
            </w:r>
          </w:p>
        </w:tc>
        <w:tc>
          <w:tcPr>
            <w:tcW w:type="dxa" w:w="8208"/>
            <w:vAlign w:val="center"/>
            <w:shd w:fill="EAF0F8"/>
          </w:tcPr>
          <w:p>
            <w:pPr>
              <w:spacing w:after="0"/>
            </w:pPr>
            <w:r/>
            <w:r>
              <w:rPr>
                <w:rFonts w:ascii="Aptos" w:hAnsi="Aptos"/>
                <w:b w:val="0"/>
                <w:sz w:val="14"/>
              </w:rPr>
              <w:t>Credential failure/rotation, dependency integrity failure, privilege misuse, config/release drift.</w:t>
            </w:r>
          </w:p>
        </w:tc>
      </w:tr>
      <w:tr>
        <w:trPr>
          <w:cantSplit/>
        </w:trPr>
        <w:tc>
          <w:tcPr>
            <w:tcW w:type="dxa" w:w="2160"/>
            <w:vAlign w:val="center"/>
          </w:tcPr>
          <w:p>
            <w:pPr>
              <w:spacing w:after="0"/>
            </w:pPr>
            <w:r/>
            <w:r>
              <w:rPr>
                <w:rFonts w:ascii="Aptos" w:hAnsi="Aptos"/>
                <w:b w:val="0"/>
                <w:sz w:val="14"/>
              </w:rPr>
              <w:t>Operational</w:t>
            </w:r>
          </w:p>
        </w:tc>
        <w:tc>
          <w:tcPr>
            <w:tcW w:type="dxa" w:w="8208"/>
            <w:vAlign w:val="center"/>
          </w:tcPr>
          <w:p>
            <w:pPr>
              <w:spacing w:after="0"/>
            </w:pPr>
            <w:r/>
            <w:r>
              <w:rPr>
                <w:rFonts w:ascii="Aptos" w:hAnsi="Aptos"/>
                <w:b w:val="0"/>
                <w:sz w:val="14"/>
              </w:rPr>
              <w:t>Kill activation, repeated kill/cancel, alert failure, DB outage, queue backpressure, broker disconnect.</w:t>
            </w:r>
          </w:p>
        </w:tc>
      </w:tr>
      <w:tr>
        <w:trPr>
          <w:cantSplit/>
        </w:trPr>
        <w:tc>
          <w:tcPr>
            <w:tcW w:type="dxa" w:w="2160"/>
            <w:vAlign w:val="center"/>
            <w:shd w:fill="EAF0F8"/>
          </w:tcPr>
          <w:p>
            <w:pPr>
              <w:spacing w:after="0"/>
            </w:pPr>
            <w:r/>
            <w:r>
              <w:rPr>
                <w:rFonts w:ascii="Aptos" w:hAnsi="Aptos"/>
                <w:b w:val="0"/>
                <w:sz w:val="14"/>
              </w:rPr>
              <w:t>Economic</w:t>
            </w:r>
          </w:p>
        </w:tc>
        <w:tc>
          <w:tcPr>
            <w:tcW w:type="dxa" w:w="8208"/>
            <w:vAlign w:val="center"/>
            <w:shd w:fill="EAF0F8"/>
          </w:tcPr>
          <w:p>
            <w:pPr>
              <w:spacing w:after="0"/>
            </w:pPr>
            <w:r/>
            <w:r>
              <w:rPr>
                <w:rFonts w:ascii="Aptos" w:hAnsi="Aptos"/>
                <w:b w:val="0"/>
                <w:sz w:val="14"/>
              </w:rPr>
              <w:t>Insufficient net edge, cost shock, liquidity/capacity breach, decay, model uncertainty, capital tiers.</w:t>
            </w:r>
          </w:p>
        </w:tc>
      </w:tr>
    </w:tbl>
    <w:p>
      <w:pPr>
        <w:spacing w:after="0"/>
      </w:pPr>
    </w:p>
    <w:p>
      <w:pPr>
        <w:spacing w:after="80"/>
      </w:pPr>
      <w:r>
        <w:t>Each scenario must assert both the visible response and the absence of forbidden side effects. Safety-critical negative tests prove that invalid, stale, duplicate, unauthorized, economically insufficient or inadequately evidenced actions are blocked.</w:t>
      </w:r>
    </w:p>
    <w:p>
      <w:pPr>
        <w:pStyle w:val="Title"/>
      </w:pPr>
      <w:r>
        <w:t>14. Initial Operational and Evidence Gates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728"/>
            <w:vAlign w:val="center"/>
            <w:shd w:fill="17365D"/>
          </w:tcPr>
          <w:p>
            <w:pPr>
              <w:spacing w:after="0"/>
            </w:pPr>
            <w:r/>
            <w:r>
              <w:rPr>
                <w:rFonts w:ascii="Aptos" w:hAnsi="Aptos"/>
                <w:b/>
                <w:color w:val="FFFFFF"/>
                <w:sz w:val="14"/>
              </w:rPr>
              <w:t>Gate</w:t>
            </w:r>
          </w:p>
        </w:tc>
        <w:tc>
          <w:tcPr>
            <w:tcW w:type="dxa" w:w="6192"/>
            <w:vAlign w:val="center"/>
            <w:shd w:fill="17365D"/>
          </w:tcPr>
          <w:p>
            <w:pPr>
              <w:spacing w:after="0"/>
            </w:pPr>
            <w:r/>
            <w:r>
              <w:rPr>
                <w:rFonts w:ascii="Aptos" w:hAnsi="Aptos"/>
                <w:b/>
                <w:color w:val="FFFFFF"/>
                <w:sz w:val="14"/>
              </w:rPr>
              <w:t>Minimum evidence</w:t>
            </w:r>
          </w:p>
        </w:tc>
        <w:tc>
          <w:tcPr>
            <w:tcW w:type="dxa" w:w="3168"/>
            <w:vAlign w:val="center"/>
            <w:shd w:fill="17365D"/>
          </w:tcPr>
          <w:p>
            <w:pPr>
              <w:spacing w:after="0"/>
            </w:pPr>
            <w:r/>
            <w:r>
              <w:rPr>
                <w:rFonts w:ascii="Aptos" w:hAnsi="Aptos"/>
                <w:b/>
                <w:color w:val="FFFFFF"/>
                <w:sz w:val="14"/>
              </w:rPr>
              <w:t>Promotion effect</w:t>
            </w:r>
          </w:p>
        </w:tc>
      </w:tr>
      <w:tr>
        <w:trPr>
          <w:cantSplit/>
        </w:trPr>
        <w:tc>
          <w:tcPr>
            <w:tcW w:type="dxa" w:w="1728"/>
            <w:vAlign w:val="center"/>
          </w:tcPr>
          <w:p>
            <w:pPr>
              <w:spacing w:after="0"/>
            </w:pPr>
            <w:r/>
            <w:r>
              <w:rPr>
                <w:rFonts w:ascii="Aptos" w:hAnsi="Aptos"/>
                <w:b w:val="0"/>
                <w:sz w:val="13"/>
              </w:rPr>
              <w:t>GATE-S00-01</w:t>
            </w:r>
          </w:p>
        </w:tc>
        <w:tc>
          <w:tcPr>
            <w:tcW w:type="dxa" w:w="6192"/>
            <w:vAlign w:val="center"/>
          </w:tcPr>
          <w:p>
            <w:pPr>
              <w:spacing w:after="0"/>
            </w:pPr>
            <w:r/>
            <w:r>
              <w:rPr>
                <w:rFonts w:ascii="Aptos" w:hAnsi="Aptos"/>
                <w:b w:val="0"/>
                <w:sz w:val="13"/>
              </w:rPr>
              <w:t>Canonical lineage and precedence recorded; no unresolved architecture contradiction.</w:t>
            </w:r>
          </w:p>
        </w:tc>
        <w:tc>
          <w:tcPr>
            <w:tcW w:type="dxa" w:w="3168"/>
            <w:vAlign w:val="center"/>
          </w:tcPr>
          <w:p>
            <w:pPr>
              <w:spacing w:after="0"/>
            </w:pPr>
            <w:r/>
            <w:r>
              <w:rPr>
                <w:rFonts w:ascii="Aptos" w:hAnsi="Aptos"/>
                <w:b w:val="0"/>
                <w:sz w:val="13"/>
              </w:rPr>
              <w:t>Allows Stage 1 specification/build.</w:t>
            </w:r>
          </w:p>
        </w:tc>
      </w:tr>
      <w:tr>
        <w:trPr>
          <w:cantSplit/>
        </w:trPr>
        <w:tc>
          <w:tcPr>
            <w:tcW w:type="dxa" w:w="1728"/>
            <w:vAlign w:val="center"/>
            <w:shd w:fill="EAF0F8"/>
          </w:tcPr>
          <w:p>
            <w:pPr>
              <w:spacing w:after="0"/>
            </w:pPr>
            <w:r/>
            <w:r>
              <w:rPr>
                <w:rFonts w:ascii="Aptos" w:hAnsi="Aptos"/>
                <w:b w:val="0"/>
                <w:sz w:val="13"/>
              </w:rPr>
              <w:t>GATE-S01-01</w:t>
            </w:r>
          </w:p>
        </w:tc>
        <w:tc>
          <w:tcPr>
            <w:tcW w:type="dxa" w:w="6192"/>
            <w:vAlign w:val="center"/>
            <w:shd w:fill="EAF0F8"/>
          </w:tcPr>
          <w:p>
            <w:pPr>
              <w:spacing w:after="0"/>
            </w:pPr>
            <w:r/>
            <w:r>
              <w:rPr>
                <w:rFonts w:ascii="Aptos" w:hAnsi="Aptos"/>
                <w:b w:val="0"/>
                <w:sz w:val="13"/>
              </w:rPr>
              <w:t>Reproducible environment and locked dependencies.</w:t>
            </w:r>
          </w:p>
        </w:tc>
        <w:tc>
          <w:tcPr>
            <w:tcW w:type="dxa" w:w="3168"/>
            <w:vAlign w:val="center"/>
            <w:shd w:fill="EAF0F8"/>
          </w:tcPr>
          <w:p>
            <w:pPr>
              <w:spacing w:after="0"/>
            </w:pPr>
            <w:r/>
            <w:r>
              <w:rPr>
                <w:rFonts w:ascii="Aptos" w:hAnsi="Aptos"/>
                <w:b w:val="0"/>
                <w:sz w:val="13"/>
              </w:rPr>
              <w:t>Allows contract implementation.</w:t>
            </w:r>
          </w:p>
        </w:tc>
      </w:tr>
      <w:tr>
        <w:trPr>
          <w:cantSplit/>
        </w:trPr>
        <w:tc>
          <w:tcPr>
            <w:tcW w:type="dxa" w:w="1728"/>
            <w:vAlign w:val="center"/>
          </w:tcPr>
          <w:p>
            <w:pPr>
              <w:spacing w:after="0"/>
            </w:pPr>
            <w:r/>
            <w:r>
              <w:rPr>
                <w:rFonts w:ascii="Aptos" w:hAnsi="Aptos"/>
                <w:b w:val="0"/>
                <w:sz w:val="13"/>
              </w:rPr>
              <w:t>GATE-S01-02</w:t>
            </w:r>
          </w:p>
        </w:tc>
        <w:tc>
          <w:tcPr>
            <w:tcW w:type="dxa" w:w="6192"/>
            <w:vAlign w:val="center"/>
          </w:tcPr>
          <w:p>
            <w:pPr>
              <w:spacing w:after="0"/>
            </w:pPr>
            <w:r/>
            <w:r>
              <w:rPr>
                <w:rFonts w:ascii="Aptos" w:hAnsi="Aptos"/>
                <w:b w:val="0"/>
                <w:sz w:val="13"/>
              </w:rPr>
              <w:t>CI quality/security checks green.</w:t>
            </w:r>
          </w:p>
        </w:tc>
        <w:tc>
          <w:tcPr>
            <w:tcW w:type="dxa" w:w="3168"/>
            <w:vAlign w:val="center"/>
          </w:tcPr>
          <w:p>
            <w:pPr>
              <w:spacing w:after="0"/>
            </w:pPr>
            <w:r/>
            <w:r>
              <w:rPr>
                <w:rFonts w:ascii="Aptos" w:hAnsi="Aptos"/>
                <w:b w:val="0"/>
                <w:sz w:val="13"/>
              </w:rPr>
              <w:t>Allows merge to main development branch.</w:t>
            </w:r>
          </w:p>
        </w:tc>
      </w:tr>
      <w:tr>
        <w:trPr>
          <w:cantSplit/>
        </w:trPr>
        <w:tc>
          <w:tcPr>
            <w:tcW w:type="dxa" w:w="1728"/>
            <w:vAlign w:val="center"/>
            <w:shd w:fill="EAF0F8"/>
          </w:tcPr>
          <w:p>
            <w:pPr>
              <w:spacing w:after="0"/>
            </w:pPr>
            <w:r/>
            <w:r>
              <w:rPr>
                <w:rFonts w:ascii="Aptos" w:hAnsi="Aptos"/>
                <w:b w:val="0"/>
                <w:sz w:val="13"/>
              </w:rPr>
              <w:t>GATE-S02-01</w:t>
            </w:r>
          </w:p>
        </w:tc>
        <w:tc>
          <w:tcPr>
            <w:tcW w:type="dxa" w:w="6192"/>
            <w:vAlign w:val="center"/>
            <w:shd w:fill="EAF0F8"/>
          </w:tcPr>
          <w:p>
            <w:pPr>
              <w:spacing w:after="0"/>
            </w:pPr>
            <w:r/>
            <w:r>
              <w:rPr>
                <w:rFonts w:ascii="Aptos" w:hAnsi="Aptos"/>
                <w:b w:val="0"/>
                <w:sz w:val="13"/>
              </w:rPr>
              <w:t>Versioned contracts, compatibility tests and state-machine properties green.</w:t>
            </w:r>
          </w:p>
        </w:tc>
        <w:tc>
          <w:tcPr>
            <w:tcW w:type="dxa" w:w="3168"/>
            <w:vAlign w:val="center"/>
            <w:shd w:fill="EAF0F8"/>
          </w:tcPr>
          <w:p>
            <w:pPr>
              <w:spacing w:after="0"/>
            </w:pPr>
            <w:r/>
            <w:r>
              <w:rPr>
                <w:rFonts w:ascii="Aptos" w:hAnsi="Aptos"/>
                <w:b w:val="0"/>
                <w:sz w:val="13"/>
              </w:rPr>
              <w:t>Allows data subsystem integration.</w:t>
            </w:r>
          </w:p>
        </w:tc>
      </w:tr>
      <w:tr>
        <w:trPr>
          <w:cantSplit/>
        </w:trPr>
        <w:tc>
          <w:tcPr>
            <w:tcW w:type="dxa" w:w="1728"/>
            <w:vAlign w:val="center"/>
          </w:tcPr>
          <w:p>
            <w:pPr>
              <w:spacing w:after="0"/>
            </w:pPr>
            <w:r/>
            <w:r>
              <w:rPr>
                <w:rFonts w:ascii="Aptos" w:hAnsi="Aptos"/>
                <w:b w:val="0"/>
                <w:sz w:val="13"/>
              </w:rPr>
              <w:t>GATE-S04-01</w:t>
            </w:r>
          </w:p>
        </w:tc>
        <w:tc>
          <w:tcPr>
            <w:tcW w:type="dxa" w:w="6192"/>
            <w:vAlign w:val="center"/>
          </w:tcPr>
          <w:p>
            <w:pPr>
              <w:spacing w:after="0"/>
            </w:pPr>
            <w:r/>
            <w:r>
              <w:rPr>
                <w:rFonts w:ascii="Aptos" w:hAnsi="Aptos"/>
                <w:b w:val="0"/>
                <w:sz w:val="13"/>
              </w:rPr>
              <w:t>Point-in-time/leakage controls and deterministic backtests validated.</w:t>
            </w:r>
          </w:p>
        </w:tc>
        <w:tc>
          <w:tcPr>
            <w:tcW w:type="dxa" w:w="3168"/>
            <w:vAlign w:val="center"/>
          </w:tcPr>
          <w:p>
            <w:pPr>
              <w:spacing w:after="0"/>
            </w:pPr>
            <w:r/>
            <w:r>
              <w:rPr>
                <w:rFonts w:ascii="Aptos" w:hAnsi="Aptos"/>
                <w:b w:val="0"/>
                <w:sz w:val="13"/>
              </w:rPr>
              <w:t>Allows governed backtest experiments only.</w:t>
            </w:r>
          </w:p>
        </w:tc>
      </w:tr>
      <w:tr>
        <w:trPr>
          <w:cantSplit/>
        </w:trPr>
        <w:tc>
          <w:tcPr>
            <w:tcW w:type="dxa" w:w="1728"/>
            <w:vAlign w:val="center"/>
            <w:shd w:fill="EAF0F8"/>
          </w:tcPr>
          <w:p>
            <w:pPr>
              <w:spacing w:after="0"/>
            </w:pPr>
            <w:r/>
            <w:r>
              <w:rPr>
                <w:rFonts w:ascii="Aptos" w:hAnsi="Aptos"/>
                <w:b w:val="0"/>
                <w:sz w:val="13"/>
              </w:rPr>
              <w:t>GATE-S07-01</w:t>
            </w:r>
          </w:p>
        </w:tc>
        <w:tc>
          <w:tcPr>
            <w:tcW w:type="dxa" w:w="6192"/>
            <w:vAlign w:val="center"/>
            <w:shd w:fill="EAF0F8"/>
          </w:tcPr>
          <w:p>
            <w:pPr>
              <w:spacing w:after="0"/>
            </w:pPr>
            <w:r/>
            <w:r>
              <w:rPr>
                <w:rFonts w:ascii="Aptos" w:hAnsi="Aptos"/>
                <w:b w:val="0"/>
                <w:sz w:val="13"/>
              </w:rPr>
              <w:t>OMS ambiguity, fencing, idempotency and duplicate-side-effect tests green.</w:t>
            </w:r>
          </w:p>
        </w:tc>
        <w:tc>
          <w:tcPr>
            <w:tcW w:type="dxa" w:w="3168"/>
            <w:vAlign w:val="center"/>
            <w:shd w:fill="EAF0F8"/>
          </w:tcPr>
          <w:p>
            <w:pPr>
              <w:spacing w:after="0"/>
            </w:pPr>
            <w:r/>
            <w:r>
              <w:rPr>
                <w:rFonts w:ascii="Aptos" w:hAnsi="Aptos"/>
                <w:b w:val="0"/>
                <w:sz w:val="13"/>
              </w:rPr>
              <w:t>Prerequisite only; does not authorize paper.</w:t>
            </w:r>
          </w:p>
        </w:tc>
      </w:tr>
      <w:tr>
        <w:trPr>
          <w:cantSplit/>
        </w:trPr>
        <w:tc>
          <w:tcPr>
            <w:tcW w:type="dxa" w:w="1728"/>
            <w:vAlign w:val="center"/>
          </w:tcPr>
          <w:p>
            <w:pPr>
              <w:spacing w:after="0"/>
            </w:pPr>
            <w:r/>
            <w:r>
              <w:rPr>
                <w:rFonts w:ascii="Aptos" w:hAnsi="Aptos"/>
                <w:b w:val="0"/>
                <w:sz w:val="13"/>
              </w:rPr>
              <w:t>GATE-S08-01</w:t>
            </w:r>
          </w:p>
        </w:tc>
        <w:tc>
          <w:tcPr>
            <w:tcW w:type="dxa" w:w="6192"/>
            <w:vAlign w:val="center"/>
          </w:tcPr>
          <w:p>
            <w:pPr>
              <w:spacing w:after="0"/>
            </w:pPr>
            <w:r/>
            <w:r>
              <w:rPr>
                <w:rFonts w:ascii="Aptos" w:hAnsi="Aptos"/>
                <w:b w:val="0"/>
                <w:sz w:val="13"/>
              </w:rPr>
              <w:t>Reconciliation and restart/recovery evidence complete.</w:t>
            </w:r>
          </w:p>
        </w:tc>
        <w:tc>
          <w:tcPr>
            <w:tcW w:type="dxa" w:w="3168"/>
            <w:vAlign w:val="center"/>
          </w:tcPr>
          <w:p>
            <w:pPr>
              <w:spacing w:after="0"/>
            </w:pPr>
            <w:r/>
            <w:r>
              <w:rPr>
                <w:rFonts w:ascii="Aptos" w:hAnsi="Aptos"/>
                <w:b w:val="0"/>
                <w:sz w:val="13"/>
              </w:rPr>
              <w:t>Prerequisite only; does not authorize paper.</w:t>
            </w:r>
          </w:p>
        </w:tc>
      </w:tr>
      <w:tr>
        <w:trPr>
          <w:cantSplit/>
        </w:trPr>
        <w:tc>
          <w:tcPr>
            <w:tcW w:type="dxa" w:w="1728"/>
            <w:vAlign w:val="center"/>
            <w:shd w:fill="EAF0F8"/>
          </w:tcPr>
          <w:p>
            <w:pPr>
              <w:spacing w:after="0"/>
            </w:pPr>
            <w:r/>
            <w:r>
              <w:rPr>
                <w:rFonts w:ascii="Aptos" w:hAnsi="Aptos"/>
                <w:b w:val="0"/>
                <w:sz w:val="13"/>
              </w:rPr>
              <w:t>GATE-S10-01</w:t>
            </w:r>
          </w:p>
        </w:tc>
        <w:tc>
          <w:tcPr>
            <w:tcW w:type="dxa" w:w="6192"/>
            <w:vAlign w:val="center"/>
            <w:shd w:fill="EAF0F8"/>
          </w:tcPr>
          <w:p>
            <w:pPr>
              <w:spacing w:after="0"/>
            </w:pPr>
            <w:r/>
            <w:r>
              <w:rPr>
                <w:rFonts w:ascii="Aptos" w:hAnsi="Aptos"/>
                <w:b w:val="0"/>
                <w:sz w:val="13"/>
              </w:rPr>
              <w:t>Integrated adversarial/fault suite and evidence manifest pass.</w:t>
            </w:r>
          </w:p>
        </w:tc>
        <w:tc>
          <w:tcPr>
            <w:tcW w:type="dxa" w:w="3168"/>
            <w:vAlign w:val="center"/>
            <w:shd w:fill="EAF0F8"/>
          </w:tcPr>
          <w:p>
            <w:pPr>
              <w:spacing w:after="0"/>
            </w:pPr>
            <w:r/>
            <w:r>
              <w:rPr>
                <w:rFonts w:ascii="Aptos" w:hAnsi="Aptos"/>
                <w:b w:val="0"/>
                <w:sz w:val="13"/>
              </w:rPr>
              <w:t>Eligible for separate shadow review.</w:t>
            </w:r>
          </w:p>
        </w:tc>
      </w:tr>
      <w:tr>
        <w:trPr>
          <w:cantSplit/>
        </w:trPr>
        <w:tc>
          <w:tcPr>
            <w:tcW w:type="dxa" w:w="1728"/>
            <w:vAlign w:val="center"/>
          </w:tcPr>
          <w:p>
            <w:pPr>
              <w:spacing w:after="0"/>
            </w:pPr>
            <w:r/>
            <w:r>
              <w:rPr>
                <w:rFonts w:ascii="Aptos" w:hAnsi="Aptos"/>
                <w:b w:val="0"/>
                <w:sz w:val="13"/>
              </w:rPr>
              <w:t>GATE-S11-01</w:t>
            </w:r>
          </w:p>
        </w:tc>
        <w:tc>
          <w:tcPr>
            <w:tcW w:type="dxa" w:w="6192"/>
            <w:vAlign w:val="center"/>
          </w:tcPr>
          <w:p>
            <w:pPr>
              <w:spacing w:after="0"/>
            </w:pPr>
            <w:r/>
            <w:r>
              <w:rPr>
                <w:rFonts w:ascii="Aptos" w:hAnsi="Aptos"/>
                <w:b w:val="0"/>
                <w:sz w:val="13"/>
              </w:rPr>
              <w:t>Explicit authorization plus sustained shadow/paper evidence.</w:t>
            </w:r>
          </w:p>
        </w:tc>
        <w:tc>
          <w:tcPr>
            <w:tcW w:type="dxa" w:w="3168"/>
            <w:vAlign w:val="center"/>
          </w:tcPr>
          <w:p>
            <w:pPr>
              <w:spacing w:after="0"/>
            </w:pPr>
            <w:r/>
            <w:r>
              <w:rPr>
                <w:rFonts w:ascii="Aptos" w:hAnsi="Aptos"/>
                <w:b w:val="0"/>
                <w:sz w:val="13"/>
              </w:rPr>
              <w:t>Eligible for live-readiness assessment only.</w:t>
            </w:r>
          </w:p>
        </w:tc>
      </w:tr>
      <w:tr>
        <w:trPr>
          <w:cantSplit/>
        </w:trPr>
        <w:tc>
          <w:tcPr>
            <w:tcW w:type="dxa" w:w="1728"/>
            <w:vAlign w:val="center"/>
            <w:shd w:fill="EAF0F8"/>
          </w:tcPr>
          <w:p>
            <w:pPr>
              <w:spacing w:after="0"/>
            </w:pPr>
            <w:r/>
            <w:r>
              <w:rPr>
                <w:rFonts w:ascii="Aptos" w:hAnsi="Aptos"/>
                <w:b w:val="0"/>
                <w:sz w:val="13"/>
              </w:rPr>
              <w:t>GATE-S12-01</w:t>
            </w:r>
          </w:p>
        </w:tc>
        <w:tc>
          <w:tcPr>
            <w:tcW w:type="dxa" w:w="6192"/>
            <w:vAlign w:val="center"/>
            <w:shd w:fill="EAF0F8"/>
          </w:tcPr>
          <w:p>
            <w:pPr>
              <w:spacing w:after="0"/>
            </w:pPr>
            <w:r/>
            <w:r>
              <w:rPr>
                <w:rFonts w:ascii="Aptos" w:hAnsi="Aptos"/>
                <w:b w:val="0"/>
                <w:sz w:val="13"/>
              </w:rPr>
              <w:t>Current independent review; critical findings closed; kill/rollback rehearsed.</w:t>
            </w:r>
          </w:p>
        </w:tc>
        <w:tc>
          <w:tcPr>
            <w:tcW w:type="dxa" w:w="3168"/>
            <w:vAlign w:val="center"/>
            <w:shd w:fill="EAF0F8"/>
          </w:tcPr>
          <w:p>
            <w:pPr>
              <w:spacing w:after="0"/>
            </w:pPr>
            <w:r/>
            <w:r>
              <w:rPr>
                <w:rFonts w:ascii="Aptos" w:hAnsi="Aptos"/>
                <w:b w:val="0"/>
                <w:sz w:val="13"/>
              </w:rPr>
              <w:t>May permit separately authorized canary.</w:t>
            </w:r>
          </w:p>
        </w:tc>
      </w:tr>
      <w:tr>
        <w:trPr>
          <w:cantSplit/>
        </w:trPr>
        <w:tc>
          <w:tcPr>
            <w:tcW w:type="dxa" w:w="1728"/>
            <w:vAlign w:val="center"/>
          </w:tcPr>
          <w:p>
            <w:pPr>
              <w:spacing w:after="0"/>
            </w:pPr>
            <w:r/>
            <w:r>
              <w:rPr>
                <w:rFonts w:ascii="Aptos" w:hAnsi="Aptos"/>
                <w:b w:val="0"/>
                <w:sz w:val="13"/>
              </w:rPr>
              <w:t>GATE-S13-01</w:t>
            </w:r>
          </w:p>
        </w:tc>
        <w:tc>
          <w:tcPr>
            <w:tcW w:type="dxa" w:w="6192"/>
            <w:vAlign w:val="center"/>
          </w:tcPr>
          <w:p>
            <w:pPr>
              <w:spacing w:after="0"/>
            </w:pPr>
            <w:r/>
            <w:r>
              <w:rPr>
                <w:rFonts w:ascii="Aptos" w:hAnsi="Aptos"/>
                <w:b w:val="0"/>
                <w:sz w:val="13"/>
              </w:rPr>
              <w:t>Canary bounded-loss and exit evidence accepted.</w:t>
            </w:r>
          </w:p>
        </w:tc>
        <w:tc>
          <w:tcPr>
            <w:tcW w:type="dxa" w:w="3168"/>
            <w:vAlign w:val="center"/>
          </w:tcPr>
          <w:p>
            <w:pPr>
              <w:spacing w:after="0"/>
            </w:pPr>
            <w:r/>
            <w:r>
              <w:rPr>
                <w:rFonts w:ascii="Aptos" w:hAnsi="Aptos"/>
                <w:b w:val="0"/>
                <w:sz w:val="13"/>
              </w:rPr>
              <w:t>May permit separately authorized production.</w:t>
            </w:r>
          </w:p>
        </w:tc>
      </w:tr>
      <w:tr>
        <w:tc>
          <w:tcPr>
            <w:tcW w:type="dxa" w:w="3408"/>
          </w:tcPr>
          <w:p>
            <w:r>
              <w:t>GATE-S03-01</w:t>
            </w:r>
          </w:p>
        </w:tc>
        <w:tc>
          <w:tcPr>
            <w:tcW w:type="dxa" w:w="3408"/>
          </w:tcPr>
          <w:p>
            <w:r>
              <w:t>Instrument, calendar, market-data and corporate-action point-in-time integrity; freshness/quarantine tests green.</w:t>
            </w:r>
          </w:p>
        </w:tc>
        <w:tc>
          <w:tcPr>
            <w:tcW w:type="dxa" w:w="3408"/>
          </w:tcPr>
          <w:p>
            <w:r>
              <w:t>Allows Stage 4 research/strategy integration only.</w:t>
            </w:r>
          </w:p>
        </w:tc>
      </w:tr>
      <w:tr>
        <w:tc>
          <w:tcPr>
            <w:tcW w:type="dxa" w:w="3408"/>
          </w:tcPr>
          <w:p>
            <w:r>
              <w:t>GATE-S05-01</w:t>
            </w:r>
          </w:p>
        </w:tc>
        <w:tc>
          <w:tcPr>
            <w:tcW w:type="dxa" w:w="3408"/>
          </w:tcPr>
          <w:p>
            <w:r>
              <w:t>Portfolio, risk, capital reservation, concurrency, veto and UNKNOWN/fail-safe properties green.</w:t>
            </w:r>
          </w:p>
        </w:tc>
        <w:tc>
          <w:tcPr>
            <w:tcW w:type="dxa" w:w="3408"/>
          </w:tcPr>
          <w:p>
            <w:r>
              <w:t>Allows Stage 6 financial-truth integration only.</w:t>
            </w:r>
          </w:p>
        </w:tc>
      </w:tr>
      <w:tr>
        <w:tc>
          <w:tcPr>
            <w:tcW w:type="dxa" w:w="3408"/>
          </w:tcPr>
          <w:p>
            <w:r>
              <w:t>GATE-S06-01</w:t>
            </w:r>
          </w:p>
        </w:tc>
        <w:tc>
          <w:tcPr>
            <w:tcW w:type="dxa" w:w="3408"/>
          </w:tcPr>
          <w:p>
            <w:r>
              <w:t>Ledger balance/conservation, positions/lots/P&amp;L reconstruction, correction and deduplication evidence green.</w:t>
            </w:r>
          </w:p>
        </w:tc>
        <w:tc>
          <w:tcPr>
            <w:tcW w:type="dxa" w:w="3408"/>
          </w:tcPr>
          <w:p>
            <w:r>
              <w:t>Allows Stage 7 OMS/broker integration only.</w:t>
            </w:r>
          </w:p>
        </w:tc>
      </w:tr>
      <w:tr>
        <w:tc>
          <w:tcPr>
            <w:tcW w:type="dxa" w:w="3408"/>
          </w:tcPr>
          <w:p>
            <w:r>
              <w:t>GATE-S09-01</w:t>
            </w:r>
          </w:p>
        </w:tc>
        <w:tc>
          <w:tcPr>
            <w:tcW w:type="dxa" w:w="3408"/>
          </w:tcPr>
          <w:p>
            <w:r>
              <w:t>Cross-cutting security controls, RBAC/secrets/supply-chain checks, observability, kill/incident rehearsals and recovery controls pass.</w:t>
            </w:r>
          </w:p>
        </w:tc>
        <w:tc>
          <w:tcPr>
            <w:tcW w:type="dxa" w:w="3408"/>
          </w:tcPr>
          <w:p>
            <w:r>
              <w:t>Allows Stage 10 integrated system simulation only.</w:t>
            </w:r>
          </w:p>
        </w:tc>
      </w:tr>
    </w:tbl>
    <w:p>
      <w:pPr>
        <w:spacing w:after="0"/>
      </w:pPr>
    </w:p>
    <w:p>
      <w:pPr>
        <w:pStyle w:val="Title"/>
      </w:pPr>
      <w:r>
        <w:t>15. Implementation Document Set and Control</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720"/>
            <w:vAlign w:val="center"/>
            <w:shd w:fill="17365D"/>
          </w:tcPr>
          <w:p>
            <w:pPr>
              <w:spacing w:after="0"/>
            </w:pPr>
            <w:r/>
            <w:r>
              <w:rPr>
                <w:rFonts w:ascii="Aptos" w:hAnsi="Aptos"/>
                <w:b/>
                <w:color w:val="FFFFFF"/>
                <w:sz w:val="14"/>
              </w:rPr>
              <w:t>No.</w:t>
            </w:r>
          </w:p>
        </w:tc>
        <w:tc>
          <w:tcPr>
            <w:tcW w:type="dxa" w:w="6768"/>
            <w:vAlign w:val="center"/>
            <w:shd w:fill="17365D"/>
          </w:tcPr>
          <w:p>
            <w:pPr>
              <w:spacing w:after="0"/>
            </w:pPr>
            <w:r/>
            <w:r>
              <w:rPr>
                <w:rFonts w:ascii="Aptos" w:hAnsi="Aptos"/>
                <w:b/>
                <w:color w:val="FFFFFF"/>
                <w:sz w:val="14"/>
              </w:rPr>
              <w:t>Artifact</w:t>
            </w:r>
          </w:p>
        </w:tc>
        <w:tc>
          <w:tcPr>
            <w:tcW w:type="dxa" w:w="3600"/>
            <w:vAlign w:val="center"/>
            <w:shd w:fill="17365D"/>
          </w:tcPr>
          <w:p>
            <w:pPr>
              <w:spacing w:after="0"/>
            </w:pPr>
            <w:r/>
            <w:r>
              <w:rPr>
                <w:rFonts w:ascii="Aptos" w:hAnsi="Aptos"/>
                <w:b/>
                <w:color w:val="FFFFFF"/>
                <w:sz w:val="14"/>
              </w:rPr>
              <w:t>Initial owner/status</w:t>
            </w:r>
          </w:p>
        </w:tc>
      </w:tr>
      <w:tr>
        <w:trPr>
          <w:cantSplit/>
        </w:trPr>
        <w:tc>
          <w:tcPr>
            <w:tcW w:type="dxa" w:w="720"/>
            <w:vAlign w:val="center"/>
          </w:tcPr>
          <w:p>
            <w:pPr>
              <w:spacing w:after="0"/>
            </w:pPr>
            <w:r/>
            <w:r>
              <w:rPr>
                <w:rFonts w:ascii="Aptos" w:hAnsi="Aptos"/>
                <w:b w:val="0"/>
                <w:sz w:val="14"/>
              </w:rPr>
              <w:t>1</w:t>
            </w:r>
          </w:p>
        </w:tc>
        <w:tc>
          <w:tcPr>
            <w:tcW w:type="dxa" w:w="6768"/>
            <w:vAlign w:val="center"/>
          </w:tcPr>
          <w:p>
            <w:pPr>
              <w:spacing w:after="0"/>
            </w:pPr>
            <w:r/>
            <w:r>
              <w:rPr>
                <w:rFonts w:ascii="Aptos" w:hAnsi="Aptos"/>
                <w:b w:val="0"/>
                <w:sz w:val="14"/>
              </w:rPr>
              <w:t>Implementation Specification v1.0</w:t>
            </w:r>
          </w:p>
        </w:tc>
        <w:tc>
          <w:tcPr>
            <w:tcW w:type="dxa" w:w="3600"/>
            <w:vAlign w:val="center"/>
          </w:tcPr>
          <w:p>
            <w:pPr>
              <w:spacing w:after="0"/>
            </w:pPr>
            <w:r/>
            <w:r>
              <w:rPr>
                <w:rFonts w:ascii="Aptos" w:hAnsi="Aptos"/>
                <w:b w:val="0"/>
                <w:sz w:val="14"/>
              </w:rPr>
              <w:t>Implementation programme / initiated</w:t>
            </w:r>
          </w:p>
        </w:tc>
      </w:tr>
      <w:tr>
        <w:trPr>
          <w:cantSplit/>
        </w:trPr>
        <w:tc>
          <w:tcPr>
            <w:tcW w:type="dxa" w:w="720"/>
            <w:vAlign w:val="center"/>
            <w:shd w:fill="EAF0F8"/>
          </w:tcPr>
          <w:p>
            <w:pPr>
              <w:spacing w:after="0"/>
            </w:pPr>
            <w:r/>
            <w:r>
              <w:rPr>
                <w:rFonts w:ascii="Aptos" w:hAnsi="Aptos"/>
                <w:b w:val="0"/>
                <w:sz w:val="14"/>
              </w:rPr>
              <w:t>2</w:t>
            </w:r>
          </w:p>
        </w:tc>
        <w:tc>
          <w:tcPr>
            <w:tcW w:type="dxa" w:w="6768"/>
            <w:vAlign w:val="center"/>
            <w:shd w:fill="EAF0F8"/>
          </w:tcPr>
          <w:p>
            <w:pPr>
              <w:spacing w:after="0"/>
            </w:pPr>
            <w:r/>
            <w:r>
              <w:rPr>
                <w:rFonts w:ascii="Aptos" w:hAnsi="Aptos"/>
                <w:b w:val="0"/>
                <w:sz w:val="14"/>
              </w:rPr>
              <w:t>Architecture-to-Code Traceability Matrix</w:t>
            </w:r>
          </w:p>
        </w:tc>
        <w:tc>
          <w:tcPr>
            <w:tcW w:type="dxa" w:w="3600"/>
            <w:vAlign w:val="center"/>
            <w:shd w:fill="EAF0F8"/>
          </w:tcPr>
          <w:p>
            <w:pPr>
              <w:spacing w:after="0"/>
            </w:pPr>
            <w:r/>
            <w:r>
              <w:rPr>
                <w:rFonts w:ascii="Aptos" w:hAnsi="Aptos"/>
                <w:b w:val="0"/>
                <w:sz w:val="14"/>
              </w:rPr>
              <w:t>Implementation programme / initiated</w:t>
            </w:r>
          </w:p>
        </w:tc>
      </w:tr>
      <w:tr>
        <w:trPr>
          <w:cantSplit/>
        </w:trPr>
        <w:tc>
          <w:tcPr>
            <w:tcW w:type="dxa" w:w="720"/>
            <w:vAlign w:val="center"/>
          </w:tcPr>
          <w:p>
            <w:pPr>
              <w:spacing w:after="0"/>
            </w:pPr>
            <w:r/>
            <w:r>
              <w:rPr>
                <w:rFonts w:ascii="Aptos" w:hAnsi="Aptos"/>
                <w:b w:val="0"/>
                <w:sz w:val="14"/>
              </w:rPr>
              <w:t>3</w:t>
            </w:r>
          </w:p>
        </w:tc>
        <w:tc>
          <w:tcPr>
            <w:tcW w:type="dxa" w:w="6768"/>
            <w:vAlign w:val="center"/>
          </w:tcPr>
          <w:p>
            <w:pPr>
              <w:spacing w:after="0"/>
            </w:pPr>
            <w:r/>
            <w:r>
              <w:rPr>
                <w:rFonts w:ascii="Aptos" w:hAnsi="Aptos"/>
                <w:b w:val="0"/>
                <w:sz w:val="14"/>
              </w:rPr>
              <w:t>Repository &amp; Package Structure</w:t>
            </w:r>
          </w:p>
        </w:tc>
        <w:tc>
          <w:tcPr>
            <w:tcW w:type="dxa" w:w="3600"/>
            <w:vAlign w:val="center"/>
          </w:tcPr>
          <w:p>
            <w:pPr>
              <w:spacing w:after="0"/>
            </w:pPr>
            <w:r/>
            <w:r>
              <w:rPr>
                <w:rFonts w:ascii="Aptos" w:hAnsi="Aptos"/>
                <w:b w:val="0"/>
                <w:sz w:val="14"/>
              </w:rPr>
              <w:t>Implementation programme / initiated</w:t>
            </w:r>
          </w:p>
        </w:tc>
      </w:tr>
      <w:tr>
        <w:trPr>
          <w:cantSplit/>
        </w:trPr>
        <w:tc>
          <w:tcPr>
            <w:tcW w:type="dxa" w:w="720"/>
            <w:vAlign w:val="center"/>
            <w:shd w:fill="EAF0F8"/>
          </w:tcPr>
          <w:p>
            <w:pPr>
              <w:spacing w:after="0"/>
            </w:pPr>
            <w:r/>
            <w:r>
              <w:rPr>
                <w:rFonts w:ascii="Aptos" w:hAnsi="Aptos"/>
                <w:b w:val="0"/>
                <w:sz w:val="14"/>
              </w:rPr>
              <w:t>4</w:t>
            </w:r>
          </w:p>
        </w:tc>
        <w:tc>
          <w:tcPr>
            <w:tcW w:type="dxa" w:w="6768"/>
            <w:vAlign w:val="center"/>
            <w:shd w:fill="EAF0F8"/>
          </w:tcPr>
          <w:p>
            <w:pPr>
              <w:spacing w:after="0"/>
            </w:pPr>
            <w:r/>
            <w:r>
              <w:rPr>
                <w:rFonts w:ascii="Aptos" w:hAnsi="Aptos"/>
                <w:b w:val="0"/>
                <w:sz w:val="14"/>
              </w:rPr>
              <w:t>Canonical Data Model Specification</w:t>
            </w:r>
          </w:p>
        </w:tc>
        <w:tc>
          <w:tcPr>
            <w:tcW w:type="dxa" w:w="3600"/>
            <w:vAlign w:val="center"/>
            <w:shd w:fill="EAF0F8"/>
          </w:tcPr>
          <w:p>
            <w:pPr>
              <w:spacing w:after="0"/>
            </w:pPr>
            <w:r/>
            <w:r>
              <w:rPr>
                <w:rFonts w:ascii="Aptos" w:hAnsi="Aptos"/>
                <w:b w:val="0"/>
                <w:sz w:val="14"/>
              </w:rPr>
              <w:t>Planned in dependency order</w:t>
            </w:r>
          </w:p>
        </w:tc>
      </w:tr>
      <w:tr>
        <w:trPr>
          <w:cantSplit/>
        </w:trPr>
        <w:tc>
          <w:tcPr>
            <w:tcW w:type="dxa" w:w="720"/>
            <w:vAlign w:val="center"/>
          </w:tcPr>
          <w:p>
            <w:pPr>
              <w:spacing w:after="0"/>
            </w:pPr>
            <w:r/>
            <w:r>
              <w:rPr>
                <w:rFonts w:ascii="Aptos" w:hAnsi="Aptos"/>
                <w:b w:val="0"/>
                <w:sz w:val="14"/>
              </w:rPr>
              <w:t>5</w:t>
            </w:r>
          </w:p>
        </w:tc>
        <w:tc>
          <w:tcPr>
            <w:tcW w:type="dxa" w:w="6768"/>
            <w:vAlign w:val="center"/>
          </w:tcPr>
          <w:p>
            <w:pPr>
              <w:spacing w:after="0"/>
            </w:pPr>
            <w:r/>
            <w:r>
              <w:rPr>
                <w:rFonts w:ascii="Aptos" w:hAnsi="Aptos"/>
                <w:b w:val="0"/>
                <w:sz w:val="14"/>
              </w:rPr>
              <w:t>API / Interface Contracts</w:t>
            </w:r>
          </w:p>
        </w:tc>
        <w:tc>
          <w:tcPr>
            <w:tcW w:type="dxa" w:w="3600"/>
            <w:vAlign w:val="center"/>
          </w:tcPr>
          <w:p>
            <w:pPr>
              <w:spacing w:after="0"/>
            </w:pPr>
            <w:r/>
            <w:r>
              <w:rPr>
                <w:rFonts w:ascii="Aptos" w:hAnsi="Aptos"/>
                <w:b w:val="0"/>
                <w:sz w:val="14"/>
              </w:rPr>
              <w:t>Planned in dependency order</w:t>
            </w:r>
          </w:p>
        </w:tc>
      </w:tr>
      <w:tr>
        <w:trPr>
          <w:cantSplit/>
        </w:trPr>
        <w:tc>
          <w:tcPr>
            <w:tcW w:type="dxa" w:w="720"/>
            <w:vAlign w:val="center"/>
            <w:shd w:fill="EAF0F8"/>
          </w:tcPr>
          <w:p>
            <w:pPr>
              <w:spacing w:after="0"/>
            </w:pPr>
            <w:r/>
            <w:r>
              <w:rPr>
                <w:rFonts w:ascii="Aptos" w:hAnsi="Aptos"/>
                <w:b w:val="0"/>
                <w:sz w:val="14"/>
              </w:rPr>
              <w:t>6</w:t>
            </w:r>
          </w:p>
        </w:tc>
        <w:tc>
          <w:tcPr>
            <w:tcW w:type="dxa" w:w="6768"/>
            <w:vAlign w:val="center"/>
            <w:shd w:fill="EAF0F8"/>
          </w:tcPr>
          <w:p>
            <w:pPr>
              <w:spacing w:after="0"/>
            </w:pPr>
            <w:r/>
            <w:r>
              <w:rPr>
                <w:rFonts w:ascii="Aptos" w:hAnsi="Aptos"/>
                <w:b w:val="0"/>
                <w:sz w:val="14"/>
              </w:rPr>
              <w:t>Database &amp; Persistence Specification</w:t>
            </w:r>
          </w:p>
        </w:tc>
        <w:tc>
          <w:tcPr>
            <w:tcW w:type="dxa" w:w="3600"/>
            <w:vAlign w:val="center"/>
            <w:shd w:fill="EAF0F8"/>
          </w:tcPr>
          <w:p>
            <w:pPr>
              <w:spacing w:after="0"/>
            </w:pPr>
            <w:r/>
            <w:r>
              <w:rPr>
                <w:rFonts w:ascii="Aptos" w:hAnsi="Aptos"/>
                <w:b w:val="0"/>
                <w:sz w:val="14"/>
              </w:rPr>
              <w:t>Planned in dependency order</w:t>
            </w:r>
          </w:p>
        </w:tc>
      </w:tr>
      <w:tr>
        <w:trPr>
          <w:cantSplit/>
        </w:trPr>
        <w:tc>
          <w:tcPr>
            <w:tcW w:type="dxa" w:w="720"/>
            <w:vAlign w:val="center"/>
          </w:tcPr>
          <w:p>
            <w:pPr>
              <w:spacing w:after="0"/>
            </w:pPr>
            <w:r/>
            <w:r>
              <w:rPr>
                <w:rFonts w:ascii="Aptos" w:hAnsi="Aptos"/>
                <w:b w:val="0"/>
                <w:sz w:val="14"/>
              </w:rPr>
              <w:t>7</w:t>
            </w:r>
          </w:p>
        </w:tc>
        <w:tc>
          <w:tcPr>
            <w:tcW w:type="dxa" w:w="6768"/>
            <w:vAlign w:val="center"/>
          </w:tcPr>
          <w:p>
            <w:pPr>
              <w:spacing w:after="0"/>
            </w:pPr>
            <w:r/>
            <w:r>
              <w:rPr>
                <w:rFonts w:ascii="Aptos" w:hAnsi="Aptos"/>
                <w:b w:val="0"/>
                <w:sz w:val="14"/>
              </w:rPr>
              <w:t>Event Schema Catalogue</w:t>
            </w:r>
          </w:p>
        </w:tc>
        <w:tc>
          <w:tcPr>
            <w:tcW w:type="dxa" w:w="3600"/>
            <w:vAlign w:val="center"/>
          </w:tcPr>
          <w:p>
            <w:pPr>
              <w:spacing w:after="0"/>
            </w:pPr>
            <w:r/>
            <w:r>
              <w:rPr>
                <w:rFonts w:ascii="Aptos" w:hAnsi="Aptos"/>
                <w:b w:val="0"/>
                <w:sz w:val="14"/>
              </w:rPr>
              <w:t>Planned in dependency order</w:t>
            </w:r>
          </w:p>
        </w:tc>
      </w:tr>
      <w:tr>
        <w:trPr>
          <w:cantSplit/>
        </w:trPr>
        <w:tc>
          <w:tcPr>
            <w:tcW w:type="dxa" w:w="720"/>
            <w:vAlign w:val="center"/>
            <w:shd w:fill="EAF0F8"/>
          </w:tcPr>
          <w:p>
            <w:pPr>
              <w:spacing w:after="0"/>
            </w:pPr>
            <w:r/>
            <w:r>
              <w:rPr>
                <w:rFonts w:ascii="Aptos" w:hAnsi="Aptos"/>
                <w:b w:val="0"/>
                <w:sz w:val="14"/>
              </w:rPr>
              <w:t>8</w:t>
            </w:r>
          </w:p>
        </w:tc>
        <w:tc>
          <w:tcPr>
            <w:tcW w:type="dxa" w:w="6768"/>
            <w:vAlign w:val="center"/>
            <w:shd w:fill="EAF0F8"/>
          </w:tcPr>
          <w:p>
            <w:pPr>
              <w:spacing w:after="0"/>
            </w:pPr>
            <w:r/>
            <w:r>
              <w:rPr>
                <w:rFonts w:ascii="Aptos" w:hAnsi="Aptos"/>
                <w:b w:val="0"/>
                <w:sz w:val="14"/>
              </w:rPr>
              <w:t>State Machine Catalogue</w:t>
            </w:r>
          </w:p>
        </w:tc>
        <w:tc>
          <w:tcPr>
            <w:tcW w:type="dxa" w:w="3600"/>
            <w:vAlign w:val="center"/>
            <w:shd w:fill="EAF0F8"/>
          </w:tcPr>
          <w:p>
            <w:pPr>
              <w:spacing w:after="0"/>
            </w:pPr>
            <w:r/>
            <w:r>
              <w:rPr>
                <w:rFonts w:ascii="Aptos" w:hAnsi="Aptos"/>
                <w:b w:val="0"/>
                <w:sz w:val="14"/>
              </w:rPr>
              <w:t>Planned in dependency order</w:t>
            </w:r>
          </w:p>
        </w:tc>
      </w:tr>
      <w:tr>
        <w:trPr>
          <w:cantSplit/>
        </w:trPr>
        <w:tc>
          <w:tcPr>
            <w:tcW w:type="dxa" w:w="720"/>
            <w:vAlign w:val="center"/>
          </w:tcPr>
          <w:p>
            <w:pPr>
              <w:spacing w:after="0"/>
            </w:pPr>
            <w:r/>
            <w:r>
              <w:rPr>
                <w:rFonts w:ascii="Aptos" w:hAnsi="Aptos"/>
                <w:b w:val="0"/>
                <w:sz w:val="14"/>
              </w:rPr>
              <w:t>9</w:t>
            </w:r>
          </w:p>
        </w:tc>
        <w:tc>
          <w:tcPr>
            <w:tcW w:type="dxa" w:w="6768"/>
            <w:vAlign w:val="center"/>
          </w:tcPr>
          <w:p>
            <w:pPr>
              <w:spacing w:after="0"/>
            </w:pPr>
            <w:r/>
            <w:r>
              <w:rPr>
                <w:rFonts w:ascii="Aptos" w:hAnsi="Aptos"/>
                <w:b w:val="0"/>
                <w:sz w:val="14"/>
              </w:rPr>
              <w:t>Configuration &amp; Secrets Specification</w:t>
            </w:r>
          </w:p>
        </w:tc>
        <w:tc>
          <w:tcPr>
            <w:tcW w:type="dxa" w:w="3600"/>
            <w:vAlign w:val="center"/>
          </w:tcPr>
          <w:p>
            <w:pPr>
              <w:spacing w:after="0"/>
            </w:pPr>
            <w:r/>
            <w:r>
              <w:rPr>
                <w:rFonts w:ascii="Aptos" w:hAnsi="Aptos"/>
                <w:b w:val="0"/>
                <w:sz w:val="14"/>
              </w:rPr>
              <w:t>Planned in dependency order</w:t>
            </w:r>
          </w:p>
        </w:tc>
      </w:tr>
      <w:tr>
        <w:trPr>
          <w:cantSplit/>
        </w:trPr>
        <w:tc>
          <w:tcPr>
            <w:tcW w:type="dxa" w:w="720"/>
            <w:vAlign w:val="center"/>
            <w:shd w:fill="EAF0F8"/>
          </w:tcPr>
          <w:p>
            <w:pPr>
              <w:spacing w:after="0"/>
            </w:pPr>
            <w:r/>
            <w:r>
              <w:rPr>
                <w:rFonts w:ascii="Aptos" w:hAnsi="Aptos"/>
                <w:b w:val="0"/>
                <w:sz w:val="14"/>
              </w:rPr>
              <w:t>10</w:t>
            </w:r>
          </w:p>
        </w:tc>
        <w:tc>
          <w:tcPr>
            <w:tcW w:type="dxa" w:w="6768"/>
            <w:vAlign w:val="center"/>
            <w:shd w:fill="EAF0F8"/>
          </w:tcPr>
          <w:p>
            <w:pPr>
              <w:spacing w:after="0"/>
            </w:pPr>
            <w:r/>
            <w:r>
              <w:rPr>
                <w:rFonts w:ascii="Aptos" w:hAnsi="Aptos"/>
                <w:b w:val="0"/>
                <w:sz w:val="14"/>
              </w:rPr>
              <w:t>Testing &amp; Verification Plan</w:t>
            </w:r>
          </w:p>
        </w:tc>
        <w:tc>
          <w:tcPr>
            <w:tcW w:type="dxa" w:w="3600"/>
            <w:vAlign w:val="center"/>
            <w:shd w:fill="EAF0F8"/>
          </w:tcPr>
          <w:p>
            <w:pPr>
              <w:spacing w:after="0"/>
            </w:pPr>
            <w:r/>
            <w:r>
              <w:rPr>
                <w:rFonts w:ascii="Aptos" w:hAnsi="Aptos"/>
                <w:b w:val="0"/>
                <w:sz w:val="14"/>
              </w:rPr>
              <w:t>Planned in dependency order</w:t>
            </w:r>
          </w:p>
        </w:tc>
      </w:tr>
      <w:tr>
        <w:trPr>
          <w:cantSplit/>
        </w:trPr>
        <w:tc>
          <w:tcPr>
            <w:tcW w:type="dxa" w:w="720"/>
            <w:vAlign w:val="center"/>
          </w:tcPr>
          <w:p>
            <w:pPr>
              <w:spacing w:after="0"/>
            </w:pPr>
            <w:r/>
            <w:r>
              <w:rPr>
                <w:rFonts w:ascii="Aptos" w:hAnsi="Aptos"/>
                <w:b w:val="0"/>
                <w:sz w:val="14"/>
              </w:rPr>
              <w:t>11</w:t>
            </w:r>
          </w:p>
        </w:tc>
        <w:tc>
          <w:tcPr>
            <w:tcW w:type="dxa" w:w="6768"/>
            <w:vAlign w:val="center"/>
          </w:tcPr>
          <w:p>
            <w:pPr>
              <w:spacing w:after="0"/>
            </w:pPr>
            <w:r/>
            <w:r>
              <w:rPr>
                <w:rFonts w:ascii="Aptos" w:hAnsi="Aptos"/>
                <w:b w:val="0"/>
                <w:sz w:val="14"/>
              </w:rPr>
              <w:t>Failure-Injection Catalogue</w:t>
            </w:r>
          </w:p>
        </w:tc>
        <w:tc>
          <w:tcPr>
            <w:tcW w:type="dxa" w:w="3600"/>
            <w:vAlign w:val="center"/>
          </w:tcPr>
          <w:p>
            <w:pPr>
              <w:spacing w:after="0"/>
            </w:pPr>
            <w:r/>
            <w:r>
              <w:rPr>
                <w:rFonts w:ascii="Aptos" w:hAnsi="Aptos"/>
                <w:b w:val="0"/>
                <w:sz w:val="14"/>
              </w:rPr>
              <w:t>Planned in dependency order</w:t>
            </w:r>
          </w:p>
        </w:tc>
      </w:tr>
      <w:tr>
        <w:trPr>
          <w:cantSplit/>
        </w:trPr>
        <w:tc>
          <w:tcPr>
            <w:tcW w:type="dxa" w:w="720"/>
            <w:vAlign w:val="center"/>
            <w:shd w:fill="EAF0F8"/>
          </w:tcPr>
          <w:p>
            <w:pPr>
              <w:spacing w:after="0"/>
            </w:pPr>
            <w:r/>
            <w:r>
              <w:rPr>
                <w:rFonts w:ascii="Aptos" w:hAnsi="Aptos"/>
                <w:b w:val="0"/>
                <w:sz w:val="14"/>
              </w:rPr>
              <w:t>12</w:t>
            </w:r>
          </w:p>
        </w:tc>
        <w:tc>
          <w:tcPr>
            <w:tcW w:type="dxa" w:w="6768"/>
            <w:vAlign w:val="center"/>
            <w:shd w:fill="EAF0F8"/>
          </w:tcPr>
          <w:p>
            <w:pPr>
              <w:spacing w:after="0"/>
            </w:pPr>
            <w:r/>
            <w:r>
              <w:rPr>
                <w:rFonts w:ascii="Aptos" w:hAnsi="Aptos"/>
                <w:b w:val="0"/>
                <w:sz w:val="14"/>
              </w:rPr>
              <w:t>Security Implementation Plan</w:t>
            </w:r>
          </w:p>
        </w:tc>
        <w:tc>
          <w:tcPr>
            <w:tcW w:type="dxa" w:w="3600"/>
            <w:vAlign w:val="center"/>
            <w:shd w:fill="EAF0F8"/>
          </w:tcPr>
          <w:p>
            <w:pPr>
              <w:spacing w:after="0"/>
            </w:pPr>
            <w:r/>
            <w:r>
              <w:rPr>
                <w:rFonts w:ascii="Aptos" w:hAnsi="Aptos"/>
                <w:b w:val="0"/>
                <w:sz w:val="14"/>
              </w:rPr>
              <w:t>Planned in dependency order</w:t>
            </w:r>
          </w:p>
        </w:tc>
      </w:tr>
      <w:tr>
        <w:trPr>
          <w:cantSplit/>
        </w:trPr>
        <w:tc>
          <w:tcPr>
            <w:tcW w:type="dxa" w:w="720"/>
            <w:vAlign w:val="center"/>
          </w:tcPr>
          <w:p>
            <w:pPr>
              <w:spacing w:after="0"/>
            </w:pPr>
            <w:r/>
            <w:r>
              <w:rPr>
                <w:rFonts w:ascii="Aptos" w:hAnsi="Aptos"/>
                <w:b w:val="0"/>
                <w:sz w:val="14"/>
              </w:rPr>
              <w:t>13</w:t>
            </w:r>
          </w:p>
        </w:tc>
        <w:tc>
          <w:tcPr>
            <w:tcW w:type="dxa" w:w="6768"/>
            <w:vAlign w:val="center"/>
          </w:tcPr>
          <w:p>
            <w:pPr>
              <w:spacing w:after="0"/>
            </w:pPr>
            <w:r/>
            <w:r>
              <w:rPr>
                <w:rFonts w:ascii="Aptos" w:hAnsi="Aptos"/>
                <w:b w:val="0"/>
                <w:sz w:val="14"/>
              </w:rPr>
              <w:t>Observability &amp; Alerting Specification</w:t>
            </w:r>
          </w:p>
        </w:tc>
        <w:tc>
          <w:tcPr>
            <w:tcW w:type="dxa" w:w="3600"/>
            <w:vAlign w:val="center"/>
          </w:tcPr>
          <w:p>
            <w:pPr>
              <w:spacing w:after="0"/>
            </w:pPr>
            <w:r/>
            <w:r>
              <w:rPr>
                <w:rFonts w:ascii="Aptos" w:hAnsi="Aptos"/>
                <w:b w:val="0"/>
                <w:sz w:val="14"/>
              </w:rPr>
              <w:t>Planned in dependency order</w:t>
            </w:r>
          </w:p>
        </w:tc>
      </w:tr>
      <w:tr>
        <w:trPr>
          <w:cantSplit/>
        </w:trPr>
        <w:tc>
          <w:tcPr>
            <w:tcW w:type="dxa" w:w="720"/>
            <w:vAlign w:val="center"/>
            <w:shd w:fill="EAF0F8"/>
          </w:tcPr>
          <w:p>
            <w:pPr>
              <w:spacing w:after="0"/>
            </w:pPr>
            <w:r/>
            <w:r>
              <w:rPr>
                <w:rFonts w:ascii="Aptos" w:hAnsi="Aptos"/>
                <w:b w:val="0"/>
                <w:sz w:val="14"/>
              </w:rPr>
              <w:t>14</w:t>
            </w:r>
          </w:p>
        </w:tc>
        <w:tc>
          <w:tcPr>
            <w:tcW w:type="dxa" w:w="6768"/>
            <w:vAlign w:val="center"/>
            <w:shd w:fill="EAF0F8"/>
          </w:tcPr>
          <w:p>
            <w:pPr>
              <w:spacing w:after="0"/>
            </w:pPr>
            <w:r/>
            <w:r>
              <w:rPr>
                <w:rFonts w:ascii="Aptos" w:hAnsi="Aptos"/>
                <w:b w:val="0"/>
                <w:sz w:val="14"/>
              </w:rPr>
              <w:t>Deployment &amp; Environment Specification</w:t>
            </w:r>
          </w:p>
        </w:tc>
        <w:tc>
          <w:tcPr>
            <w:tcW w:type="dxa" w:w="3600"/>
            <w:vAlign w:val="center"/>
            <w:shd w:fill="EAF0F8"/>
          </w:tcPr>
          <w:p>
            <w:pPr>
              <w:spacing w:after="0"/>
            </w:pPr>
            <w:r/>
            <w:r>
              <w:rPr>
                <w:rFonts w:ascii="Aptos" w:hAnsi="Aptos"/>
                <w:b w:val="0"/>
                <w:sz w:val="14"/>
              </w:rPr>
              <w:t>Planned in dependency order</w:t>
            </w:r>
          </w:p>
        </w:tc>
      </w:tr>
      <w:tr>
        <w:trPr>
          <w:cantSplit/>
        </w:trPr>
        <w:tc>
          <w:tcPr>
            <w:tcW w:type="dxa" w:w="720"/>
            <w:vAlign w:val="center"/>
          </w:tcPr>
          <w:p>
            <w:pPr>
              <w:spacing w:after="0"/>
            </w:pPr>
            <w:r/>
            <w:r>
              <w:rPr>
                <w:rFonts w:ascii="Aptos" w:hAnsi="Aptos"/>
                <w:b w:val="0"/>
                <w:sz w:val="14"/>
              </w:rPr>
              <w:t>15</w:t>
            </w:r>
          </w:p>
        </w:tc>
        <w:tc>
          <w:tcPr>
            <w:tcW w:type="dxa" w:w="6768"/>
            <w:vAlign w:val="center"/>
          </w:tcPr>
          <w:p>
            <w:pPr>
              <w:spacing w:after="0"/>
            </w:pPr>
            <w:r/>
            <w:r>
              <w:rPr>
                <w:rFonts w:ascii="Aptos" w:hAnsi="Aptos"/>
                <w:b w:val="0"/>
                <w:sz w:val="14"/>
              </w:rPr>
              <w:t>Recovery &amp; Reconciliation Runbooks</w:t>
            </w:r>
          </w:p>
        </w:tc>
        <w:tc>
          <w:tcPr>
            <w:tcW w:type="dxa" w:w="3600"/>
            <w:vAlign w:val="center"/>
          </w:tcPr>
          <w:p>
            <w:pPr>
              <w:spacing w:after="0"/>
            </w:pPr>
            <w:r/>
            <w:r>
              <w:rPr>
                <w:rFonts w:ascii="Aptos" w:hAnsi="Aptos"/>
                <w:b w:val="0"/>
                <w:sz w:val="14"/>
              </w:rPr>
              <w:t>Planned in dependency order</w:t>
            </w:r>
          </w:p>
        </w:tc>
      </w:tr>
      <w:tr>
        <w:trPr>
          <w:cantSplit/>
        </w:trPr>
        <w:tc>
          <w:tcPr>
            <w:tcW w:type="dxa" w:w="720"/>
            <w:vAlign w:val="center"/>
            <w:shd w:fill="EAF0F8"/>
          </w:tcPr>
          <w:p>
            <w:pPr>
              <w:spacing w:after="0"/>
            </w:pPr>
            <w:r/>
            <w:r>
              <w:rPr>
                <w:rFonts w:ascii="Aptos" w:hAnsi="Aptos"/>
                <w:b w:val="0"/>
                <w:sz w:val="14"/>
              </w:rPr>
              <w:t>16</w:t>
            </w:r>
          </w:p>
        </w:tc>
        <w:tc>
          <w:tcPr>
            <w:tcW w:type="dxa" w:w="6768"/>
            <w:vAlign w:val="center"/>
            <w:shd w:fill="EAF0F8"/>
          </w:tcPr>
          <w:p>
            <w:pPr>
              <w:spacing w:after="0"/>
            </w:pPr>
            <w:r/>
            <w:r>
              <w:rPr>
                <w:rFonts w:ascii="Aptos" w:hAnsi="Aptos"/>
                <w:b w:val="0"/>
                <w:sz w:val="14"/>
              </w:rPr>
              <w:t>Paper-Trading Readiness Checklist</w:t>
            </w:r>
          </w:p>
        </w:tc>
        <w:tc>
          <w:tcPr>
            <w:tcW w:type="dxa" w:w="3600"/>
            <w:vAlign w:val="center"/>
            <w:shd w:fill="EAF0F8"/>
          </w:tcPr>
          <w:p>
            <w:pPr>
              <w:spacing w:after="0"/>
            </w:pPr>
            <w:r/>
            <w:r>
              <w:rPr>
                <w:rFonts w:ascii="Aptos" w:hAnsi="Aptos"/>
                <w:b w:val="0"/>
                <w:sz w:val="14"/>
              </w:rPr>
              <w:t>Planned in dependency order</w:t>
            </w:r>
          </w:p>
        </w:tc>
      </w:tr>
      <w:tr>
        <w:trPr>
          <w:cantSplit/>
        </w:trPr>
        <w:tc>
          <w:tcPr>
            <w:tcW w:type="dxa" w:w="720"/>
            <w:vAlign w:val="center"/>
          </w:tcPr>
          <w:p>
            <w:pPr>
              <w:spacing w:after="0"/>
            </w:pPr>
            <w:r/>
            <w:r>
              <w:rPr>
                <w:rFonts w:ascii="Aptos" w:hAnsi="Aptos"/>
                <w:b w:val="0"/>
                <w:sz w:val="14"/>
              </w:rPr>
              <w:t>17</w:t>
            </w:r>
          </w:p>
        </w:tc>
        <w:tc>
          <w:tcPr>
            <w:tcW w:type="dxa" w:w="6768"/>
            <w:vAlign w:val="center"/>
          </w:tcPr>
          <w:p>
            <w:pPr>
              <w:spacing w:after="0"/>
            </w:pPr>
            <w:r/>
            <w:r>
              <w:rPr>
                <w:rFonts w:ascii="Aptos" w:hAnsi="Aptos"/>
                <w:b w:val="0"/>
                <w:sz w:val="14"/>
              </w:rPr>
              <w:t>Live-Readiness Checklist</w:t>
            </w:r>
          </w:p>
        </w:tc>
        <w:tc>
          <w:tcPr>
            <w:tcW w:type="dxa" w:w="3600"/>
            <w:vAlign w:val="center"/>
          </w:tcPr>
          <w:p>
            <w:pPr>
              <w:spacing w:after="0"/>
            </w:pPr>
            <w:r/>
            <w:r>
              <w:rPr>
                <w:rFonts w:ascii="Aptos" w:hAnsi="Aptos"/>
                <w:b w:val="0"/>
                <w:sz w:val="14"/>
              </w:rPr>
              <w:t>Planned in dependency order</w:t>
            </w:r>
          </w:p>
        </w:tc>
      </w:tr>
      <w:tr>
        <w:trPr>
          <w:cantSplit/>
        </w:trPr>
        <w:tc>
          <w:tcPr>
            <w:tcW w:type="dxa" w:w="720"/>
            <w:vAlign w:val="center"/>
            <w:shd w:fill="EAF0F8"/>
          </w:tcPr>
          <w:p>
            <w:pPr>
              <w:spacing w:after="0"/>
            </w:pPr>
            <w:r/>
            <w:r>
              <w:rPr>
                <w:rFonts w:ascii="Aptos" w:hAnsi="Aptos"/>
                <w:b w:val="0"/>
                <w:sz w:val="14"/>
              </w:rPr>
              <w:t>18</w:t>
            </w:r>
          </w:p>
        </w:tc>
        <w:tc>
          <w:tcPr>
            <w:tcW w:type="dxa" w:w="6768"/>
            <w:vAlign w:val="center"/>
            <w:shd w:fill="EAF0F8"/>
          </w:tcPr>
          <w:p>
            <w:pPr>
              <w:spacing w:after="0"/>
            </w:pPr>
            <w:r/>
            <w:r>
              <w:rPr>
                <w:rFonts w:ascii="Aptos" w:hAnsi="Aptos"/>
                <w:b w:val="0"/>
                <w:sz w:val="14"/>
              </w:rPr>
              <w:t>Implementation Risk Register</w:t>
            </w:r>
          </w:p>
        </w:tc>
        <w:tc>
          <w:tcPr>
            <w:tcW w:type="dxa" w:w="3600"/>
            <w:vAlign w:val="center"/>
            <w:shd w:fill="EAF0F8"/>
          </w:tcPr>
          <w:p>
            <w:pPr>
              <w:spacing w:after="0"/>
            </w:pPr>
            <w:r/>
            <w:r>
              <w:rPr>
                <w:rFonts w:ascii="Aptos" w:hAnsi="Aptos"/>
                <w:b w:val="0"/>
                <w:sz w:val="14"/>
              </w:rPr>
              <w:t>Planned in dependency order</w:t>
            </w:r>
          </w:p>
        </w:tc>
      </w:tr>
      <w:tr>
        <w:trPr>
          <w:cantSplit/>
        </w:trPr>
        <w:tc>
          <w:tcPr>
            <w:tcW w:type="dxa" w:w="720"/>
            <w:vAlign w:val="center"/>
          </w:tcPr>
          <w:p>
            <w:pPr>
              <w:spacing w:after="0"/>
            </w:pPr>
            <w:r/>
            <w:r>
              <w:rPr>
                <w:rFonts w:ascii="Aptos" w:hAnsi="Aptos"/>
                <w:b w:val="0"/>
                <w:sz w:val="14"/>
              </w:rPr>
              <w:t>19</w:t>
            </w:r>
          </w:p>
        </w:tc>
        <w:tc>
          <w:tcPr>
            <w:tcW w:type="dxa" w:w="6768"/>
            <w:vAlign w:val="center"/>
          </w:tcPr>
          <w:p>
            <w:pPr>
              <w:spacing w:after="0"/>
            </w:pPr>
            <w:r/>
            <w:r>
              <w:rPr>
                <w:rFonts w:ascii="Aptos" w:hAnsi="Aptos"/>
                <w:b w:val="0"/>
                <w:sz w:val="14"/>
              </w:rPr>
              <w:t>Implementation Decision Log</w:t>
            </w:r>
          </w:p>
        </w:tc>
        <w:tc>
          <w:tcPr>
            <w:tcW w:type="dxa" w:w="3600"/>
            <w:vAlign w:val="center"/>
          </w:tcPr>
          <w:p>
            <w:pPr>
              <w:spacing w:after="0"/>
            </w:pPr>
            <w:r/>
            <w:r>
              <w:rPr>
                <w:rFonts w:ascii="Aptos" w:hAnsi="Aptos"/>
                <w:b w:val="0"/>
                <w:sz w:val="14"/>
              </w:rPr>
              <w:t>Implementation programme / initiated</w:t>
            </w:r>
          </w:p>
        </w:tc>
      </w:tr>
      <w:tr>
        <w:trPr>
          <w:cantSplit/>
        </w:trPr>
        <w:tc>
          <w:tcPr>
            <w:tcW w:type="dxa" w:w="720"/>
            <w:vAlign w:val="center"/>
            <w:shd w:fill="EAF0F8"/>
          </w:tcPr>
          <w:p>
            <w:pPr>
              <w:spacing w:after="0"/>
            </w:pPr>
            <w:r/>
            <w:r>
              <w:rPr>
                <w:rFonts w:ascii="Aptos" w:hAnsi="Aptos"/>
                <w:b w:val="0"/>
                <w:sz w:val="14"/>
              </w:rPr>
              <w:t>20</w:t>
            </w:r>
          </w:p>
        </w:tc>
        <w:tc>
          <w:tcPr>
            <w:tcW w:type="dxa" w:w="6768"/>
            <w:vAlign w:val="center"/>
            <w:shd w:fill="EAF0F8"/>
          </w:tcPr>
          <w:p>
            <w:pPr>
              <w:spacing w:after="0"/>
            </w:pPr>
            <w:r/>
            <w:r>
              <w:rPr>
                <w:rFonts w:ascii="Aptos" w:hAnsi="Aptos"/>
                <w:b w:val="0"/>
                <w:sz w:val="14"/>
              </w:rPr>
              <w:t>Implementation Progress Register</w:t>
            </w:r>
          </w:p>
        </w:tc>
        <w:tc>
          <w:tcPr>
            <w:tcW w:type="dxa" w:w="3600"/>
            <w:vAlign w:val="center"/>
            <w:shd w:fill="EAF0F8"/>
          </w:tcPr>
          <w:p>
            <w:pPr>
              <w:spacing w:after="0"/>
            </w:pPr>
            <w:r/>
            <w:r>
              <w:rPr>
                <w:rFonts w:ascii="Aptos" w:hAnsi="Aptos"/>
                <w:b w:val="0"/>
                <w:sz w:val="14"/>
              </w:rPr>
              <w:t>Implementation programme / initiated</w:t>
            </w:r>
          </w:p>
        </w:tc>
      </w:tr>
    </w:tbl>
    <w:p>
      <w:pPr>
        <w:spacing w:after="0"/>
      </w:pPr>
    </w:p>
    <w:p>
      <w:pPr>
        <w:spacing w:after="80"/>
      </w:pPr>
      <w:r>
        <w:t>Mutual consistency is enforced by stable identifiers, generated cross-references where practical, schema/version registries, milestone evidence manifests and change-impact checks. A change to an invariant, contract, state machine or authority boundary must identify every affected artifact and invalidate stale verification evidence.</w:t>
      </w:r>
    </w:p>
    <w:p>
      <w:pPr>
        <w:pStyle w:val="Title"/>
      </w:pPr>
      <w:r>
        <w:t>16. Initial Risk Register</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152"/>
            <w:vAlign w:val="center"/>
            <w:shd w:fill="17365D"/>
          </w:tcPr>
          <w:p>
            <w:pPr>
              <w:spacing w:after="0"/>
            </w:pPr>
            <w:r/>
            <w:r>
              <w:rPr>
                <w:rFonts w:ascii="Aptos" w:hAnsi="Aptos"/>
                <w:b/>
                <w:color w:val="FFFFFF"/>
                <w:sz w:val="14"/>
              </w:rPr>
              <w:t>ID</w:t>
            </w:r>
          </w:p>
        </w:tc>
        <w:tc>
          <w:tcPr>
            <w:tcW w:type="dxa" w:w="3312"/>
            <w:vAlign w:val="center"/>
            <w:shd w:fill="17365D"/>
          </w:tcPr>
          <w:p>
            <w:pPr>
              <w:spacing w:after="0"/>
            </w:pPr>
            <w:r/>
            <w:r>
              <w:rPr>
                <w:rFonts w:ascii="Aptos" w:hAnsi="Aptos"/>
                <w:b/>
                <w:color w:val="FFFFFF"/>
                <w:sz w:val="14"/>
              </w:rPr>
              <w:t>Risk</w:t>
            </w:r>
          </w:p>
        </w:tc>
        <w:tc>
          <w:tcPr>
            <w:tcW w:type="dxa" w:w="1152"/>
            <w:vAlign w:val="center"/>
            <w:shd w:fill="17365D"/>
          </w:tcPr>
          <w:p>
            <w:pPr>
              <w:spacing w:after="0"/>
            </w:pPr>
            <w:r/>
            <w:r>
              <w:rPr>
                <w:rFonts w:ascii="Aptos" w:hAnsi="Aptos"/>
                <w:b/>
                <w:color w:val="FFFFFF"/>
                <w:sz w:val="14"/>
              </w:rPr>
              <w:t>Severity</w:t>
            </w:r>
          </w:p>
        </w:tc>
        <w:tc>
          <w:tcPr>
            <w:tcW w:type="dxa" w:w="5616"/>
            <w:vAlign w:val="center"/>
            <w:shd w:fill="17365D"/>
          </w:tcPr>
          <w:p>
            <w:pPr>
              <w:spacing w:after="0"/>
            </w:pPr>
            <w:r/>
            <w:r>
              <w:rPr>
                <w:rFonts w:ascii="Aptos" w:hAnsi="Aptos"/>
                <w:b/>
                <w:color w:val="FFFFFF"/>
                <w:sz w:val="14"/>
              </w:rPr>
              <w:t>Control</w:t>
            </w:r>
          </w:p>
        </w:tc>
      </w:tr>
      <w:tr>
        <w:trPr>
          <w:cantSplit/>
        </w:trPr>
        <w:tc>
          <w:tcPr>
            <w:tcW w:type="dxa" w:w="1152"/>
            <w:vAlign w:val="center"/>
          </w:tcPr>
          <w:p>
            <w:pPr>
              <w:spacing w:after="0"/>
            </w:pPr>
            <w:r/>
            <w:r>
              <w:rPr>
                <w:rFonts w:ascii="Aptos" w:hAnsi="Aptos"/>
                <w:b w:val="0"/>
                <w:sz w:val="13"/>
              </w:rPr>
              <w:t>RISK-001</w:t>
            </w:r>
          </w:p>
        </w:tc>
        <w:tc>
          <w:tcPr>
            <w:tcW w:type="dxa" w:w="3312"/>
            <w:vAlign w:val="center"/>
          </w:tcPr>
          <w:p>
            <w:pPr>
              <w:spacing w:after="0"/>
            </w:pPr>
            <w:r/>
            <w:r>
              <w:rPr>
                <w:rFonts w:ascii="Aptos" w:hAnsi="Aptos"/>
                <w:b w:val="0"/>
                <w:sz w:val="13"/>
              </w:rPr>
              <w:t>Incomplete mapping of historical invariants</w:t>
            </w:r>
          </w:p>
        </w:tc>
        <w:tc>
          <w:tcPr>
            <w:tcW w:type="dxa" w:w="1152"/>
            <w:vAlign w:val="center"/>
          </w:tcPr>
          <w:p>
            <w:pPr>
              <w:spacing w:after="0"/>
            </w:pPr>
            <w:r/>
            <w:r>
              <w:rPr>
                <w:rFonts w:ascii="Aptos" w:hAnsi="Aptos"/>
                <w:b w:val="0"/>
                <w:sz w:val="13"/>
              </w:rPr>
              <w:t>High</w:t>
            </w:r>
          </w:p>
        </w:tc>
        <w:tc>
          <w:tcPr>
            <w:tcW w:type="dxa" w:w="5616"/>
            <w:vAlign w:val="center"/>
          </w:tcPr>
          <w:p>
            <w:pPr>
              <w:spacing w:after="0"/>
            </w:pPr>
            <w:r/>
            <w:r>
              <w:rPr>
                <w:rFonts w:ascii="Aptos" w:hAnsi="Aptos"/>
                <w:b w:val="0"/>
                <w:sz w:val="13"/>
              </w:rPr>
              <w:t>Import Master Invariant Register as authoritative traceability source; mark provenance, never fabricate.</w:t>
            </w:r>
          </w:p>
        </w:tc>
      </w:tr>
      <w:tr>
        <w:trPr>
          <w:cantSplit/>
        </w:trPr>
        <w:tc>
          <w:tcPr>
            <w:tcW w:type="dxa" w:w="1152"/>
            <w:vAlign w:val="center"/>
            <w:shd w:fill="EAF0F8"/>
          </w:tcPr>
          <w:p>
            <w:pPr>
              <w:spacing w:after="0"/>
            </w:pPr>
            <w:r/>
            <w:r>
              <w:rPr>
                <w:rFonts w:ascii="Aptos" w:hAnsi="Aptos"/>
                <w:b w:val="0"/>
                <w:sz w:val="13"/>
              </w:rPr>
              <w:t>RISK-002</w:t>
            </w:r>
          </w:p>
        </w:tc>
        <w:tc>
          <w:tcPr>
            <w:tcW w:type="dxa" w:w="3312"/>
            <w:vAlign w:val="center"/>
            <w:shd w:fill="EAF0F8"/>
          </w:tcPr>
          <w:p>
            <w:pPr>
              <w:spacing w:after="0"/>
            </w:pPr>
            <w:r/>
            <w:r>
              <w:rPr>
                <w:rFonts w:ascii="Aptos" w:hAnsi="Aptos"/>
                <w:b w:val="0"/>
                <w:sz w:val="13"/>
              </w:rPr>
              <w:t>Framework complexity outruns initial hardware</w:t>
            </w:r>
          </w:p>
        </w:tc>
        <w:tc>
          <w:tcPr>
            <w:tcW w:type="dxa" w:w="1152"/>
            <w:vAlign w:val="center"/>
            <w:shd w:fill="EAF0F8"/>
          </w:tcPr>
          <w:p>
            <w:pPr>
              <w:spacing w:after="0"/>
            </w:pPr>
            <w:r/>
            <w:r>
              <w:rPr>
                <w:rFonts w:ascii="Aptos" w:hAnsi="Aptos"/>
                <w:b w:val="0"/>
                <w:sz w:val="13"/>
              </w:rPr>
              <w:t>Medium</w:t>
            </w:r>
          </w:p>
        </w:tc>
        <w:tc>
          <w:tcPr>
            <w:tcW w:type="dxa" w:w="5616"/>
            <w:vAlign w:val="center"/>
            <w:shd w:fill="EAF0F8"/>
          </w:tcPr>
          <w:p>
            <w:pPr>
              <w:spacing w:after="0"/>
            </w:pPr>
            <w:r/>
            <w:r>
              <w:rPr>
                <w:rFonts w:ascii="Aptos" w:hAnsi="Aptos"/>
                <w:b w:val="0"/>
                <w:sz w:val="13"/>
              </w:rPr>
              <w:t>Resource-conscious modular monolith and test profiles; production topology separate.</w:t>
            </w:r>
          </w:p>
        </w:tc>
      </w:tr>
      <w:tr>
        <w:trPr>
          <w:cantSplit/>
        </w:trPr>
        <w:tc>
          <w:tcPr>
            <w:tcW w:type="dxa" w:w="1152"/>
            <w:vAlign w:val="center"/>
          </w:tcPr>
          <w:p>
            <w:pPr>
              <w:spacing w:after="0"/>
            </w:pPr>
            <w:r/>
            <w:r>
              <w:rPr>
                <w:rFonts w:ascii="Aptos" w:hAnsi="Aptos"/>
                <w:b w:val="0"/>
                <w:sz w:val="13"/>
              </w:rPr>
              <w:t>RISK-003</w:t>
            </w:r>
          </w:p>
        </w:tc>
        <w:tc>
          <w:tcPr>
            <w:tcW w:type="dxa" w:w="3312"/>
            <w:vAlign w:val="center"/>
          </w:tcPr>
          <w:p>
            <w:pPr>
              <w:spacing w:after="0"/>
            </w:pPr>
            <w:r/>
            <w:r>
              <w:rPr>
                <w:rFonts w:ascii="Aptos" w:hAnsi="Aptos"/>
                <w:b w:val="0"/>
                <w:sz w:val="13"/>
              </w:rPr>
              <w:t>Broker SDK semantics leak into core</w:t>
            </w:r>
          </w:p>
        </w:tc>
        <w:tc>
          <w:tcPr>
            <w:tcW w:type="dxa" w:w="1152"/>
            <w:vAlign w:val="center"/>
          </w:tcPr>
          <w:p>
            <w:pPr>
              <w:spacing w:after="0"/>
            </w:pPr>
            <w:r/>
            <w:r>
              <w:rPr>
                <w:rFonts w:ascii="Aptos" w:hAnsi="Aptos"/>
                <w:b w:val="0"/>
                <w:sz w:val="13"/>
              </w:rPr>
              <w:t>High</w:t>
            </w:r>
          </w:p>
        </w:tc>
        <w:tc>
          <w:tcPr>
            <w:tcW w:type="dxa" w:w="5616"/>
            <w:vAlign w:val="center"/>
          </w:tcPr>
          <w:p>
            <w:pPr>
              <w:spacing w:after="0"/>
            </w:pPr>
            <w:r/>
            <w:r>
              <w:rPr>
                <w:rFonts w:ascii="Aptos" w:hAnsi="Aptos"/>
                <w:b w:val="0"/>
                <w:sz w:val="13"/>
              </w:rPr>
              <w:t>Canonical broker port and adapter conformance tests.</w:t>
            </w:r>
          </w:p>
        </w:tc>
      </w:tr>
      <w:tr>
        <w:trPr>
          <w:cantSplit/>
        </w:trPr>
        <w:tc>
          <w:tcPr>
            <w:tcW w:type="dxa" w:w="1152"/>
            <w:vAlign w:val="center"/>
            <w:shd w:fill="EAF0F8"/>
          </w:tcPr>
          <w:p>
            <w:pPr>
              <w:spacing w:after="0"/>
            </w:pPr>
            <w:r/>
            <w:r>
              <w:rPr>
                <w:rFonts w:ascii="Aptos" w:hAnsi="Aptos"/>
                <w:b w:val="0"/>
                <w:sz w:val="13"/>
              </w:rPr>
              <w:t>RISK-004</w:t>
            </w:r>
          </w:p>
        </w:tc>
        <w:tc>
          <w:tcPr>
            <w:tcW w:type="dxa" w:w="3312"/>
            <w:vAlign w:val="center"/>
            <w:shd w:fill="EAF0F8"/>
          </w:tcPr>
          <w:p>
            <w:pPr>
              <w:spacing w:after="0"/>
            </w:pPr>
            <w:r/>
            <w:r>
              <w:rPr>
                <w:rFonts w:ascii="Aptos" w:hAnsi="Aptos"/>
                <w:b w:val="0"/>
                <w:sz w:val="13"/>
              </w:rPr>
              <w:t>False exactly-once assumptions</w:t>
            </w:r>
          </w:p>
        </w:tc>
        <w:tc>
          <w:tcPr>
            <w:tcW w:type="dxa" w:w="1152"/>
            <w:vAlign w:val="center"/>
            <w:shd w:fill="EAF0F8"/>
          </w:tcPr>
          <w:p>
            <w:pPr>
              <w:spacing w:after="0"/>
            </w:pPr>
            <w:r/>
            <w:r>
              <w:rPr>
                <w:rFonts w:ascii="Aptos" w:hAnsi="Aptos"/>
                <w:b w:val="0"/>
                <w:sz w:val="13"/>
              </w:rPr>
              <w:t>Critical</w:t>
            </w:r>
          </w:p>
        </w:tc>
        <w:tc>
          <w:tcPr>
            <w:tcW w:type="dxa" w:w="5616"/>
            <w:vAlign w:val="center"/>
            <w:shd w:fill="EAF0F8"/>
          </w:tcPr>
          <w:p>
            <w:pPr>
              <w:spacing w:after="0"/>
            </w:pPr>
            <w:r/>
            <w:r>
              <w:rPr>
                <w:rFonts w:ascii="Aptos" w:hAnsi="Aptos"/>
                <w:b w:val="0"/>
                <w:sz w:val="13"/>
              </w:rPr>
              <w:t>At-least-once delivery plus durable idempotency, fencing and reconciliation.</w:t>
            </w:r>
          </w:p>
        </w:tc>
      </w:tr>
      <w:tr>
        <w:trPr>
          <w:cantSplit/>
        </w:trPr>
        <w:tc>
          <w:tcPr>
            <w:tcW w:type="dxa" w:w="1152"/>
            <w:vAlign w:val="center"/>
          </w:tcPr>
          <w:p>
            <w:pPr>
              <w:spacing w:after="0"/>
            </w:pPr>
            <w:r/>
            <w:r>
              <w:rPr>
                <w:rFonts w:ascii="Aptos" w:hAnsi="Aptos"/>
                <w:b w:val="0"/>
                <w:sz w:val="13"/>
              </w:rPr>
              <w:t>RISK-005</w:t>
            </w:r>
          </w:p>
        </w:tc>
        <w:tc>
          <w:tcPr>
            <w:tcW w:type="dxa" w:w="3312"/>
            <w:vAlign w:val="center"/>
          </w:tcPr>
          <w:p>
            <w:pPr>
              <w:spacing w:after="0"/>
            </w:pPr>
            <w:r/>
            <w:r>
              <w:rPr>
                <w:rFonts w:ascii="Aptos" w:hAnsi="Aptos"/>
                <w:b w:val="0"/>
                <w:sz w:val="13"/>
              </w:rPr>
              <w:t>Local state treated as broker truth</w:t>
            </w:r>
          </w:p>
        </w:tc>
        <w:tc>
          <w:tcPr>
            <w:tcW w:type="dxa" w:w="1152"/>
            <w:vAlign w:val="center"/>
          </w:tcPr>
          <w:p>
            <w:pPr>
              <w:spacing w:after="0"/>
            </w:pPr>
            <w:r/>
            <w:r>
              <w:rPr>
                <w:rFonts w:ascii="Aptos" w:hAnsi="Aptos"/>
                <w:b w:val="0"/>
                <w:sz w:val="13"/>
              </w:rPr>
              <w:t>Critical</w:t>
            </w:r>
          </w:p>
        </w:tc>
        <w:tc>
          <w:tcPr>
            <w:tcW w:type="dxa" w:w="5616"/>
            <w:vAlign w:val="center"/>
          </w:tcPr>
          <w:p>
            <w:pPr>
              <w:spacing w:after="0"/>
            </w:pPr>
            <w:r/>
            <w:r>
              <w:rPr>
                <w:rFonts w:ascii="Aptos" w:hAnsi="Aptos"/>
                <w:b w:val="0"/>
                <w:sz w:val="13"/>
              </w:rPr>
              <w:t>Dual authority model and mandatory discrepancy containment.</w:t>
            </w:r>
          </w:p>
        </w:tc>
      </w:tr>
      <w:tr>
        <w:trPr>
          <w:cantSplit/>
        </w:trPr>
        <w:tc>
          <w:tcPr>
            <w:tcW w:type="dxa" w:w="1152"/>
            <w:vAlign w:val="center"/>
            <w:shd w:fill="EAF0F8"/>
          </w:tcPr>
          <w:p>
            <w:pPr>
              <w:spacing w:after="0"/>
            </w:pPr>
            <w:r/>
            <w:r>
              <w:rPr>
                <w:rFonts w:ascii="Aptos" w:hAnsi="Aptos"/>
                <w:b w:val="0"/>
                <w:sz w:val="13"/>
              </w:rPr>
              <w:t>RISK-006</w:t>
            </w:r>
          </w:p>
        </w:tc>
        <w:tc>
          <w:tcPr>
            <w:tcW w:type="dxa" w:w="3312"/>
            <w:vAlign w:val="center"/>
            <w:shd w:fill="EAF0F8"/>
          </w:tcPr>
          <w:p>
            <w:pPr>
              <w:spacing w:after="0"/>
            </w:pPr>
            <w:r/>
            <w:r>
              <w:rPr>
                <w:rFonts w:ascii="Aptos" w:hAnsi="Aptos"/>
                <w:b w:val="0"/>
                <w:sz w:val="13"/>
              </w:rPr>
              <w:t>Backtest/live semantic divergence</w:t>
            </w:r>
          </w:p>
        </w:tc>
        <w:tc>
          <w:tcPr>
            <w:tcW w:type="dxa" w:w="1152"/>
            <w:vAlign w:val="center"/>
            <w:shd w:fill="EAF0F8"/>
          </w:tcPr>
          <w:p>
            <w:pPr>
              <w:spacing w:after="0"/>
            </w:pPr>
            <w:r/>
            <w:r>
              <w:rPr>
                <w:rFonts w:ascii="Aptos" w:hAnsi="Aptos"/>
                <w:b w:val="0"/>
                <w:sz w:val="13"/>
              </w:rPr>
              <w:t>High</w:t>
            </w:r>
          </w:p>
        </w:tc>
        <w:tc>
          <w:tcPr>
            <w:tcW w:type="dxa" w:w="5616"/>
            <w:vAlign w:val="center"/>
            <w:shd w:fill="EAF0F8"/>
          </w:tcPr>
          <w:p>
            <w:pPr>
              <w:spacing w:after="0"/>
            </w:pPr>
            <w:r/>
            <w:r>
              <w:rPr>
                <w:rFonts w:ascii="Aptos" w:hAnsi="Aptos"/>
                <w:b w:val="0"/>
                <w:sz w:val="13"/>
              </w:rPr>
              <w:t>Shared contracts/calculations, point-in-time data and versioned execution model.</w:t>
            </w:r>
          </w:p>
        </w:tc>
      </w:tr>
      <w:tr>
        <w:trPr>
          <w:cantSplit/>
        </w:trPr>
        <w:tc>
          <w:tcPr>
            <w:tcW w:type="dxa" w:w="1152"/>
            <w:vAlign w:val="center"/>
          </w:tcPr>
          <w:p>
            <w:pPr>
              <w:spacing w:after="0"/>
            </w:pPr>
            <w:r/>
            <w:r>
              <w:rPr>
                <w:rFonts w:ascii="Aptos" w:hAnsi="Aptos"/>
                <w:b w:val="0"/>
                <w:sz w:val="13"/>
              </w:rPr>
              <w:t>RISK-007</w:t>
            </w:r>
          </w:p>
        </w:tc>
        <w:tc>
          <w:tcPr>
            <w:tcW w:type="dxa" w:w="3312"/>
            <w:vAlign w:val="center"/>
          </w:tcPr>
          <w:p>
            <w:pPr>
              <w:spacing w:after="0"/>
            </w:pPr>
            <w:r/>
            <w:r>
              <w:rPr>
                <w:rFonts w:ascii="Aptos" w:hAnsi="Aptos"/>
                <w:b w:val="0"/>
                <w:sz w:val="13"/>
              </w:rPr>
              <w:t>Economic model underestimates costs</w:t>
            </w:r>
          </w:p>
        </w:tc>
        <w:tc>
          <w:tcPr>
            <w:tcW w:type="dxa" w:w="1152"/>
            <w:vAlign w:val="center"/>
          </w:tcPr>
          <w:p>
            <w:pPr>
              <w:spacing w:after="0"/>
            </w:pPr>
            <w:r/>
            <w:r>
              <w:rPr>
                <w:rFonts w:ascii="Aptos" w:hAnsi="Aptos"/>
                <w:b w:val="0"/>
                <w:sz w:val="13"/>
              </w:rPr>
              <w:t>High</w:t>
            </w:r>
          </w:p>
        </w:tc>
        <w:tc>
          <w:tcPr>
            <w:tcW w:type="dxa" w:w="5616"/>
            <w:vAlign w:val="center"/>
          </w:tcPr>
          <w:p>
            <w:pPr>
              <w:spacing w:after="0"/>
            </w:pPr>
            <w:r/>
            <w:r>
              <w:rPr>
                <w:rFonts w:ascii="Aptos" w:hAnsi="Aptos"/>
                <w:b w:val="0"/>
                <w:sz w:val="13"/>
              </w:rPr>
              <w:t>Uncertainty margins, sensitivity tests and forecast-vs-realized monitoring.</w:t>
            </w:r>
          </w:p>
        </w:tc>
      </w:tr>
      <w:tr>
        <w:trPr>
          <w:cantSplit/>
        </w:trPr>
        <w:tc>
          <w:tcPr>
            <w:tcW w:type="dxa" w:w="1152"/>
            <w:vAlign w:val="center"/>
            <w:shd w:fill="EAF0F8"/>
          </w:tcPr>
          <w:p>
            <w:pPr>
              <w:spacing w:after="0"/>
            </w:pPr>
            <w:r/>
            <w:r>
              <w:rPr>
                <w:rFonts w:ascii="Aptos" w:hAnsi="Aptos"/>
                <w:b w:val="0"/>
                <w:sz w:val="13"/>
              </w:rPr>
              <w:t>RISK-008</w:t>
            </w:r>
          </w:p>
        </w:tc>
        <w:tc>
          <w:tcPr>
            <w:tcW w:type="dxa" w:w="3312"/>
            <w:vAlign w:val="center"/>
            <w:shd w:fill="EAF0F8"/>
          </w:tcPr>
          <w:p>
            <w:pPr>
              <w:spacing w:after="0"/>
            </w:pPr>
            <w:r/>
            <w:r>
              <w:rPr>
                <w:rFonts w:ascii="Aptos" w:hAnsi="Aptos"/>
                <w:b w:val="0"/>
                <w:sz w:val="13"/>
              </w:rPr>
              <w:t>Premature lifecycle promotion</w:t>
            </w:r>
          </w:p>
        </w:tc>
        <w:tc>
          <w:tcPr>
            <w:tcW w:type="dxa" w:w="1152"/>
            <w:vAlign w:val="center"/>
            <w:shd w:fill="EAF0F8"/>
          </w:tcPr>
          <w:p>
            <w:pPr>
              <w:spacing w:after="0"/>
            </w:pPr>
            <w:r/>
            <w:r>
              <w:rPr>
                <w:rFonts w:ascii="Aptos" w:hAnsi="Aptos"/>
                <w:b w:val="0"/>
                <w:sz w:val="13"/>
              </w:rPr>
              <w:t>Critical</w:t>
            </w:r>
          </w:p>
        </w:tc>
        <w:tc>
          <w:tcPr>
            <w:tcW w:type="dxa" w:w="5616"/>
            <w:vAlign w:val="center"/>
            <w:shd w:fill="EAF0F8"/>
          </w:tcPr>
          <w:p>
            <w:pPr>
              <w:spacing w:after="0"/>
            </w:pPr>
            <w:r/>
            <w:r>
              <w:rPr>
                <w:rFonts w:ascii="Aptos" w:hAnsi="Aptos"/>
                <w:b w:val="0"/>
                <w:sz w:val="13"/>
              </w:rPr>
              <w:t>Machine-checkable non-bypass gates and explicit authorization.</w:t>
            </w:r>
          </w:p>
        </w:tc>
      </w:tr>
      <w:tr>
        <w:trPr>
          <w:cantSplit/>
        </w:trPr>
        <w:tc>
          <w:tcPr>
            <w:tcW w:type="dxa" w:w="1152"/>
            <w:vAlign w:val="center"/>
          </w:tcPr>
          <w:p>
            <w:pPr>
              <w:spacing w:after="0"/>
            </w:pPr>
            <w:r/>
            <w:r>
              <w:rPr>
                <w:rFonts w:ascii="Aptos" w:hAnsi="Aptos"/>
                <w:b w:val="0"/>
                <w:sz w:val="13"/>
              </w:rPr>
              <w:t>RISK-009</w:t>
            </w:r>
          </w:p>
        </w:tc>
        <w:tc>
          <w:tcPr>
            <w:tcW w:type="dxa" w:w="3312"/>
            <w:vAlign w:val="center"/>
          </w:tcPr>
          <w:p>
            <w:pPr>
              <w:spacing w:after="0"/>
            </w:pPr>
            <w:r/>
            <w:r>
              <w:rPr>
                <w:rFonts w:ascii="Aptos" w:hAnsi="Aptos"/>
                <w:b w:val="0"/>
                <w:sz w:val="13"/>
              </w:rPr>
              <w:t>Credential leakage or environment crossover</w:t>
            </w:r>
          </w:p>
        </w:tc>
        <w:tc>
          <w:tcPr>
            <w:tcW w:type="dxa" w:w="1152"/>
            <w:vAlign w:val="center"/>
          </w:tcPr>
          <w:p>
            <w:pPr>
              <w:spacing w:after="0"/>
            </w:pPr>
            <w:r/>
            <w:r>
              <w:rPr>
                <w:rFonts w:ascii="Aptos" w:hAnsi="Aptos"/>
                <w:b w:val="0"/>
                <w:sz w:val="13"/>
              </w:rPr>
              <w:t>Critical</w:t>
            </w:r>
          </w:p>
        </w:tc>
        <w:tc>
          <w:tcPr>
            <w:tcW w:type="dxa" w:w="5616"/>
            <w:vAlign w:val="center"/>
          </w:tcPr>
          <w:p>
            <w:pPr>
              <w:spacing w:after="0"/>
            </w:pPr>
            <w:r/>
            <w:r>
              <w:rPr>
                <w:rFonts w:ascii="Aptos" w:hAnsi="Aptos"/>
                <w:b w:val="0"/>
                <w:sz w:val="13"/>
              </w:rPr>
              <w:t>No live capabilities early; secret-provider/RBAC and scans.</w:t>
            </w:r>
          </w:p>
        </w:tc>
      </w:tr>
      <w:tr>
        <w:trPr>
          <w:cantSplit/>
        </w:trPr>
        <w:tc>
          <w:tcPr>
            <w:tcW w:type="dxa" w:w="1152"/>
            <w:vAlign w:val="center"/>
            <w:shd w:fill="EAF0F8"/>
          </w:tcPr>
          <w:p>
            <w:pPr>
              <w:spacing w:after="0"/>
            </w:pPr>
            <w:r/>
            <w:r>
              <w:rPr>
                <w:rFonts w:ascii="Aptos" w:hAnsi="Aptos"/>
                <w:b w:val="0"/>
                <w:sz w:val="13"/>
              </w:rPr>
              <w:t>RISK-010</w:t>
            </w:r>
          </w:p>
        </w:tc>
        <w:tc>
          <w:tcPr>
            <w:tcW w:type="dxa" w:w="3312"/>
            <w:vAlign w:val="center"/>
            <w:shd w:fill="EAF0F8"/>
          </w:tcPr>
          <w:p>
            <w:pPr>
              <w:spacing w:after="0"/>
            </w:pPr>
            <w:r/>
            <w:r>
              <w:rPr>
                <w:rFonts w:ascii="Aptos" w:hAnsi="Aptos"/>
                <w:b w:val="0"/>
                <w:sz w:val="13"/>
              </w:rPr>
              <w:t>Evidence becomes stale after change</w:t>
            </w:r>
          </w:p>
        </w:tc>
        <w:tc>
          <w:tcPr>
            <w:tcW w:type="dxa" w:w="1152"/>
            <w:vAlign w:val="center"/>
            <w:shd w:fill="EAF0F8"/>
          </w:tcPr>
          <w:p>
            <w:pPr>
              <w:spacing w:after="0"/>
            </w:pPr>
            <w:r/>
            <w:r>
              <w:rPr>
                <w:rFonts w:ascii="Aptos" w:hAnsi="Aptos"/>
                <w:b w:val="0"/>
                <w:sz w:val="13"/>
              </w:rPr>
              <w:t>High</w:t>
            </w:r>
          </w:p>
        </w:tc>
        <w:tc>
          <w:tcPr>
            <w:tcW w:type="dxa" w:w="5616"/>
            <w:vAlign w:val="center"/>
            <w:shd w:fill="EAF0F8"/>
          </w:tcPr>
          <w:p>
            <w:pPr>
              <w:spacing w:after="0"/>
            </w:pPr>
            <w:r/>
            <w:r>
              <w:rPr>
                <w:rFonts w:ascii="Aptos" w:hAnsi="Aptos"/>
                <w:b w:val="0"/>
                <w:sz w:val="13"/>
              </w:rPr>
              <w:t>Dependency-based evidence invalidation and current manifests.</w:t>
            </w:r>
          </w:p>
        </w:tc>
      </w:tr>
    </w:tbl>
    <w:p>
      <w:pPr>
        <w:spacing w:after="0"/>
      </w:pPr>
    </w:p>
    <w:p>
      <w:pPr>
        <w:pStyle w:val="Title"/>
      </w:pPr>
      <w:r>
        <w:t>17. Build Programme Start State</w:t>
      </w:r>
    </w:p>
    <w:tbl>
      <w:tblPr>
        <w:tblStyle w:val="TableGrid"/>
        <w:tblW w:type="auto" w:w="0"/>
        <w:jc w:val="center"/>
        <w:tblLook w:firstColumn="1" w:firstRow="1" w:lastColumn="0" w:lastRow="0" w:noHBand="0" w:noVBand="1" w:val="04A0"/>
      </w:tblPr>
      <w:tblGrid>
        <w:gridCol w:w="5112"/>
        <w:gridCol w:w="5112"/>
      </w:tblGrid>
      <w:tr>
        <w:trPr>
          <w:cantSplit/>
        </w:trPr>
        <w:tc>
          <w:tcPr>
            <w:tcW w:type="dxa" w:w="3456"/>
            <w:vAlign w:val="center"/>
            <w:shd w:fill="17365D"/>
          </w:tcPr>
          <w:p>
            <w:pPr>
              <w:spacing w:after="0"/>
            </w:pPr>
            <w:r/>
            <w:r>
              <w:rPr>
                <w:rFonts w:ascii="Aptos" w:hAnsi="Aptos"/>
                <w:b/>
                <w:color w:val="FFFFFF"/>
                <w:sz w:val="14"/>
              </w:rPr>
              <w:t>Item</w:t>
            </w:r>
          </w:p>
        </w:tc>
        <w:tc>
          <w:tcPr>
            <w:tcW w:type="dxa" w:w="6912"/>
            <w:vAlign w:val="center"/>
            <w:shd w:fill="17365D"/>
          </w:tcPr>
          <w:p>
            <w:pPr>
              <w:spacing w:after="0"/>
            </w:pPr>
            <w:r/>
            <w:r>
              <w:rPr>
                <w:rFonts w:ascii="Aptos" w:hAnsi="Aptos"/>
                <w:b/>
                <w:color w:val="FFFFFF"/>
                <w:sz w:val="14"/>
              </w:rPr>
              <w:t>Status</w:t>
            </w:r>
          </w:p>
        </w:tc>
      </w:tr>
      <w:tr>
        <w:trPr>
          <w:cantSplit/>
        </w:trPr>
        <w:tc>
          <w:tcPr>
            <w:tcW w:type="dxa" w:w="3456"/>
            <w:vAlign w:val="center"/>
          </w:tcPr>
          <w:p>
            <w:pPr>
              <w:spacing w:after="0"/>
            </w:pPr>
            <w:r/>
            <w:r>
              <w:rPr>
                <w:rFonts w:ascii="Aptos" w:hAnsi="Aptos"/>
                <w:b w:val="0"/>
                <w:sz w:val="16"/>
              </w:rPr>
              <w:t>Baseline frozen for implementation</w:t>
            </w:r>
          </w:p>
        </w:tc>
        <w:tc>
          <w:tcPr>
            <w:tcW w:type="dxa" w:w="6912"/>
            <w:vAlign w:val="center"/>
          </w:tcPr>
          <w:p>
            <w:r>
              <w:t>CONTROLLED BUT NOT FINAL-FROZEN. Architecture/baseline content is controlled; final implementation-baseline freeze requires Stage 0B traceability closure. Only controlled affected-scope amendment is permitted thereafter.</w:t>
            </w:r>
          </w:p>
        </w:tc>
      </w:tr>
      <w:tr>
        <w:trPr>
          <w:cantSplit/>
        </w:trPr>
        <w:tc>
          <w:tcPr>
            <w:tcW w:type="dxa" w:w="3456"/>
            <w:vAlign w:val="center"/>
            <w:shd w:fill="EAF0F8"/>
          </w:tcPr>
          <w:p>
            <w:pPr>
              <w:spacing w:after="0"/>
            </w:pPr>
            <w:r/>
            <w:r>
              <w:rPr>
                <w:rFonts w:ascii="Aptos" w:hAnsi="Aptos"/>
                <w:b w:val="0"/>
                <w:sz w:val="16"/>
              </w:rPr>
              <w:t>Master Audit restart required</w:t>
            </w:r>
          </w:p>
        </w:tc>
        <w:tc>
          <w:tcPr>
            <w:tcW w:type="dxa" w:w="6912"/>
            <w:vAlign w:val="center"/>
            <w:shd w:fill="EAF0F8"/>
          </w:tcPr>
          <w:p>
            <w:pPr>
              <w:spacing w:after="0"/>
            </w:pPr>
            <w:r/>
            <w:r>
              <w:rPr>
                <w:rFonts w:ascii="Aptos" w:hAnsi="Aptos"/>
                <w:b w:val="0"/>
                <w:sz w:val="16"/>
              </w:rPr>
              <w:t>NO.</w:t>
            </w:r>
          </w:p>
        </w:tc>
      </w:tr>
      <w:tr>
        <w:trPr>
          <w:cantSplit/>
        </w:trPr>
        <w:tc>
          <w:tcPr>
            <w:tcW w:type="dxa" w:w="3456"/>
            <w:vAlign w:val="center"/>
          </w:tcPr>
          <w:p>
            <w:pPr>
              <w:spacing w:after="0"/>
            </w:pPr>
            <w:r/>
            <w:r>
              <w:rPr>
                <w:rFonts w:ascii="Aptos" w:hAnsi="Aptos"/>
                <w:b w:val="0"/>
                <w:sz w:val="16"/>
              </w:rPr>
              <w:t>Phase 42 required</w:t>
            </w:r>
          </w:p>
        </w:tc>
        <w:tc>
          <w:tcPr>
            <w:tcW w:type="dxa" w:w="6912"/>
            <w:vAlign w:val="center"/>
          </w:tcPr>
          <w:p>
            <w:pPr>
              <w:spacing w:after="0"/>
            </w:pPr>
            <w:r/>
            <w:r>
              <w:rPr>
                <w:rFonts w:ascii="Aptos" w:hAnsi="Aptos"/>
                <w:b w:val="0"/>
                <w:sz w:val="16"/>
              </w:rPr>
              <w:t>NO, absent defined reopen trigger.</w:t>
            </w:r>
          </w:p>
        </w:tc>
      </w:tr>
      <w:tr>
        <w:trPr>
          <w:cantSplit/>
        </w:trPr>
        <w:tc>
          <w:tcPr>
            <w:tcW w:type="dxa" w:w="3456"/>
            <w:vAlign w:val="center"/>
            <w:shd w:fill="EAF0F8"/>
          </w:tcPr>
          <w:p>
            <w:pPr>
              <w:spacing w:after="0"/>
            </w:pPr>
            <w:r/>
            <w:r>
              <w:rPr>
                <w:rFonts w:ascii="Aptos" w:hAnsi="Aptos"/>
                <w:b w:val="0"/>
                <w:sz w:val="16"/>
              </w:rPr>
              <w:t>Stage 0 baseline</w:t>
            </w:r>
          </w:p>
        </w:tc>
        <w:tc>
          <w:tcPr>
            <w:tcW w:type="dxa" w:w="6912"/>
            <w:vAlign w:val="center"/>
            <w:shd w:fill="EAF0F8"/>
          </w:tcPr>
          <w:p>
            <w:r>
              <w:t>0A ESTABLISHED. 0B PENDING: full Master Invariant Register must be imported and machine-checked for zero orphan mandatory invariants before formal Stage 1 exit/promotion.</w:t>
            </w:r>
          </w:p>
        </w:tc>
      </w:tr>
      <w:tr>
        <w:trPr>
          <w:cantSplit/>
        </w:trPr>
        <w:tc>
          <w:tcPr>
            <w:tcW w:type="dxa" w:w="3456"/>
            <w:vAlign w:val="center"/>
          </w:tcPr>
          <w:p>
            <w:pPr>
              <w:spacing w:after="0"/>
            </w:pPr>
            <w:r/>
            <w:r>
              <w:rPr>
                <w:rFonts w:ascii="Aptos" w:hAnsi="Aptos"/>
                <w:b w:val="0"/>
                <w:sz w:val="16"/>
              </w:rPr>
              <w:t>Stage 1 engineering work</w:t>
            </w:r>
          </w:p>
        </w:tc>
        <w:tc>
          <w:tcPr>
            <w:tcW w:type="dxa" w:w="6912"/>
            <w:vAlign w:val="center"/>
          </w:tcPr>
          <w:p>
            <w:r>
              <w:t>BOOTSTRAP MAY BEGIN under non-executable constraints; formal Stage 1 completion/promotion requires Stage 0B traceability closure.</w:t>
            </w:r>
          </w:p>
        </w:tc>
      </w:tr>
      <w:tr>
        <w:trPr>
          <w:cantSplit/>
        </w:trPr>
        <w:tc>
          <w:tcPr>
            <w:tcW w:type="dxa" w:w="3456"/>
            <w:vAlign w:val="center"/>
            <w:shd w:fill="EAF0F8"/>
          </w:tcPr>
          <w:p>
            <w:pPr>
              <w:spacing w:after="0"/>
            </w:pPr>
            <w:r/>
            <w:r>
              <w:rPr>
                <w:rFonts w:ascii="Aptos" w:hAnsi="Aptos"/>
                <w:b w:val="0"/>
                <w:sz w:val="16"/>
              </w:rPr>
              <w:t>Research execution</w:t>
            </w:r>
          </w:p>
        </w:tc>
        <w:tc>
          <w:tcPr>
            <w:tcW w:type="dxa" w:w="6912"/>
            <w:vAlign w:val="center"/>
            <w:shd w:fill="EAF0F8"/>
          </w:tcPr>
          <w:p>
            <w:pPr>
              <w:spacing w:after="0"/>
            </w:pPr>
            <w:r/>
            <w:r>
              <w:rPr>
                <w:rFonts w:ascii="Aptos" w:hAnsi="Aptos"/>
                <w:b w:val="0"/>
                <w:sz w:val="16"/>
              </w:rPr>
              <w:t>Only isolated, governed and non-executable.</w:t>
            </w:r>
          </w:p>
        </w:tc>
      </w:tr>
      <w:tr>
        <w:trPr>
          <w:cantSplit/>
        </w:trPr>
        <w:tc>
          <w:tcPr>
            <w:tcW w:type="dxa" w:w="3456"/>
            <w:vAlign w:val="center"/>
          </w:tcPr>
          <w:p>
            <w:pPr>
              <w:spacing w:after="0"/>
            </w:pPr>
            <w:r/>
            <w:r>
              <w:rPr>
                <w:rFonts w:ascii="Aptos" w:hAnsi="Aptos"/>
                <w:b w:val="0"/>
                <w:sz w:val="16"/>
              </w:rPr>
              <w:t>Backtest</w:t>
            </w:r>
          </w:p>
        </w:tc>
        <w:tc>
          <w:tcPr>
            <w:tcW w:type="dxa" w:w="6912"/>
            <w:vAlign w:val="center"/>
          </w:tcPr>
          <w:p>
            <w:pPr>
              <w:spacing w:after="0"/>
            </w:pPr>
            <w:r/>
            <w:r>
              <w:rPr>
                <w:rFonts w:ascii="Aptos" w:hAnsi="Aptos"/>
                <w:b w:val="0"/>
                <w:sz w:val="16"/>
              </w:rPr>
              <w:t>Conditional on point-in-time and experiment controls.</w:t>
            </w:r>
          </w:p>
        </w:tc>
      </w:tr>
      <w:tr>
        <w:trPr>
          <w:cantSplit/>
        </w:trPr>
        <w:tc>
          <w:tcPr>
            <w:tcW w:type="dxa" w:w="3456"/>
            <w:vAlign w:val="center"/>
            <w:shd w:fill="EAF0F8"/>
          </w:tcPr>
          <w:p>
            <w:pPr>
              <w:spacing w:after="0"/>
            </w:pPr>
            <w:r/>
            <w:r>
              <w:rPr>
                <w:rFonts w:ascii="Aptos" w:hAnsi="Aptos"/>
                <w:b w:val="0"/>
                <w:sz w:val="16"/>
              </w:rPr>
              <w:t>Shadow/paper</w:t>
            </w:r>
          </w:p>
        </w:tc>
        <w:tc>
          <w:tcPr>
            <w:tcW w:type="dxa" w:w="6912"/>
            <w:vAlign w:val="center"/>
            <w:shd w:fill="EAF0F8"/>
          </w:tcPr>
          <w:p>
            <w:pPr>
              <w:spacing w:after="0"/>
            </w:pPr>
            <w:r/>
            <w:r>
              <w:rPr>
                <w:rFonts w:ascii="Aptos" w:hAnsi="Aptos"/>
                <w:b w:val="0"/>
                <w:sz w:val="16"/>
              </w:rPr>
              <w:t>NOT AUTHORIZED.</w:t>
            </w:r>
          </w:p>
        </w:tc>
      </w:tr>
      <w:tr>
        <w:trPr>
          <w:cantSplit/>
        </w:trPr>
        <w:tc>
          <w:tcPr>
            <w:tcW w:type="dxa" w:w="3456"/>
            <w:vAlign w:val="center"/>
          </w:tcPr>
          <w:p>
            <w:pPr>
              <w:spacing w:after="0"/>
            </w:pPr>
            <w:r/>
            <w:r>
              <w:rPr>
                <w:rFonts w:ascii="Aptos" w:hAnsi="Aptos"/>
                <w:b w:val="0"/>
                <w:sz w:val="16"/>
              </w:rPr>
              <w:t>Canary/production/live capital</w:t>
            </w:r>
          </w:p>
        </w:tc>
        <w:tc>
          <w:tcPr>
            <w:tcW w:type="dxa" w:w="6912"/>
            <w:vAlign w:val="center"/>
          </w:tcPr>
          <w:p>
            <w:pPr>
              <w:spacing w:after="0"/>
            </w:pPr>
            <w:r/>
            <w:r>
              <w:rPr>
                <w:rFonts w:ascii="Aptos" w:hAnsi="Aptos"/>
                <w:b w:val="0"/>
                <w:sz w:val="16"/>
              </w:rPr>
              <w:t>NOT AUTHORIZED.</w:t>
            </w:r>
          </w:p>
        </w:tc>
      </w:tr>
      <w:tr>
        <w:trPr>
          <w:cantSplit/>
        </w:trPr>
        <w:tc>
          <w:tcPr>
            <w:tcW w:type="dxa" w:w="3456"/>
            <w:vAlign w:val="center"/>
            <w:shd w:fill="EAF0F8"/>
          </w:tcPr>
          <w:p>
            <w:pPr>
              <w:spacing w:after="0"/>
            </w:pPr>
            <w:r/>
            <w:r>
              <w:rPr>
                <w:rFonts w:ascii="Aptos" w:hAnsi="Aptos"/>
                <w:b w:val="0"/>
                <w:sz w:val="16"/>
              </w:rPr>
              <w:t>First executable milestone</w:t>
            </w:r>
          </w:p>
        </w:tc>
        <w:tc>
          <w:tcPr>
            <w:tcW w:type="dxa" w:w="6912"/>
            <w:vAlign w:val="center"/>
            <w:shd w:fill="EAF0F8"/>
          </w:tcPr>
          <w:p>
            <w:pPr>
              <w:spacing w:after="0"/>
            </w:pPr>
            <w:r/>
            <w:r>
              <w:rPr>
                <w:rFonts w:ascii="Aptos" w:hAnsi="Aptos"/>
                <w:b w:val="0"/>
                <w:sz w:val="16"/>
              </w:rPr>
              <w:t>M1 Safe Engineering Kernel.</w:t>
            </w:r>
          </w:p>
        </w:tc>
      </w:tr>
    </w:tbl>
    <w:p>
      <w:pPr>
        <w:spacing w:after="0"/>
      </w:pPr>
    </w:p>
    <w:p>
      <w:pPr>
        <w:pStyle w:val="Heading1"/>
      </w:pPr>
      <w:r>
        <w:t>17.1 Immediate next specification sequence</w:t>
      </w:r>
    </w:p>
    <w:p>
      <w:pPr>
        <w:spacing w:after="20"/>
        <w:ind w:left="216" w:hanging="216"/>
      </w:pPr>
      <w:r>
        <w:t>1.  Create the machine-readable architecture-to-code traceability matrix and import the full Master Invariant Register.</w:t>
      </w:r>
    </w:p>
    <w:p>
      <w:pPr>
        <w:spacing w:after="20"/>
        <w:ind w:left="216" w:hanging="216"/>
      </w:pPr>
      <w:r>
        <w:t>2.  Specify repository bootstrap, CI policy, environment matrix and dependency governance for M1.</w:t>
      </w:r>
    </w:p>
    <w:p>
      <w:pPr>
        <w:spacing w:after="20"/>
        <w:ind w:left="216" w:hanging="216"/>
      </w:pPr>
      <w:r>
        <w:t>3.  Specify canonical ID, time, Money, Quantity, event-envelope, decision and NO-TRADE contracts.</w:t>
      </w:r>
    </w:p>
    <w:p>
      <w:pPr>
        <w:spacing w:after="20"/>
        <w:ind w:left="216" w:hanging="216"/>
      </w:pPr>
      <w:r>
        <w:t>4.  Specify the initial PostgreSQL event/outbox/inbox schema and migrations.</w:t>
      </w:r>
    </w:p>
    <w:p>
      <w:pPr>
        <w:spacing w:after="20"/>
        <w:ind w:left="216" w:hanging="216"/>
      </w:pPr>
      <w:r>
        <w:t>5.  Implement M1 with tests and produce its evidence manifest.</w:t>
      </w:r>
    </w:p>
    <w:p>
      <w:pPr>
        <w:spacing w:after="80"/>
      </w:pPr>
      <w:r>
        <w:t>This sequence advances implementation evidence without changing any authorization status. No live-trading path is created.</w:t>
      </w:r>
    </w:p>
    <w:p>
      <w:pPr>
        <w:pStyle w:val="Heading1"/>
      </w:pPr>
      <w:r>
        <w:t>18. Controlled Corrections and Baseline Closure Conditions</w:t>
      </w:r>
    </w:p>
    <w:p>
      <w:pPr>
        <w:pStyle w:val="Heading2"/>
      </w:pPr>
      <w:r>
        <w:t>18.1 Stage 0 split</w:t>
      </w:r>
    </w:p>
    <w:p>
      <w:r>
        <w:t>Stage 0A (baseline architecture and implementation framework) is established. Stage 0B (complete audit/invariant-to-implementation traceability) remains pending until the full Master Invariant Register is imported and a machine-readable coverage report demonstrates zero orphan mandatory invariants. Repository and CI bootstrap may proceed, but Stage 1 may not be formally completed or promoted while Stage 0B is open.</w:t>
      </w:r>
    </w:p>
    <w:p>
      <w:pPr>
        <w:pStyle w:val="Heading2"/>
      </w:pPr>
      <w:r>
        <w:t>18.2 Traceability closure</w:t>
      </w:r>
    </w:p>
    <w:p>
      <w:r>
        <w:t>Every mandatory canonical invariant must map to one or more atomic implementation requirements, an owning component/module, affected contract/schema/state machine where applicable, positive and negative/failure-path tests, monitoring/control, objective evidence and lifecycle gate. A reviewed NOT_APPLICABLE disposition is permitted only with attributable rationale. Missing historical wording must not be fabricated.</w:t>
      </w:r>
    </w:p>
    <w:p>
      <w:pPr>
        <w:pStyle w:val="Heading2"/>
      </w:pPr>
      <w:r>
        <w:t>18.3 Provenance status</w:t>
      </w:r>
    </w:p>
    <w:p>
      <w:r>
        <w:t>Every traceability record must carry provenance_status = CONFIRMED, RECONSTRUCTED, INFERRED or UNRESOLVED. Engineering inference must never silently acquire canonical/audit status.</w:t>
      </w:r>
    </w:p>
    <w:p>
      <w:pPr>
        <w:pStyle w:val="Heading2"/>
      </w:pPr>
      <w:r>
        <w:t>18.4 Security lifecycle</w:t>
      </w:r>
    </w:p>
    <w:p>
      <w:r>
        <w:t>Security is cross-cutting from Stage 1 onward. Stage 9 is the integrated hardening, adversarial validation and operational-readiness stage; it is not the first point at which security controls are implemented.</w:t>
      </w:r>
    </w:p>
    <w:p>
      <w:pPr>
        <w:pStyle w:val="Heading2"/>
      </w:pPr>
      <w:r>
        <w:t>18.5 Broker capability boundary</w:t>
      </w:r>
    </w:p>
    <w:p>
      <w:r>
        <w:t>Through Stage 10, broker work is limited to canonical ports, deterministic simulators, mocks, fault-injection adapters and conformance fixtures. A network-capable production broker adapter, production credential path or live submission capability is prohibited unless a later explicit lifecycle authorization permits it.</w:t>
      </w:r>
    </w:p>
    <w:p>
      <w:pPr>
        <w:pStyle w:val="Heading2"/>
      </w:pPr>
      <w:r>
        <w:t>18.6 Delivery versus accounting semantics</w:t>
      </w:r>
    </w:p>
    <w:p>
      <w:r>
        <w:t>Message/event delivery may be at-least-once. Authoritative financial effects must be effectively-once through durable identity, deduplication, idempotent application, fencing and reconciliation. No infrastructure component may be assumed to provide magical end-to-end exactly-once delivery.</w:t>
      </w:r>
    </w:p>
    <w:p>
      <w:pPr>
        <w:pStyle w:val="Heading2"/>
      </w:pPr>
      <w:r>
        <w:t>18.7 Reservation expiry</w:t>
      </w:r>
    </w:p>
    <w:p>
      <w:r>
        <w:t>Expiry of reservation authority does not prove that unresolved external liability disappeared. Unresolved order/broker effects retain conservative capital/risk holds until authoritative lifecycle/reconciliation evidence permits release.</w:t>
      </w:r>
    </w:p>
    <w:p>
      <w:pPr>
        <w:pStyle w:val="Heading2"/>
      </w:pPr>
      <w:r>
        <w:t>18.8 Broker observation freshness</w:t>
      </w:r>
    </w:p>
    <w:p>
      <w:r>
        <w:t>Broker evidence is authoritative for external reality as observed, but is never timeless. Every authorization-relevant broker/account observation must carry source, observation time, freshness/quality state and applicable authority epoch; stale, conflicting or unverifiable observations cannot satisfy a current exposure-increase gate.</w:t>
      </w:r>
    </w:p>
    <w:p>
      <w:pPr>
        <w:pStyle w:val="Heading2"/>
      </w:pPr>
      <w:r>
        <w:t>18.9 Atomic requirement rule</w:t>
      </w:r>
    </w:p>
    <w:p>
      <w:r>
        <w:t>IMP requirements used for implementation acceptance must be atomic. If only part of a requirement belongs to a milestone, decompose it into stable child requirements rather than marking an undefined 'portion' complete.</w:t>
      </w:r>
    </w:p>
    <w:p>
      <w:pPr>
        <w:pStyle w:val="Heading2"/>
      </w:pPr>
      <w:r>
        <w:t>18.10 Gate completeness</w:t>
      </w:r>
    </w:p>
    <w:p>
      <w:r>
        <w:t>Every build stage must have an explicit evidence gate or an explicitly documented non-promotional completion gate. Passing a stage gate never by itself grants paper, canary, production or live-capital authority.</w:t>
      </w:r>
    </w:p>
    <w:p>
      <w:pPr>
        <w:pStyle w:val="Heading2"/>
      </w:pPr>
      <w:r>
        <w:t>18.11 Corrected baseline decision</w:t>
      </w:r>
    </w:p>
    <w:p>
      <w:r>
        <w:t>Implementation Specification v1.0 Corrected - Final is internally verified as the controlled engineering baseline, with final implementation-baseline freeze pending Stage 0B traceability closure. No Master Audit restart or Phase 42 is required by these corrections. The architecture remains accepted; the remaining mandatory pre-freeze action is Stage 0B traceability closure against the complete Master Invariant Register. LIVE TRADING, CANARY, PAPER AND SHADOW EXECUTION REMAIN UNAUTHORIZED unless separately promoted through their defined evidence and authorization gates.</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Automated Trading Bot • Implementation Specification v1.0 Corrected - Final • Controlled baseline • LIVE TRADING NOT AUTHORIZED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F8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88"/>
    </w:pPr>
    <w:rPr>
      <w:rFonts w:ascii="Consolas" w:hAnsi="Consolas"/>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Trading Bot Implementation Specification v1.0 - Baseline and Build Decomposition</dc:title>
  <dc:subject>Implementation baseline for Technical Design v1.3 and Master Audit through Phase 41</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