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s-MX"/>
        </w:rPr>
      </w:pPr>
      <w:r>
        <w:rPr>
          <w:rFonts w:hint="default"/>
          <w:lang w:val="es-MX"/>
        </w:rPr>
        <w:t>Backtracking</w:t>
      </w:r>
    </w:p>
    <w:p>
      <w:pPr>
        <w:rPr>
          <w:rFonts w:hint="default"/>
          <w:lang w:val="es-MX"/>
        </w:rPr>
      </w:pPr>
    </w:p>
    <w:p>
      <w:pPr>
        <w:rPr>
          <w:rFonts w:hint="default"/>
          <w:lang w:val="es-MX"/>
        </w:rPr>
      </w:pPr>
    </w:p>
    <w:p>
      <w:pPr>
        <w:rPr>
          <w:rFonts w:hint="default"/>
          <w:lang w:val="es-MX"/>
        </w:rPr>
      </w:pPr>
    </w:p>
    <w:p>
      <w:pPr>
        <w:rPr>
          <w:rFonts w:hint="default"/>
          <w:lang w:val="es-MX"/>
        </w:rPr>
      </w:pPr>
      <w:r>
        <w:rPr>
          <w:rFonts w:hint="default"/>
          <w:lang w:val="es-MX"/>
        </w:rPr>
        <w:t>Greedy</w:t>
      </w:r>
    </w:p>
    <w:p>
      <w:r>
        <w:drawing>
          <wp:inline distT="0" distB="0" distL="114300" distR="114300">
            <wp:extent cx="3440430" cy="4091305"/>
            <wp:effectExtent l="0" t="0" r="762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4"/>
                    <a:stretch>
                      <a:fillRect/>
                    </a:stretch>
                  </pic:blipFill>
                  <pic:spPr>
                    <a:xfrm>
                      <a:off x="0" y="0"/>
                      <a:ext cx="3440430" cy="4091305"/>
                    </a:xfrm>
                    <a:prstGeom prst="rect">
                      <a:avLst/>
                    </a:prstGeom>
                    <a:noFill/>
                    <a:ln>
                      <a:noFill/>
                    </a:ln>
                  </pic:spPr>
                </pic:pic>
              </a:graphicData>
            </a:graphic>
          </wp:inline>
        </w:drawing>
      </w:r>
    </w:p>
    <w:p>
      <w:r>
        <w:drawing>
          <wp:inline distT="0" distB="0" distL="114300" distR="114300">
            <wp:extent cx="2320290" cy="922020"/>
            <wp:effectExtent l="0" t="0" r="3810" b="1143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pic:cNvPicPr>
                  </pic:nvPicPr>
                  <pic:blipFill>
                    <a:blip r:embed="rId5"/>
                    <a:stretch>
                      <a:fillRect/>
                    </a:stretch>
                  </pic:blipFill>
                  <pic:spPr>
                    <a:xfrm>
                      <a:off x="0" y="0"/>
                      <a:ext cx="2320290" cy="922020"/>
                    </a:xfrm>
                    <a:prstGeom prst="rect">
                      <a:avLst/>
                    </a:prstGeom>
                    <a:noFill/>
                    <a:ln>
                      <a:noFill/>
                    </a:ln>
                  </pic:spPr>
                </pic:pic>
              </a:graphicData>
            </a:graphic>
          </wp:inline>
        </w:drawing>
      </w:r>
    </w:p>
    <w:p>
      <w:r>
        <w:drawing>
          <wp:inline distT="0" distB="0" distL="114300" distR="114300">
            <wp:extent cx="2273300" cy="1630045"/>
            <wp:effectExtent l="0" t="0" r="12700"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pic:cNvPicPr>
                  </pic:nvPicPr>
                  <pic:blipFill>
                    <a:blip r:embed="rId6"/>
                    <a:stretch>
                      <a:fillRect/>
                    </a:stretch>
                  </pic:blipFill>
                  <pic:spPr>
                    <a:xfrm>
                      <a:off x="0" y="0"/>
                      <a:ext cx="2273300" cy="1630045"/>
                    </a:xfrm>
                    <a:prstGeom prst="rect">
                      <a:avLst/>
                    </a:prstGeom>
                    <a:noFill/>
                    <a:ln>
                      <a:noFill/>
                    </a:ln>
                  </pic:spPr>
                </pic:pic>
              </a:graphicData>
            </a:graphic>
          </wp:inline>
        </w:drawing>
      </w:r>
    </w:p>
    <w:p/>
    <w:p/>
    <w:p/>
    <w:p/>
    <w:p/>
    <w:p/>
    <w:p/>
    <w:p/>
    <w:p/>
    <w:p>
      <w:pPr>
        <w:rPr>
          <w:rFonts w:hint="default"/>
          <w:lang w:val="es-MX"/>
        </w:rPr>
      </w:pPr>
      <w:r>
        <w:rPr>
          <w:rFonts w:hint="default"/>
          <w:lang w:val="es-MX"/>
        </w:rPr>
        <w:t>Divide y vencerás</w:t>
      </w:r>
    </w:p>
    <w:p>
      <w:pPr>
        <w:rPr>
          <w:rFonts w:hint="default"/>
          <w:lang w:val="es-MX"/>
        </w:rPr>
      </w:pPr>
    </w:p>
    <w:p>
      <w:r>
        <w:drawing>
          <wp:inline distT="0" distB="0" distL="114300" distR="114300">
            <wp:extent cx="2865755" cy="2499995"/>
            <wp:effectExtent l="0" t="0" r="10795" b="146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pic:cNvPicPr>
                  </pic:nvPicPr>
                  <pic:blipFill>
                    <a:blip r:embed="rId7"/>
                    <a:stretch>
                      <a:fillRect/>
                    </a:stretch>
                  </pic:blipFill>
                  <pic:spPr>
                    <a:xfrm>
                      <a:off x="0" y="0"/>
                      <a:ext cx="2865755" cy="2499995"/>
                    </a:xfrm>
                    <a:prstGeom prst="rect">
                      <a:avLst/>
                    </a:prstGeom>
                    <a:noFill/>
                    <a:ln>
                      <a:noFill/>
                    </a:ln>
                  </pic:spPr>
                </pic:pic>
              </a:graphicData>
            </a:graphic>
          </wp:inline>
        </w:drawing>
      </w:r>
    </w:p>
    <w:p>
      <w:pPr>
        <w:rPr>
          <w:rFonts w:hint="default"/>
          <w:lang w:val="es-MX"/>
        </w:rPr>
      </w:pPr>
      <w:r>
        <w:drawing>
          <wp:inline distT="0" distB="0" distL="114300" distR="114300">
            <wp:extent cx="2108835" cy="2908935"/>
            <wp:effectExtent l="0" t="0" r="5715"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a:picLocks noChangeAspect="1"/>
                    </pic:cNvPicPr>
                  </pic:nvPicPr>
                  <pic:blipFill>
                    <a:blip r:embed="rId8"/>
                    <a:stretch>
                      <a:fillRect/>
                    </a:stretch>
                  </pic:blipFill>
                  <pic:spPr>
                    <a:xfrm>
                      <a:off x="0" y="0"/>
                      <a:ext cx="2108835" cy="2908935"/>
                    </a:xfrm>
                    <a:prstGeom prst="rect">
                      <a:avLst/>
                    </a:prstGeom>
                    <a:noFill/>
                    <a:ln>
                      <a:noFill/>
                    </a:ln>
                  </pic:spPr>
                </pic:pic>
              </a:graphicData>
            </a:graphic>
          </wp:inline>
        </w:drawing>
      </w:r>
    </w:p>
    <w:p>
      <w:pPr>
        <w:rPr>
          <w:rFonts w:hint="default"/>
          <w:lang w:val="es-MX"/>
        </w:rPr>
      </w:pPr>
    </w:p>
    <w:p>
      <w:pPr>
        <w:rPr>
          <w:rFonts w:hint="default"/>
          <w:lang w:val="es-MX"/>
        </w:rPr>
      </w:pPr>
      <w:r>
        <w:rPr>
          <w:rFonts w:hint="default"/>
          <w:lang w:val="es-MX"/>
        </w:rPr>
        <w:t>Programación dinámica:</w:t>
      </w:r>
    </w:p>
    <w:p>
      <w:pPr>
        <w:rPr>
          <w:rFonts w:hint="default"/>
          <w:lang w:val="es-MX"/>
        </w:rPr>
      </w:pPr>
    </w:p>
    <w:p>
      <w:pPr>
        <w:rPr>
          <w:rFonts w:hint="default"/>
          <w:lang w:val="es-MX"/>
        </w:rPr>
      </w:pPr>
      <w:r>
        <w:rPr>
          <w:rFonts w:hint="default"/>
          <w:lang w:val="es-MX"/>
        </w:rPr>
        <w:t>12)</w:t>
      </w:r>
    </w:p>
    <w:p>
      <w:pPr>
        <w:rPr>
          <w:rFonts w:hint="default"/>
          <w:lang w:val="es-MX"/>
        </w:rPr>
      </w:pPr>
      <w:r>
        <w:rPr>
          <w:rFonts w:hint="default"/>
          <w:lang w:val="es-MX"/>
        </w:rPr>
        <w:t>darCambio: Se crea utiliza una tabla del tamaño tipos de monedas x n. El caso base es 0 pesos y 1 peso. Se va rellenando la tabla, para el caso de la moneda de 1 peso, será la cantidad de pesos. Luego, para las diferentes monedas, se rellena igual que la fila anterior, hasta que llega que tipo de moneda = cantidad de pesos. En ese momento, se resta el tipo de moneda a la cantidad de pesos considerados (incrementando el contador) hasta que se pueda utilizar algún caso de los anteriores ya completados. Finalmente, la respuesta queda en la última posición en la parte inferior derecha de la tabla.</w:t>
      </w:r>
    </w:p>
    <w:p>
      <w:pPr>
        <w:rPr>
          <w:rFonts w:hint="default"/>
          <w:lang w:val="es-MX"/>
        </w:rPr>
      </w:pPr>
    </w:p>
    <w:p>
      <w:pPr>
        <w:rPr>
          <w:rFonts w:hint="default"/>
          <w:lang w:val="es-MX"/>
        </w:rPr>
      </w:pPr>
      <w:r>
        <w:rPr>
          <w:rFonts w:hint="default"/>
          <w:lang w:val="es-MX"/>
        </w:rPr>
        <w:t>13)</w:t>
      </w:r>
    </w:p>
    <w:p>
      <w:pPr>
        <w:rPr>
          <w:rFonts w:hint="default"/>
          <w:lang w:val="es-MX"/>
        </w:rPr>
      </w:pPr>
      <w:r>
        <w:rPr>
          <w:rFonts w:hint="default"/>
          <w:lang w:val="es-MX"/>
        </w:rPr>
        <w:t>Se puede hacer una tabla de n+1 x k+1 (Para incluir el 0 o caso base). Se ponen todos los números del conjunto ordenados como filas (incluyendo el 0). Y todos los números desde 0 hasta k como columnas. La tabla se va rellenando incluyendo 1 si es posible llegar al número de la columna con el número de la fila (o los otros de la tabla vistos hasta el momento). Si el número de la columna es menor que el de la fila, probablemente ya haya sido revisado y se puede utilizar esa información para completar, si es más grande, se resta el número de la fila al de la columna y nos fijamos si podemos utilizar algún caso visto anteriormente. La respuesta quedará al final de la tabla, en la parte inferior derecha.</w:t>
      </w:r>
    </w:p>
    <w:p>
      <w:pPr>
        <w:rPr>
          <w:rFonts w:hint="default"/>
          <w:lang w:val="es-MX"/>
        </w:rPr>
      </w:pPr>
    </w:p>
    <w:p>
      <w:pPr>
        <w:rPr>
          <w:rFonts w:hint="default"/>
          <w:lang w:val="es-MX"/>
        </w:rPr>
      </w:pPr>
      <w:r>
        <w:rPr>
          <w:rFonts w:hint="default"/>
          <w:lang w:val="es-MX"/>
        </w:rPr>
        <w:t>Un ejemplo con el conjunto {1, 2, 3, 4} y k = 4</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419"/>
        <w:gridCol w:w="1419"/>
        <w:gridCol w:w="1419"/>
        <w:gridCol w:w="1420"/>
        <w:gridCol w:w="1420"/>
        <w:gridCol w:w="1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19" w:type="dxa"/>
          </w:tcPr>
          <w:p>
            <w:pPr>
              <w:jc w:val="center"/>
              <w:rPr>
                <w:rFonts w:hint="default"/>
                <w:vertAlign w:val="baseline"/>
                <w:lang w:val="es-MX"/>
              </w:rPr>
            </w:pPr>
          </w:p>
        </w:tc>
        <w:tc>
          <w:tcPr>
            <w:tcW w:w="1419" w:type="dxa"/>
          </w:tcPr>
          <w:p>
            <w:pPr>
              <w:jc w:val="center"/>
              <w:rPr>
                <w:rFonts w:hint="default"/>
                <w:vertAlign w:val="baseline"/>
                <w:lang w:val="es-MX"/>
              </w:rPr>
            </w:pPr>
            <w:r>
              <w:rPr>
                <w:rFonts w:hint="default"/>
                <w:vertAlign w:val="baseline"/>
                <w:lang w:val="es-MX"/>
              </w:rPr>
              <w:t>0</w:t>
            </w:r>
          </w:p>
        </w:tc>
        <w:tc>
          <w:tcPr>
            <w:tcW w:w="1419" w:type="dxa"/>
          </w:tcPr>
          <w:p>
            <w:pPr>
              <w:jc w:val="center"/>
              <w:rPr>
                <w:rFonts w:hint="default"/>
                <w:vertAlign w:val="baseline"/>
                <w:lang w:val="es-MX"/>
              </w:rPr>
            </w:pPr>
            <w:r>
              <w:rPr>
                <w:rFonts w:hint="default"/>
                <w:vertAlign w:val="baseline"/>
                <w:lang w:val="es-MX"/>
              </w:rPr>
              <w:t>1</w:t>
            </w:r>
          </w:p>
        </w:tc>
        <w:tc>
          <w:tcPr>
            <w:tcW w:w="1420" w:type="dxa"/>
          </w:tcPr>
          <w:p>
            <w:pPr>
              <w:jc w:val="center"/>
              <w:rPr>
                <w:rFonts w:hint="default"/>
                <w:vertAlign w:val="baseline"/>
                <w:lang w:val="es-MX"/>
              </w:rPr>
            </w:pPr>
            <w:r>
              <w:rPr>
                <w:rFonts w:hint="default"/>
                <w:vertAlign w:val="baseline"/>
                <w:lang w:val="es-MX"/>
              </w:rPr>
              <w:t>2</w:t>
            </w:r>
          </w:p>
        </w:tc>
        <w:tc>
          <w:tcPr>
            <w:tcW w:w="1420" w:type="dxa"/>
          </w:tcPr>
          <w:p>
            <w:pPr>
              <w:jc w:val="center"/>
              <w:rPr>
                <w:rFonts w:hint="default"/>
                <w:vertAlign w:val="baseline"/>
                <w:lang w:val="es-MX"/>
              </w:rPr>
            </w:pPr>
            <w:r>
              <w:rPr>
                <w:rFonts w:hint="default"/>
                <w:vertAlign w:val="baseline"/>
                <w:lang w:val="es-MX"/>
              </w:rPr>
              <w:t>3</w:t>
            </w:r>
          </w:p>
        </w:tc>
        <w:tc>
          <w:tcPr>
            <w:tcW w:w="1420" w:type="dxa"/>
          </w:tcPr>
          <w:p>
            <w:pPr>
              <w:jc w:val="center"/>
              <w:rPr>
                <w:rFonts w:hint="default"/>
                <w:vertAlign w:val="baseline"/>
                <w:lang w:val="es-MX"/>
              </w:rPr>
            </w:pPr>
            <w:r>
              <w:rPr>
                <w:rFonts w:hint="default"/>
                <w:vertAlign w:val="baseline"/>
                <w:lang w:val="es-MX"/>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19" w:type="dxa"/>
          </w:tcPr>
          <w:p>
            <w:pPr>
              <w:jc w:val="center"/>
              <w:rPr>
                <w:rFonts w:hint="default"/>
                <w:vertAlign w:val="baseline"/>
                <w:lang w:val="es-MX"/>
              </w:rPr>
            </w:pPr>
            <w:r>
              <w:rPr>
                <w:rFonts w:hint="default"/>
                <w:vertAlign w:val="baseline"/>
                <w:lang w:val="es-MX"/>
              </w:rPr>
              <w:t>0</w:t>
            </w:r>
          </w:p>
        </w:tc>
        <w:tc>
          <w:tcPr>
            <w:tcW w:w="1419" w:type="dxa"/>
          </w:tcPr>
          <w:p>
            <w:pPr>
              <w:jc w:val="center"/>
              <w:rPr>
                <w:rFonts w:hint="default"/>
                <w:vertAlign w:val="baseline"/>
                <w:lang w:val="es-MX"/>
              </w:rPr>
            </w:pPr>
            <w:r>
              <w:rPr>
                <w:rFonts w:hint="default"/>
                <w:vertAlign w:val="baseline"/>
                <w:lang w:val="es-MX"/>
              </w:rPr>
              <w:t>1</w:t>
            </w:r>
          </w:p>
        </w:tc>
        <w:tc>
          <w:tcPr>
            <w:tcW w:w="1419" w:type="dxa"/>
          </w:tcPr>
          <w:p>
            <w:pPr>
              <w:jc w:val="center"/>
              <w:rPr>
                <w:rFonts w:hint="default"/>
                <w:vertAlign w:val="baseline"/>
                <w:lang w:val="es-MX"/>
              </w:rPr>
            </w:pPr>
            <w:r>
              <w:rPr>
                <w:rFonts w:hint="default"/>
                <w:vertAlign w:val="baseline"/>
                <w:lang w:val="es-MX"/>
              </w:rPr>
              <w:t>1</w:t>
            </w:r>
          </w:p>
        </w:tc>
        <w:tc>
          <w:tcPr>
            <w:tcW w:w="1420" w:type="dxa"/>
          </w:tcPr>
          <w:p>
            <w:pPr>
              <w:jc w:val="center"/>
              <w:rPr>
                <w:rFonts w:hint="default"/>
                <w:vertAlign w:val="baseline"/>
                <w:lang w:val="es-MX"/>
              </w:rPr>
            </w:pPr>
            <w:r>
              <w:rPr>
                <w:rFonts w:hint="default"/>
                <w:vertAlign w:val="baseline"/>
                <w:lang w:val="es-MX"/>
              </w:rPr>
              <w:t>1</w:t>
            </w:r>
          </w:p>
        </w:tc>
        <w:tc>
          <w:tcPr>
            <w:tcW w:w="1420" w:type="dxa"/>
          </w:tcPr>
          <w:p>
            <w:pPr>
              <w:jc w:val="center"/>
              <w:rPr>
                <w:rFonts w:hint="default"/>
                <w:vertAlign w:val="baseline"/>
                <w:lang w:val="es-MX"/>
              </w:rPr>
            </w:pPr>
            <w:r>
              <w:rPr>
                <w:rFonts w:hint="default"/>
                <w:vertAlign w:val="baseline"/>
                <w:lang w:val="es-MX"/>
              </w:rPr>
              <w:t>1</w:t>
            </w:r>
          </w:p>
        </w:tc>
        <w:tc>
          <w:tcPr>
            <w:tcW w:w="1420" w:type="dxa"/>
          </w:tcPr>
          <w:p>
            <w:pPr>
              <w:jc w:val="center"/>
              <w:rPr>
                <w:rFonts w:hint="default"/>
                <w:vertAlign w:val="baseline"/>
                <w:lang w:val="es-MX"/>
              </w:rPr>
            </w:pPr>
            <w:r>
              <w:rPr>
                <w:rFonts w:hint="default"/>
                <w:vertAlign w:val="baseline"/>
                <w:lang w:val="es-MX"/>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19" w:type="dxa"/>
          </w:tcPr>
          <w:p>
            <w:pPr>
              <w:jc w:val="center"/>
              <w:rPr>
                <w:rFonts w:hint="default"/>
                <w:vertAlign w:val="baseline"/>
                <w:lang w:val="es-MX"/>
              </w:rPr>
            </w:pPr>
            <w:r>
              <w:rPr>
                <w:rFonts w:hint="default"/>
                <w:vertAlign w:val="baseline"/>
                <w:lang w:val="es-MX"/>
              </w:rPr>
              <w:t>1</w:t>
            </w:r>
          </w:p>
        </w:tc>
        <w:tc>
          <w:tcPr>
            <w:tcW w:w="1419" w:type="dxa"/>
          </w:tcPr>
          <w:p>
            <w:pPr>
              <w:jc w:val="center"/>
              <w:rPr>
                <w:rFonts w:hint="default"/>
                <w:vertAlign w:val="baseline"/>
                <w:lang w:val="es-MX"/>
              </w:rPr>
            </w:pPr>
            <w:r>
              <w:rPr>
                <w:rFonts w:hint="default"/>
                <w:vertAlign w:val="baseline"/>
                <w:lang w:val="es-MX"/>
              </w:rPr>
              <w:t>1</w:t>
            </w:r>
          </w:p>
        </w:tc>
        <w:tc>
          <w:tcPr>
            <w:tcW w:w="1419" w:type="dxa"/>
          </w:tcPr>
          <w:p>
            <w:pPr>
              <w:jc w:val="center"/>
              <w:rPr>
                <w:rFonts w:hint="default"/>
                <w:vertAlign w:val="baseline"/>
                <w:lang w:val="es-MX"/>
              </w:rPr>
            </w:pPr>
            <w:r>
              <w:rPr>
                <w:rFonts w:hint="default"/>
                <w:vertAlign w:val="baseline"/>
                <w:lang w:val="es-MX"/>
              </w:rPr>
              <w:t>1</w:t>
            </w:r>
          </w:p>
        </w:tc>
        <w:tc>
          <w:tcPr>
            <w:tcW w:w="1420" w:type="dxa"/>
          </w:tcPr>
          <w:p>
            <w:pPr>
              <w:jc w:val="center"/>
              <w:rPr>
                <w:rFonts w:hint="default"/>
                <w:vertAlign w:val="baseline"/>
                <w:lang w:val="es-MX"/>
              </w:rPr>
            </w:pPr>
            <w:r>
              <w:rPr>
                <w:rFonts w:hint="default"/>
                <w:vertAlign w:val="baseline"/>
                <w:lang w:val="es-MX"/>
              </w:rPr>
              <w:t>0</w:t>
            </w:r>
          </w:p>
        </w:tc>
        <w:tc>
          <w:tcPr>
            <w:tcW w:w="1420" w:type="dxa"/>
          </w:tcPr>
          <w:p>
            <w:pPr>
              <w:jc w:val="center"/>
              <w:rPr>
                <w:rFonts w:hint="default"/>
                <w:vertAlign w:val="baseline"/>
                <w:lang w:val="es-MX"/>
              </w:rPr>
            </w:pPr>
            <w:r>
              <w:rPr>
                <w:rFonts w:hint="default"/>
                <w:vertAlign w:val="baseline"/>
                <w:lang w:val="es-MX"/>
              </w:rPr>
              <w:t>0</w:t>
            </w:r>
          </w:p>
        </w:tc>
        <w:tc>
          <w:tcPr>
            <w:tcW w:w="1420" w:type="dxa"/>
          </w:tcPr>
          <w:p>
            <w:pPr>
              <w:jc w:val="center"/>
              <w:rPr>
                <w:rFonts w:hint="default"/>
                <w:vertAlign w:val="baseline"/>
                <w:lang w:val="es-MX"/>
              </w:rPr>
            </w:pPr>
            <w:r>
              <w:rPr>
                <w:rFonts w:hint="default"/>
                <w:vertAlign w:val="baseline"/>
                <w:lang w:val="es-MX"/>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19" w:type="dxa"/>
          </w:tcPr>
          <w:p>
            <w:pPr>
              <w:jc w:val="center"/>
              <w:rPr>
                <w:rFonts w:hint="default"/>
                <w:vertAlign w:val="baseline"/>
                <w:lang w:val="es-MX"/>
              </w:rPr>
            </w:pPr>
            <w:r>
              <w:rPr>
                <w:rFonts w:hint="default"/>
                <w:vertAlign w:val="baseline"/>
                <w:lang w:val="es-MX"/>
              </w:rPr>
              <w:t>2</w:t>
            </w:r>
          </w:p>
        </w:tc>
        <w:tc>
          <w:tcPr>
            <w:tcW w:w="1419" w:type="dxa"/>
          </w:tcPr>
          <w:p>
            <w:pPr>
              <w:jc w:val="center"/>
              <w:rPr>
                <w:rFonts w:hint="default"/>
                <w:vertAlign w:val="baseline"/>
                <w:lang w:val="es-MX"/>
              </w:rPr>
            </w:pPr>
            <w:r>
              <w:rPr>
                <w:rFonts w:hint="default"/>
                <w:vertAlign w:val="baseline"/>
                <w:lang w:val="es-MX"/>
              </w:rPr>
              <w:t>1</w:t>
            </w:r>
          </w:p>
        </w:tc>
        <w:tc>
          <w:tcPr>
            <w:tcW w:w="1419" w:type="dxa"/>
          </w:tcPr>
          <w:p>
            <w:pPr>
              <w:jc w:val="center"/>
              <w:rPr>
                <w:rFonts w:hint="default"/>
                <w:vertAlign w:val="baseline"/>
                <w:lang w:val="es-MX"/>
              </w:rPr>
            </w:pPr>
            <w:r>
              <w:rPr>
                <w:rFonts w:hint="default"/>
                <w:vertAlign w:val="baseline"/>
                <w:lang w:val="es-MX"/>
              </w:rPr>
              <w:t>1</w:t>
            </w:r>
          </w:p>
        </w:tc>
        <w:tc>
          <w:tcPr>
            <w:tcW w:w="1420" w:type="dxa"/>
          </w:tcPr>
          <w:p>
            <w:pPr>
              <w:jc w:val="center"/>
              <w:rPr>
                <w:rFonts w:hint="default"/>
                <w:vertAlign w:val="baseline"/>
                <w:lang w:val="es-MX"/>
              </w:rPr>
            </w:pPr>
            <w:r>
              <w:rPr>
                <w:rFonts w:hint="default"/>
                <w:vertAlign w:val="baseline"/>
                <w:lang w:val="es-MX"/>
              </w:rPr>
              <w:t>1</w:t>
            </w:r>
          </w:p>
        </w:tc>
        <w:tc>
          <w:tcPr>
            <w:tcW w:w="1420" w:type="dxa"/>
          </w:tcPr>
          <w:p>
            <w:pPr>
              <w:jc w:val="center"/>
              <w:rPr>
                <w:rFonts w:hint="default"/>
                <w:vertAlign w:val="baseline"/>
                <w:lang w:val="es-MX"/>
              </w:rPr>
            </w:pPr>
            <w:r>
              <w:rPr>
                <w:rFonts w:hint="default"/>
                <w:vertAlign w:val="baseline"/>
                <w:lang w:val="es-MX"/>
              </w:rPr>
              <w:t>1</w:t>
            </w:r>
          </w:p>
        </w:tc>
        <w:tc>
          <w:tcPr>
            <w:tcW w:w="1420" w:type="dxa"/>
          </w:tcPr>
          <w:p>
            <w:pPr>
              <w:jc w:val="center"/>
              <w:rPr>
                <w:rFonts w:hint="default"/>
                <w:vertAlign w:val="baseline"/>
                <w:lang w:val="es-MX"/>
              </w:rPr>
            </w:pPr>
            <w:r>
              <w:rPr>
                <w:rFonts w:hint="default"/>
                <w:vertAlign w:val="baseline"/>
                <w:lang w:val="es-MX"/>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19" w:type="dxa"/>
          </w:tcPr>
          <w:p>
            <w:pPr>
              <w:jc w:val="center"/>
              <w:rPr>
                <w:rFonts w:hint="default"/>
                <w:vertAlign w:val="baseline"/>
                <w:lang w:val="es-MX"/>
              </w:rPr>
            </w:pPr>
            <w:r>
              <w:rPr>
                <w:rFonts w:hint="default"/>
                <w:vertAlign w:val="baseline"/>
                <w:lang w:val="es-MX"/>
              </w:rPr>
              <w:t>3</w:t>
            </w:r>
          </w:p>
        </w:tc>
        <w:tc>
          <w:tcPr>
            <w:tcW w:w="1419" w:type="dxa"/>
          </w:tcPr>
          <w:p>
            <w:pPr>
              <w:jc w:val="center"/>
              <w:rPr>
                <w:rFonts w:hint="default"/>
                <w:vertAlign w:val="baseline"/>
                <w:lang w:val="es-MX"/>
              </w:rPr>
            </w:pPr>
            <w:r>
              <w:rPr>
                <w:rFonts w:hint="default"/>
                <w:vertAlign w:val="baseline"/>
                <w:lang w:val="es-MX"/>
              </w:rPr>
              <w:t>1</w:t>
            </w:r>
          </w:p>
        </w:tc>
        <w:tc>
          <w:tcPr>
            <w:tcW w:w="1419" w:type="dxa"/>
          </w:tcPr>
          <w:p>
            <w:pPr>
              <w:jc w:val="center"/>
              <w:rPr>
                <w:rFonts w:hint="default"/>
                <w:vertAlign w:val="baseline"/>
                <w:lang w:val="es-MX"/>
              </w:rPr>
            </w:pPr>
            <w:r>
              <w:rPr>
                <w:rFonts w:hint="default"/>
                <w:vertAlign w:val="baseline"/>
                <w:lang w:val="es-MX"/>
              </w:rPr>
              <w:t>1</w:t>
            </w:r>
          </w:p>
        </w:tc>
        <w:tc>
          <w:tcPr>
            <w:tcW w:w="1420" w:type="dxa"/>
          </w:tcPr>
          <w:p>
            <w:pPr>
              <w:jc w:val="center"/>
              <w:rPr>
                <w:rFonts w:hint="default"/>
                <w:vertAlign w:val="baseline"/>
                <w:lang w:val="es-MX"/>
              </w:rPr>
            </w:pPr>
            <w:r>
              <w:rPr>
                <w:rFonts w:hint="default"/>
                <w:vertAlign w:val="baseline"/>
                <w:lang w:val="es-MX"/>
              </w:rPr>
              <w:t>1</w:t>
            </w:r>
          </w:p>
        </w:tc>
        <w:tc>
          <w:tcPr>
            <w:tcW w:w="1420" w:type="dxa"/>
          </w:tcPr>
          <w:p>
            <w:pPr>
              <w:jc w:val="center"/>
              <w:rPr>
                <w:rFonts w:hint="default"/>
                <w:vertAlign w:val="baseline"/>
                <w:lang w:val="es-MX"/>
              </w:rPr>
            </w:pPr>
            <w:r>
              <w:rPr>
                <w:rFonts w:hint="default"/>
                <w:vertAlign w:val="baseline"/>
                <w:lang w:val="es-MX"/>
              </w:rPr>
              <w:t>1</w:t>
            </w:r>
          </w:p>
        </w:tc>
        <w:tc>
          <w:tcPr>
            <w:tcW w:w="1420" w:type="dxa"/>
          </w:tcPr>
          <w:p>
            <w:pPr>
              <w:jc w:val="center"/>
              <w:rPr>
                <w:rFonts w:hint="default"/>
                <w:vertAlign w:val="baseline"/>
                <w:lang w:val="es-MX"/>
              </w:rPr>
            </w:pPr>
            <w:r>
              <w:rPr>
                <w:rFonts w:hint="default"/>
                <w:vertAlign w:val="baseline"/>
                <w:lang w:val="es-MX"/>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19" w:type="dxa"/>
          </w:tcPr>
          <w:p>
            <w:pPr>
              <w:jc w:val="center"/>
              <w:rPr>
                <w:rFonts w:hint="default"/>
                <w:vertAlign w:val="baseline"/>
                <w:lang w:val="es-MX"/>
              </w:rPr>
            </w:pPr>
            <w:r>
              <w:rPr>
                <w:rFonts w:hint="default"/>
                <w:vertAlign w:val="baseline"/>
                <w:lang w:val="es-MX"/>
              </w:rPr>
              <w:t>4</w:t>
            </w:r>
          </w:p>
        </w:tc>
        <w:tc>
          <w:tcPr>
            <w:tcW w:w="1419" w:type="dxa"/>
          </w:tcPr>
          <w:p>
            <w:pPr>
              <w:jc w:val="center"/>
              <w:rPr>
                <w:rFonts w:hint="default"/>
                <w:vertAlign w:val="baseline"/>
                <w:lang w:val="es-MX"/>
              </w:rPr>
            </w:pPr>
            <w:r>
              <w:rPr>
                <w:rFonts w:hint="default"/>
                <w:vertAlign w:val="baseline"/>
                <w:lang w:val="es-MX"/>
              </w:rPr>
              <w:t>1</w:t>
            </w:r>
          </w:p>
        </w:tc>
        <w:tc>
          <w:tcPr>
            <w:tcW w:w="1419" w:type="dxa"/>
          </w:tcPr>
          <w:p>
            <w:pPr>
              <w:jc w:val="center"/>
              <w:rPr>
                <w:rFonts w:hint="default"/>
                <w:vertAlign w:val="baseline"/>
                <w:lang w:val="es-MX"/>
              </w:rPr>
            </w:pPr>
            <w:r>
              <w:rPr>
                <w:rFonts w:hint="default"/>
                <w:vertAlign w:val="baseline"/>
                <w:lang w:val="es-MX"/>
              </w:rPr>
              <w:t>1</w:t>
            </w:r>
          </w:p>
        </w:tc>
        <w:tc>
          <w:tcPr>
            <w:tcW w:w="1420" w:type="dxa"/>
          </w:tcPr>
          <w:p>
            <w:pPr>
              <w:jc w:val="center"/>
              <w:rPr>
                <w:rFonts w:hint="default"/>
                <w:vertAlign w:val="baseline"/>
                <w:lang w:val="es-MX"/>
              </w:rPr>
            </w:pPr>
            <w:r>
              <w:rPr>
                <w:rFonts w:hint="default"/>
                <w:vertAlign w:val="baseline"/>
                <w:lang w:val="es-MX"/>
              </w:rPr>
              <w:t>1</w:t>
            </w:r>
          </w:p>
        </w:tc>
        <w:tc>
          <w:tcPr>
            <w:tcW w:w="1420" w:type="dxa"/>
          </w:tcPr>
          <w:p>
            <w:pPr>
              <w:jc w:val="center"/>
              <w:rPr>
                <w:rFonts w:hint="default"/>
                <w:vertAlign w:val="baseline"/>
                <w:lang w:val="es-MX"/>
              </w:rPr>
            </w:pPr>
            <w:r>
              <w:rPr>
                <w:rFonts w:hint="default"/>
                <w:vertAlign w:val="baseline"/>
                <w:lang w:val="es-MX"/>
              </w:rPr>
              <w:t>1</w:t>
            </w:r>
          </w:p>
        </w:tc>
        <w:tc>
          <w:tcPr>
            <w:tcW w:w="1420" w:type="dxa"/>
            <w:shd w:val="clear" w:color="auto" w:fill="9CC2E5" w:themeFill="accent1" w:themeFillTint="99"/>
          </w:tcPr>
          <w:p>
            <w:pPr>
              <w:jc w:val="center"/>
              <w:rPr>
                <w:rFonts w:hint="default"/>
                <w:vertAlign w:val="baseline"/>
                <w:lang w:val="es-MX"/>
              </w:rPr>
            </w:pPr>
            <w:r>
              <w:rPr>
                <w:rFonts w:hint="default"/>
                <w:highlight w:val="none"/>
                <w:shd w:val="clear" w:fill="9CC2E5" w:themeFill="accent1" w:themeFillTint="99"/>
                <w:vertAlign w:val="baseline"/>
                <w:lang w:val="es-MX"/>
              </w:rPr>
              <w:t>1</w:t>
            </w:r>
          </w:p>
        </w:tc>
      </w:tr>
    </w:tbl>
    <w:p>
      <w:pPr>
        <w:rPr>
          <w:rFonts w:hint="default"/>
          <w:lang w:val="es-MX"/>
        </w:rPr>
      </w:pPr>
    </w:p>
    <w:p>
      <w:pPr>
        <w:rPr>
          <w:rFonts w:hint="default"/>
          <w:lang w:val="es-MX"/>
        </w:rPr>
      </w:pPr>
      <w:r>
        <w:rPr>
          <w:rFonts w:hint="default"/>
          <w:lang w:val="es-MX"/>
        </w:rPr>
        <w:t>14)</w:t>
      </w:r>
    </w:p>
    <w:p>
      <w:pPr>
        <w:rPr>
          <w:rFonts w:hint="default"/>
          <w:lang w:val="es-MX"/>
        </w:rPr>
      </w:pPr>
      <w:r>
        <w:rPr>
          <w:rFonts w:hint="default"/>
          <w:lang w:val="es-MX"/>
        </w:rPr>
        <w:t>Realizar una tabla de tamaño n x n. En la cual, el caso base es 1x1 con valor 0. Desde ahí, completar la primer fila sumando los pesos de cada cuadrado hasta llegar al lugar. De la misma manera se completa la primera columna. A partir de la segunda fila, segunda columna se completan los valores haciendo min{(i-1, j), (i, j-1)} + valor del cuadrado actual. De esta manera se continúa hasta el final, donde quedará la respuesta del problema (En la posición nxn)</w:t>
      </w:r>
    </w:p>
    <w:p>
      <w:pPr>
        <w:rPr>
          <w:rFonts w:hint="default"/>
          <w:lang w:val="es-MX"/>
        </w:rPr>
      </w:pPr>
    </w:p>
    <w:p>
      <w:pPr>
        <w:rPr>
          <w:rFonts w:hint="default"/>
          <w:lang w:val="es-MX"/>
        </w:rPr>
      </w:pPr>
      <w:r>
        <w:rPr>
          <w:rFonts w:hint="default"/>
          <w:lang w:val="es-MX"/>
        </w:rPr>
        <w:t>Ejemplo 4x4, todos las casillas tienen valor 1</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704"/>
        <w:gridCol w:w="1704"/>
        <w:gridCol w:w="1704"/>
        <w:gridCol w:w="1704"/>
        <w:gridCol w:w="1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rPr>
                <w:rFonts w:hint="default"/>
                <w:vertAlign w:val="baseline"/>
                <w:lang w:val="es-MX"/>
              </w:rPr>
            </w:pPr>
          </w:p>
        </w:tc>
        <w:tc>
          <w:tcPr>
            <w:tcW w:w="1704" w:type="dxa"/>
          </w:tcPr>
          <w:p>
            <w:pPr>
              <w:rPr>
                <w:rFonts w:hint="default"/>
                <w:vertAlign w:val="baseline"/>
                <w:lang w:val="es-MX"/>
              </w:rPr>
            </w:pPr>
            <w:r>
              <w:rPr>
                <w:rFonts w:hint="default"/>
                <w:vertAlign w:val="baseline"/>
                <w:lang w:val="es-MX"/>
              </w:rPr>
              <w:t>1</w:t>
            </w:r>
          </w:p>
        </w:tc>
        <w:tc>
          <w:tcPr>
            <w:tcW w:w="1704" w:type="dxa"/>
          </w:tcPr>
          <w:p>
            <w:pPr>
              <w:rPr>
                <w:rFonts w:hint="default"/>
                <w:vertAlign w:val="baseline"/>
                <w:lang w:val="es-MX"/>
              </w:rPr>
            </w:pPr>
            <w:r>
              <w:rPr>
                <w:rFonts w:hint="default"/>
                <w:vertAlign w:val="baseline"/>
                <w:lang w:val="es-MX"/>
              </w:rPr>
              <w:t>2</w:t>
            </w:r>
          </w:p>
        </w:tc>
        <w:tc>
          <w:tcPr>
            <w:tcW w:w="1704" w:type="dxa"/>
          </w:tcPr>
          <w:p>
            <w:pPr>
              <w:rPr>
                <w:rFonts w:hint="default"/>
                <w:vertAlign w:val="baseline"/>
                <w:lang w:val="es-MX"/>
              </w:rPr>
            </w:pPr>
            <w:r>
              <w:rPr>
                <w:rFonts w:hint="default"/>
                <w:vertAlign w:val="baseline"/>
                <w:lang w:val="es-MX"/>
              </w:rPr>
              <w:t>3</w:t>
            </w:r>
          </w:p>
        </w:tc>
        <w:tc>
          <w:tcPr>
            <w:tcW w:w="1704" w:type="dxa"/>
          </w:tcPr>
          <w:p>
            <w:pPr>
              <w:rPr>
                <w:rFonts w:hint="default"/>
                <w:vertAlign w:val="baseline"/>
                <w:lang w:val="es-MX"/>
              </w:rPr>
            </w:pPr>
            <w:r>
              <w:rPr>
                <w:rFonts w:hint="default"/>
                <w:vertAlign w:val="baseline"/>
                <w:lang w:val="es-MX"/>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rPr>
                <w:rFonts w:hint="default"/>
                <w:vertAlign w:val="baseline"/>
                <w:lang w:val="es-MX"/>
              </w:rPr>
            </w:pPr>
            <w:r>
              <w:rPr>
                <w:rFonts w:hint="default"/>
                <w:vertAlign w:val="baseline"/>
                <w:lang w:val="es-MX"/>
              </w:rPr>
              <w:t>1</w:t>
            </w:r>
          </w:p>
        </w:tc>
        <w:tc>
          <w:tcPr>
            <w:tcW w:w="1704" w:type="dxa"/>
          </w:tcPr>
          <w:p>
            <w:pPr>
              <w:rPr>
                <w:rFonts w:hint="default"/>
                <w:vertAlign w:val="baseline"/>
                <w:lang w:val="es-MX"/>
              </w:rPr>
            </w:pPr>
            <w:r>
              <w:rPr>
                <w:rFonts w:hint="default"/>
                <w:vertAlign w:val="baseline"/>
                <w:lang w:val="es-MX"/>
              </w:rPr>
              <w:t>0</w:t>
            </w:r>
          </w:p>
        </w:tc>
        <w:tc>
          <w:tcPr>
            <w:tcW w:w="1704" w:type="dxa"/>
          </w:tcPr>
          <w:p>
            <w:pPr>
              <w:rPr>
                <w:rFonts w:hint="default"/>
                <w:vertAlign w:val="baseline"/>
                <w:lang w:val="es-MX"/>
              </w:rPr>
            </w:pPr>
            <w:r>
              <w:rPr>
                <w:rFonts w:hint="default"/>
                <w:vertAlign w:val="baseline"/>
                <w:lang w:val="es-MX"/>
              </w:rPr>
              <w:t>1</w:t>
            </w:r>
          </w:p>
        </w:tc>
        <w:tc>
          <w:tcPr>
            <w:tcW w:w="1704" w:type="dxa"/>
          </w:tcPr>
          <w:p>
            <w:pPr>
              <w:rPr>
                <w:rFonts w:hint="default"/>
                <w:vertAlign w:val="baseline"/>
                <w:lang w:val="es-MX"/>
              </w:rPr>
            </w:pPr>
            <w:r>
              <w:rPr>
                <w:rFonts w:hint="default"/>
                <w:vertAlign w:val="baseline"/>
                <w:lang w:val="es-MX"/>
              </w:rPr>
              <w:t>2</w:t>
            </w:r>
          </w:p>
        </w:tc>
        <w:tc>
          <w:tcPr>
            <w:tcW w:w="1704" w:type="dxa"/>
          </w:tcPr>
          <w:p>
            <w:pPr>
              <w:rPr>
                <w:rFonts w:hint="default"/>
                <w:vertAlign w:val="baseline"/>
                <w:lang w:val="es-MX"/>
              </w:rPr>
            </w:pPr>
            <w:r>
              <w:rPr>
                <w:rFonts w:hint="default"/>
                <w:vertAlign w:val="baseline"/>
                <w:lang w:val="es-MX"/>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rPr>
                <w:rFonts w:hint="default"/>
                <w:vertAlign w:val="baseline"/>
                <w:lang w:val="es-MX"/>
              </w:rPr>
            </w:pPr>
            <w:r>
              <w:rPr>
                <w:rFonts w:hint="default"/>
                <w:vertAlign w:val="baseline"/>
                <w:lang w:val="es-MX"/>
              </w:rPr>
              <w:t>2</w:t>
            </w:r>
          </w:p>
        </w:tc>
        <w:tc>
          <w:tcPr>
            <w:tcW w:w="1704" w:type="dxa"/>
          </w:tcPr>
          <w:p>
            <w:pPr>
              <w:rPr>
                <w:rFonts w:hint="default"/>
                <w:vertAlign w:val="baseline"/>
                <w:lang w:val="es-MX"/>
              </w:rPr>
            </w:pPr>
            <w:r>
              <w:rPr>
                <w:rFonts w:hint="default"/>
                <w:vertAlign w:val="baseline"/>
                <w:lang w:val="es-MX"/>
              </w:rPr>
              <w:t>1</w:t>
            </w:r>
          </w:p>
        </w:tc>
        <w:tc>
          <w:tcPr>
            <w:tcW w:w="1704" w:type="dxa"/>
          </w:tcPr>
          <w:p>
            <w:pPr>
              <w:rPr>
                <w:rFonts w:hint="default"/>
                <w:vertAlign w:val="baseline"/>
                <w:lang w:val="es-MX"/>
              </w:rPr>
            </w:pPr>
            <w:r>
              <w:rPr>
                <w:rFonts w:hint="default"/>
                <w:vertAlign w:val="baseline"/>
                <w:lang w:val="es-MX"/>
              </w:rPr>
              <w:t>2</w:t>
            </w:r>
          </w:p>
        </w:tc>
        <w:tc>
          <w:tcPr>
            <w:tcW w:w="1704" w:type="dxa"/>
          </w:tcPr>
          <w:p>
            <w:pPr>
              <w:rPr>
                <w:rFonts w:hint="default"/>
                <w:vertAlign w:val="baseline"/>
                <w:lang w:val="es-MX"/>
              </w:rPr>
            </w:pPr>
            <w:r>
              <w:rPr>
                <w:rFonts w:hint="default"/>
                <w:vertAlign w:val="baseline"/>
                <w:lang w:val="es-MX"/>
              </w:rPr>
              <w:t>3</w:t>
            </w:r>
          </w:p>
        </w:tc>
        <w:tc>
          <w:tcPr>
            <w:tcW w:w="1704" w:type="dxa"/>
          </w:tcPr>
          <w:p>
            <w:pPr>
              <w:rPr>
                <w:rFonts w:hint="default"/>
                <w:vertAlign w:val="baseline"/>
                <w:lang w:val="es-MX"/>
              </w:rPr>
            </w:pPr>
            <w:r>
              <w:rPr>
                <w:rFonts w:hint="default"/>
                <w:vertAlign w:val="baseline"/>
                <w:lang w:val="es-MX"/>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rPr>
                <w:rFonts w:hint="default"/>
                <w:vertAlign w:val="baseline"/>
                <w:lang w:val="es-MX"/>
              </w:rPr>
            </w:pPr>
            <w:r>
              <w:rPr>
                <w:rFonts w:hint="default"/>
                <w:vertAlign w:val="baseline"/>
                <w:lang w:val="es-MX"/>
              </w:rPr>
              <w:t>3</w:t>
            </w:r>
          </w:p>
        </w:tc>
        <w:tc>
          <w:tcPr>
            <w:tcW w:w="1704" w:type="dxa"/>
          </w:tcPr>
          <w:p>
            <w:pPr>
              <w:rPr>
                <w:rFonts w:hint="default"/>
                <w:vertAlign w:val="baseline"/>
                <w:lang w:val="es-MX"/>
              </w:rPr>
            </w:pPr>
            <w:r>
              <w:rPr>
                <w:rFonts w:hint="default"/>
                <w:vertAlign w:val="baseline"/>
                <w:lang w:val="es-MX"/>
              </w:rPr>
              <w:t>2</w:t>
            </w:r>
          </w:p>
        </w:tc>
        <w:tc>
          <w:tcPr>
            <w:tcW w:w="1704" w:type="dxa"/>
          </w:tcPr>
          <w:p>
            <w:pPr>
              <w:rPr>
                <w:rFonts w:hint="default"/>
                <w:vertAlign w:val="baseline"/>
                <w:lang w:val="es-MX"/>
              </w:rPr>
            </w:pPr>
            <w:r>
              <w:rPr>
                <w:rFonts w:hint="default"/>
                <w:vertAlign w:val="baseline"/>
                <w:lang w:val="es-MX"/>
              </w:rPr>
              <w:t>3</w:t>
            </w:r>
          </w:p>
        </w:tc>
        <w:tc>
          <w:tcPr>
            <w:tcW w:w="1704" w:type="dxa"/>
          </w:tcPr>
          <w:p>
            <w:pPr>
              <w:rPr>
                <w:rFonts w:hint="default"/>
                <w:vertAlign w:val="baseline"/>
                <w:lang w:val="es-MX"/>
              </w:rPr>
            </w:pPr>
            <w:r>
              <w:rPr>
                <w:rFonts w:hint="default"/>
                <w:vertAlign w:val="baseline"/>
                <w:lang w:val="es-MX"/>
              </w:rPr>
              <w:t>4</w:t>
            </w:r>
          </w:p>
        </w:tc>
        <w:tc>
          <w:tcPr>
            <w:tcW w:w="1704" w:type="dxa"/>
          </w:tcPr>
          <w:p>
            <w:pPr>
              <w:rPr>
                <w:rFonts w:hint="default"/>
                <w:vertAlign w:val="baseline"/>
                <w:lang w:val="es-MX"/>
              </w:rPr>
            </w:pPr>
            <w:r>
              <w:rPr>
                <w:rFonts w:hint="default"/>
                <w:vertAlign w:val="baseline"/>
                <w:lang w:val="es-MX"/>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rPr>
                <w:rFonts w:hint="default"/>
                <w:vertAlign w:val="baseline"/>
                <w:lang w:val="es-MX"/>
              </w:rPr>
            </w:pPr>
            <w:r>
              <w:rPr>
                <w:rFonts w:hint="default"/>
                <w:vertAlign w:val="baseline"/>
                <w:lang w:val="es-MX"/>
              </w:rPr>
              <w:t>4</w:t>
            </w:r>
          </w:p>
        </w:tc>
        <w:tc>
          <w:tcPr>
            <w:tcW w:w="1704" w:type="dxa"/>
          </w:tcPr>
          <w:p>
            <w:pPr>
              <w:rPr>
                <w:rFonts w:hint="default"/>
                <w:vertAlign w:val="baseline"/>
                <w:lang w:val="es-MX"/>
              </w:rPr>
            </w:pPr>
            <w:r>
              <w:rPr>
                <w:rFonts w:hint="default"/>
                <w:vertAlign w:val="baseline"/>
                <w:lang w:val="es-MX"/>
              </w:rPr>
              <w:t>3</w:t>
            </w:r>
          </w:p>
        </w:tc>
        <w:tc>
          <w:tcPr>
            <w:tcW w:w="1704" w:type="dxa"/>
          </w:tcPr>
          <w:p>
            <w:pPr>
              <w:rPr>
                <w:rFonts w:hint="default"/>
                <w:vertAlign w:val="baseline"/>
                <w:lang w:val="es-MX"/>
              </w:rPr>
            </w:pPr>
            <w:r>
              <w:rPr>
                <w:rFonts w:hint="default"/>
                <w:vertAlign w:val="baseline"/>
                <w:lang w:val="es-MX"/>
              </w:rPr>
              <w:t>4</w:t>
            </w:r>
          </w:p>
        </w:tc>
        <w:tc>
          <w:tcPr>
            <w:tcW w:w="1704" w:type="dxa"/>
          </w:tcPr>
          <w:p>
            <w:pPr>
              <w:rPr>
                <w:rFonts w:hint="default"/>
                <w:vertAlign w:val="baseline"/>
                <w:lang w:val="es-MX"/>
              </w:rPr>
            </w:pPr>
            <w:r>
              <w:rPr>
                <w:rFonts w:hint="default"/>
                <w:vertAlign w:val="baseline"/>
                <w:lang w:val="es-MX"/>
              </w:rPr>
              <w:t>5</w:t>
            </w:r>
          </w:p>
        </w:tc>
        <w:tc>
          <w:tcPr>
            <w:tcW w:w="1704" w:type="dxa"/>
            <w:shd w:val="clear" w:color="auto" w:fill="9CC2E5" w:themeFill="accent1" w:themeFillTint="99"/>
          </w:tcPr>
          <w:p>
            <w:pPr>
              <w:rPr>
                <w:rFonts w:hint="default"/>
                <w:vertAlign w:val="baseline"/>
                <w:lang w:val="es-MX"/>
              </w:rPr>
            </w:pPr>
            <w:r>
              <w:rPr>
                <w:rFonts w:hint="default"/>
                <w:vertAlign w:val="baseline"/>
                <w:lang w:val="es-MX"/>
              </w:rPr>
              <w:t>6</w:t>
            </w:r>
          </w:p>
        </w:tc>
      </w:tr>
    </w:tbl>
    <w:p>
      <w:pPr>
        <w:rPr>
          <w:rFonts w:hint="default"/>
          <w:lang w:val="es-MX"/>
        </w:rPr>
      </w:pPr>
      <w:r>
        <w:rPr>
          <w:rFonts w:hint="default"/>
          <w:lang w:val="es-MX"/>
        </w:rPr>
        <w:t>Así, el valor mínimo es 6</w:t>
      </w:r>
    </w:p>
    <w:p>
      <w:pPr>
        <w:rPr>
          <w:rFonts w:hint="default"/>
          <w:lang w:val="es-MX"/>
        </w:rPr>
      </w:pPr>
    </w:p>
    <w:p>
      <w:pPr>
        <w:rPr>
          <w:rFonts w:hint="default"/>
          <w:lang w:val="es-MX"/>
        </w:rPr>
      </w:pPr>
      <w:r>
        <w:rPr>
          <w:rFonts w:hint="default"/>
          <w:lang w:val="es-MX"/>
        </w:rPr>
        <w:t>15)</w:t>
      </w:r>
    </w:p>
    <w:p>
      <w:pPr>
        <w:rPr>
          <w:rFonts w:hint="default"/>
          <w:lang w:val="es-MX"/>
        </w:rPr>
      </w:pPr>
      <w:r>
        <w:rPr>
          <w:rFonts w:hint="default"/>
          <w:lang w:val="es-MX"/>
        </w:rPr>
        <w:t>Podemos hacer una tabla del tamaño n + 1 x m + 1. Siendo m la longitud de ambas cadenas. La primer fila y columna será el caso base, el cual sería la subcadena “vacía”. Y es posible rellenarla con 0 en todas sus posiciones. Luego, empezaremos con la primer letra de la fila y verificaremos que sea igual a la de la columna, si es igual, se toma el valor de la celda en su diagonal anterior a él, es decir (i -1, j - 1) y se le suma 1. Si es diferente, se toma el valor máximo entre la celda de arriba y la de la izquierda, pero no se le suma nada. Finalmente, el resultado quedará en la última celda en la parte inferior derecha de la tabla. Además, es posible obtener la subsecuencia que brinda el resultado iterando desde la última celda. Es decir, iniciamos en la última celda, donde se encuentra el resultado y nos fijamos si el valor es igual al máximo entre la celda de arriba y la de la izquierda, si lo es, nos movemos hacía esa dirección, si no, nos movemos por la diagonal y añadimos el carácter de la fila actual a la cadena (al final). Luego repetimos el mismo procedimiento hasta llegar al principio y nos queda la subsecuencia más larga.</w:t>
      </w:r>
    </w:p>
    <w:p>
      <w:pPr>
        <w:rPr>
          <w:rFonts w:hint="default"/>
          <w:lang w:val="es-MX"/>
        </w:rPr>
      </w:pPr>
      <w:r>
        <w:rPr>
          <w:rFonts w:hint="default"/>
          <w:lang w:val="es-MX"/>
        </w:rPr>
        <w:t>Por ejemplo “abcde” y “ace”</w:t>
      </w:r>
    </w:p>
    <w:p>
      <w:pPr>
        <w:rPr>
          <w:rFonts w:hint="default"/>
          <w:lang w:val="es-MX"/>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704"/>
        <w:gridCol w:w="1704"/>
        <w:gridCol w:w="1704"/>
        <w:gridCol w:w="1704"/>
        <w:gridCol w:w="1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rPr>
                <w:rFonts w:hint="default"/>
                <w:vertAlign w:val="baseline"/>
                <w:lang w:val="es-MX"/>
              </w:rPr>
            </w:pPr>
          </w:p>
        </w:tc>
        <w:tc>
          <w:tcPr>
            <w:tcW w:w="1704" w:type="dxa"/>
          </w:tcPr>
          <w:p>
            <w:pPr>
              <w:rPr>
                <w:rFonts w:hint="default"/>
                <w:vertAlign w:val="baseline"/>
                <w:lang w:val="es-MX"/>
              </w:rPr>
            </w:pPr>
            <w:r>
              <w:rPr>
                <w:rFonts w:hint="default"/>
                <w:vertAlign w:val="baseline"/>
                <w:lang w:val="es-MX"/>
              </w:rPr>
              <w:t>0</w:t>
            </w:r>
          </w:p>
        </w:tc>
        <w:tc>
          <w:tcPr>
            <w:tcW w:w="1704" w:type="dxa"/>
          </w:tcPr>
          <w:p>
            <w:pPr>
              <w:rPr>
                <w:rFonts w:hint="default"/>
                <w:vertAlign w:val="baseline"/>
                <w:lang w:val="es-MX"/>
              </w:rPr>
            </w:pPr>
            <w:r>
              <w:rPr>
                <w:rFonts w:hint="default"/>
                <w:vertAlign w:val="baseline"/>
                <w:lang w:val="es-MX"/>
              </w:rPr>
              <w:t>a</w:t>
            </w:r>
          </w:p>
        </w:tc>
        <w:tc>
          <w:tcPr>
            <w:tcW w:w="1704" w:type="dxa"/>
          </w:tcPr>
          <w:p>
            <w:pPr>
              <w:rPr>
                <w:rFonts w:hint="default"/>
                <w:vertAlign w:val="baseline"/>
                <w:lang w:val="es-MX"/>
              </w:rPr>
            </w:pPr>
            <w:r>
              <w:rPr>
                <w:rFonts w:hint="default"/>
                <w:vertAlign w:val="baseline"/>
                <w:lang w:val="es-MX"/>
              </w:rPr>
              <w:t>c</w:t>
            </w:r>
          </w:p>
        </w:tc>
        <w:tc>
          <w:tcPr>
            <w:tcW w:w="1704" w:type="dxa"/>
          </w:tcPr>
          <w:p>
            <w:pPr>
              <w:rPr>
                <w:rFonts w:hint="default"/>
                <w:vertAlign w:val="baseline"/>
                <w:lang w:val="es-MX"/>
              </w:rPr>
            </w:pPr>
            <w:r>
              <w:rPr>
                <w:rFonts w:hint="default"/>
                <w:vertAlign w:val="baseline"/>
                <w:lang w:val="es-MX"/>
              </w:rPr>
              <w: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rPr>
                <w:rFonts w:hint="default"/>
                <w:vertAlign w:val="baseline"/>
                <w:lang w:val="es-MX"/>
              </w:rPr>
            </w:pPr>
            <w:r>
              <w:rPr>
                <w:rFonts w:hint="default"/>
                <w:vertAlign w:val="baseline"/>
                <w:lang w:val="es-MX"/>
              </w:rPr>
              <w:t>0</w:t>
            </w:r>
          </w:p>
        </w:tc>
        <w:tc>
          <w:tcPr>
            <w:tcW w:w="1704" w:type="dxa"/>
          </w:tcPr>
          <w:p>
            <w:pPr>
              <w:rPr>
                <w:rFonts w:hint="default"/>
                <w:vertAlign w:val="baseline"/>
                <w:lang w:val="es-MX"/>
              </w:rPr>
            </w:pPr>
            <w:r>
              <w:rPr>
                <w:rFonts w:hint="default"/>
                <w:vertAlign w:val="baseline"/>
                <w:lang w:val="es-MX"/>
              </w:rPr>
              <w:t>0</w:t>
            </w:r>
          </w:p>
        </w:tc>
        <w:tc>
          <w:tcPr>
            <w:tcW w:w="1704" w:type="dxa"/>
          </w:tcPr>
          <w:p>
            <w:pPr>
              <w:rPr>
                <w:rFonts w:hint="default"/>
                <w:vertAlign w:val="baseline"/>
                <w:lang w:val="es-MX"/>
              </w:rPr>
            </w:pPr>
            <w:r>
              <w:rPr>
                <w:rFonts w:hint="default"/>
                <w:vertAlign w:val="baseline"/>
                <w:lang w:val="es-MX"/>
              </w:rPr>
              <w:t>0</w:t>
            </w:r>
          </w:p>
        </w:tc>
        <w:tc>
          <w:tcPr>
            <w:tcW w:w="1704" w:type="dxa"/>
          </w:tcPr>
          <w:p>
            <w:pPr>
              <w:rPr>
                <w:rFonts w:hint="default"/>
                <w:vertAlign w:val="baseline"/>
                <w:lang w:val="es-MX"/>
              </w:rPr>
            </w:pPr>
            <w:r>
              <w:rPr>
                <w:rFonts w:hint="default"/>
                <w:vertAlign w:val="baseline"/>
                <w:lang w:val="es-MX"/>
              </w:rPr>
              <w:t>0</w:t>
            </w:r>
          </w:p>
        </w:tc>
        <w:tc>
          <w:tcPr>
            <w:tcW w:w="1704" w:type="dxa"/>
          </w:tcPr>
          <w:p>
            <w:pPr>
              <w:rPr>
                <w:rFonts w:hint="default"/>
                <w:vertAlign w:val="baseline"/>
                <w:lang w:val="es-MX"/>
              </w:rPr>
            </w:pPr>
            <w:r>
              <w:rPr>
                <w:rFonts w:hint="default"/>
                <w:vertAlign w:val="baseline"/>
                <w:lang w:val="es-MX"/>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rPr>
                <w:rFonts w:hint="default"/>
                <w:vertAlign w:val="baseline"/>
                <w:lang w:val="es-MX"/>
              </w:rPr>
            </w:pPr>
            <w:r>
              <w:rPr>
                <w:rFonts w:hint="default"/>
                <w:vertAlign w:val="baseline"/>
                <w:lang w:val="es-MX"/>
              </w:rPr>
              <w:t>a</w:t>
            </w:r>
          </w:p>
        </w:tc>
        <w:tc>
          <w:tcPr>
            <w:tcW w:w="1704" w:type="dxa"/>
          </w:tcPr>
          <w:p>
            <w:pPr>
              <w:rPr>
                <w:rFonts w:hint="default"/>
                <w:vertAlign w:val="baseline"/>
                <w:lang w:val="es-MX"/>
              </w:rPr>
            </w:pPr>
            <w:r>
              <w:rPr>
                <w:rFonts w:hint="default"/>
                <w:vertAlign w:val="baseline"/>
                <w:lang w:val="es-MX"/>
              </w:rPr>
              <w:t>0</w:t>
            </w:r>
          </w:p>
        </w:tc>
        <w:tc>
          <w:tcPr>
            <w:tcW w:w="1704" w:type="dxa"/>
          </w:tcPr>
          <w:p>
            <w:pPr>
              <w:rPr>
                <w:rFonts w:hint="default"/>
                <w:vertAlign w:val="baseline"/>
                <w:lang w:val="es-MX"/>
              </w:rPr>
            </w:pPr>
            <w:r>
              <w:rPr>
                <w:rFonts w:hint="default"/>
                <w:color w:val="FF0000"/>
                <w:vertAlign w:val="baseline"/>
                <w:lang w:val="es-MX"/>
              </w:rPr>
              <w:t>1</w:t>
            </w:r>
          </w:p>
        </w:tc>
        <w:tc>
          <w:tcPr>
            <w:tcW w:w="1704" w:type="dxa"/>
          </w:tcPr>
          <w:p>
            <w:pPr>
              <w:rPr>
                <w:rFonts w:hint="default"/>
                <w:vertAlign w:val="baseline"/>
                <w:lang w:val="es-MX"/>
              </w:rPr>
            </w:pPr>
            <w:r>
              <w:rPr>
                <w:rFonts w:hint="default"/>
                <w:vertAlign w:val="baseline"/>
                <w:lang w:val="es-MX"/>
              </w:rPr>
              <w:t>1</w:t>
            </w:r>
          </w:p>
        </w:tc>
        <w:tc>
          <w:tcPr>
            <w:tcW w:w="1704" w:type="dxa"/>
          </w:tcPr>
          <w:p>
            <w:pPr>
              <w:rPr>
                <w:rFonts w:hint="default"/>
                <w:vertAlign w:val="baseline"/>
                <w:lang w:val="es-MX"/>
              </w:rPr>
            </w:pPr>
            <w:r>
              <w:rPr>
                <w:rFonts w:hint="default"/>
                <w:vertAlign w:val="baseline"/>
                <w:lang w:val="es-MX"/>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rPr>
                <w:rFonts w:hint="default"/>
                <w:vertAlign w:val="baseline"/>
                <w:lang w:val="es-MX"/>
              </w:rPr>
            </w:pPr>
            <w:r>
              <w:rPr>
                <w:rFonts w:hint="default"/>
                <w:vertAlign w:val="baseline"/>
                <w:lang w:val="es-MX"/>
              </w:rPr>
              <w:t>b</w:t>
            </w:r>
          </w:p>
        </w:tc>
        <w:tc>
          <w:tcPr>
            <w:tcW w:w="1704" w:type="dxa"/>
          </w:tcPr>
          <w:p>
            <w:pPr>
              <w:rPr>
                <w:rFonts w:hint="default"/>
                <w:vertAlign w:val="baseline"/>
                <w:lang w:val="es-MX"/>
              </w:rPr>
            </w:pPr>
            <w:r>
              <w:rPr>
                <w:rFonts w:hint="default"/>
                <w:vertAlign w:val="baseline"/>
                <w:lang w:val="es-MX"/>
              </w:rPr>
              <w:t>0</w:t>
            </w:r>
          </w:p>
        </w:tc>
        <w:tc>
          <w:tcPr>
            <w:tcW w:w="1704" w:type="dxa"/>
          </w:tcPr>
          <w:p>
            <w:pPr>
              <w:rPr>
                <w:rFonts w:hint="default"/>
                <w:vertAlign w:val="baseline"/>
                <w:lang w:val="es-MX"/>
              </w:rPr>
            </w:pPr>
            <w:r>
              <w:rPr>
                <w:rFonts w:hint="default"/>
                <w:color w:val="00B050"/>
                <w:vertAlign w:val="baseline"/>
                <w:lang w:val="es-MX"/>
              </w:rPr>
              <w:t>1</w:t>
            </w:r>
          </w:p>
        </w:tc>
        <w:tc>
          <w:tcPr>
            <w:tcW w:w="1704" w:type="dxa"/>
          </w:tcPr>
          <w:p>
            <w:pPr>
              <w:rPr>
                <w:rFonts w:hint="default"/>
                <w:vertAlign w:val="baseline"/>
                <w:lang w:val="es-MX"/>
              </w:rPr>
            </w:pPr>
            <w:r>
              <w:rPr>
                <w:rFonts w:hint="default"/>
                <w:vertAlign w:val="baseline"/>
                <w:lang w:val="es-MX"/>
              </w:rPr>
              <w:t>1</w:t>
            </w:r>
          </w:p>
        </w:tc>
        <w:tc>
          <w:tcPr>
            <w:tcW w:w="1704" w:type="dxa"/>
          </w:tcPr>
          <w:p>
            <w:pPr>
              <w:rPr>
                <w:rFonts w:hint="default"/>
                <w:vertAlign w:val="baseline"/>
                <w:lang w:val="es-MX"/>
              </w:rPr>
            </w:pPr>
            <w:r>
              <w:rPr>
                <w:rFonts w:hint="default"/>
                <w:vertAlign w:val="baseline"/>
                <w:lang w:val="es-MX"/>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rPr>
                <w:rFonts w:hint="default"/>
                <w:vertAlign w:val="baseline"/>
                <w:lang w:val="es-MX"/>
              </w:rPr>
            </w:pPr>
            <w:r>
              <w:rPr>
                <w:rFonts w:hint="default"/>
                <w:vertAlign w:val="baseline"/>
                <w:lang w:val="es-MX"/>
              </w:rPr>
              <w:t>c</w:t>
            </w:r>
          </w:p>
        </w:tc>
        <w:tc>
          <w:tcPr>
            <w:tcW w:w="1704" w:type="dxa"/>
          </w:tcPr>
          <w:p>
            <w:pPr>
              <w:rPr>
                <w:rFonts w:hint="default"/>
                <w:vertAlign w:val="baseline"/>
                <w:lang w:val="es-MX"/>
              </w:rPr>
            </w:pPr>
            <w:r>
              <w:rPr>
                <w:rFonts w:hint="default"/>
                <w:vertAlign w:val="baseline"/>
                <w:lang w:val="es-MX"/>
              </w:rPr>
              <w:t>0</w:t>
            </w:r>
          </w:p>
        </w:tc>
        <w:tc>
          <w:tcPr>
            <w:tcW w:w="1704" w:type="dxa"/>
          </w:tcPr>
          <w:p>
            <w:pPr>
              <w:rPr>
                <w:rFonts w:hint="default"/>
                <w:vertAlign w:val="baseline"/>
                <w:lang w:val="es-MX"/>
              </w:rPr>
            </w:pPr>
            <w:r>
              <w:rPr>
                <w:rFonts w:hint="default"/>
                <w:vertAlign w:val="baseline"/>
                <w:lang w:val="es-MX"/>
              </w:rPr>
              <w:t>1</w:t>
            </w:r>
          </w:p>
        </w:tc>
        <w:tc>
          <w:tcPr>
            <w:tcW w:w="1704" w:type="dxa"/>
          </w:tcPr>
          <w:p>
            <w:pPr>
              <w:rPr>
                <w:rFonts w:hint="default"/>
                <w:vertAlign w:val="baseline"/>
                <w:lang w:val="es-MX"/>
              </w:rPr>
            </w:pPr>
            <w:r>
              <w:rPr>
                <w:rFonts w:hint="default"/>
                <w:color w:val="FF0000"/>
                <w:vertAlign w:val="baseline"/>
                <w:lang w:val="es-MX"/>
              </w:rPr>
              <w:t>2</w:t>
            </w:r>
          </w:p>
        </w:tc>
        <w:tc>
          <w:tcPr>
            <w:tcW w:w="1704" w:type="dxa"/>
          </w:tcPr>
          <w:p>
            <w:pPr>
              <w:rPr>
                <w:rFonts w:hint="default"/>
                <w:vertAlign w:val="baseline"/>
                <w:lang w:val="es-MX"/>
              </w:rPr>
            </w:pPr>
            <w:r>
              <w:rPr>
                <w:rFonts w:hint="default"/>
                <w:vertAlign w:val="baseline"/>
                <w:lang w:val="es-MX"/>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rPr>
                <w:rFonts w:hint="default"/>
                <w:vertAlign w:val="baseline"/>
                <w:lang w:val="es-MX"/>
              </w:rPr>
            </w:pPr>
            <w:r>
              <w:rPr>
                <w:rFonts w:hint="default"/>
                <w:vertAlign w:val="baseline"/>
                <w:lang w:val="es-MX"/>
              </w:rPr>
              <w:t>d</w:t>
            </w:r>
          </w:p>
        </w:tc>
        <w:tc>
          <w:tcPr>
            <w:tcW w:w="1704" w:type="dxa"/>
          </w:tcPr>
          <w:p>
            <w:pPr>
              <w:rPr>
                <w:rFonts w:hint="default"/>
                <w:vertAlign w:val="baseline"/>
                <w:lang w:val="es-MX"/>
              </w:rPr>
            </w:pPr>
            <w:r>
              <w:rPr>
                <w:rFonts w:hint="default"/>
                <w:vertAlign w:val="baseline"/>
                <w:lang w:val="es-MX"/>
              </w:rPr>
              <w:t>0</w:t>
            </w:r>
          </w:p>
        </w:tc>
        <w:tc>
          <w:tcPr>
            <w:tcW w:w="1704" w:type="dxa"/>
          </w:tcPr>
          <w:p>
            <w:pPr>
              <w:rPr>
                <w:rFonts w:hint="default"/>
                <w:vertAlign w:val="baseline"/>
                <w:lang w:val="es-MX"/>
              </w:rPr>
            </w:pPr>
            <w:r>
              <w:rPr>
                <w:rFonts w:hint="default"/>
                <w:vertAlign w:val="baseline"/>
                <w:lang w:val="es-MX"/>
              </w:rPr>
              <w:t>1</w:t>
            </w:r>
          </w:p>
        </w:tc>
        <w:tc>
          <w:tcPr>
            <w:tcW w:w="1704" w:type="dxa"/>
          </w:tcPr>
          <w:p>
            <w:pPr>
              <w:rPr>
                <w:rFonts w:hint="default"/>
                <w:vertAlign w:val="baseline"/>
                <w:lang w:val="es-MX"/>
              </w:rPr>
            </w:pPr>
            <w:r>
              <w:rPr>
                <w:rFonts w:hint="default"/>
                <w:color w:val="00B050"/>
                <w:vertAlign w:val="baseline"/>
                <w:lang w:val="es-MX"/>
              </w:rPr>
              <w:t>2</w:t>
            </w:r>
          </w:p>
        </w:tc>
        <w:tc>
          <w:tcPr>
            <w:tcW w:w="1704" w:type="dxa"/>
          </w:tcPr>
          <w:p>
            <w:pPr>
              <w:rPr>
                <w:rFonts w:hint="default"/>
                <w:vertAlign w:val="baseline"/>
                <w:lang w:val="es-MX"/>
              </w:rPr>
            </w:pPr>
            <w:r>
              <w:rPr>
                <w:rFonts w:hint="default"/>
                <w:vertAlign w:val="baseline"/>
                <w:lang w:val="es-MX"/>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rPr>
                <w:rFonts w:hint="default"/>
                <w:vertAlign w:val="baseline"/>
                <w:lang w:val="es-MX"/>
              </w:rPr>
            </w:pPr>
            <w:r>
              <w:rPr>
                <w:rFonts w:hint="default"/>
                <w:vertAlign w:val="baseline"/>
                <w:lang w:val="es-MX"/>
              </w:rPr>
              <w:t>e</w:t>
            </w:r>
          </w:p>
        </w:tc>
        <w:tc>
          <w:tcPr>
            <w:tcW w:w="1704" w:type="dxa"/>
          </w:tcPr>
          <w:p>
            <w:pPr>
              <w:rPr>
                <w:rFonts w:hint="default"/>
                <w:vertAlign w:val="baseline"/>
                <w:lang w:val="es-MX"/>
              </w:rPr>
            </w:pPr>
            <w:r>
              <w:rPr>
                <w:rFonts w:hint="default"/>
                <w:vertAlign w:val="baseline"/>
                <w:lang w:val="es-MX"/>
              </w:rPr>
              <w:t>0</w:t>
            </w:r>
          </w:p>
        </w:tc>
        <w:tc>
          <w:tcPr>
            <w:tcW w:w="1704" w:type="dxa"/>
          </w:tcPr>
          <w:p>
            <w:pPr>
              <w:rPr>
                <w:rFonts w:hint="default"/>
                <w:vertAlign w:val="baseline"/>
                <w:lang w:val="es-MX"/>
              </w:rPr>
            </w:pPr>
            <w:r>
              <w:rPr>
                <w:rFonts w:hint="default"/>
                <w:vertAlign w:val="baseline"/>
                <w:lang w:val="es-MX"/>
              </w:rPr>
              <w:t>1</w:t>
            </w:r>
          </w:p>
        </w:tc>
        <w:tc>
          <w:tcPr>
            <w:tcW w:w="1704" w:type="dxa"/>
          </w:tcPr>
          <w:p>
            <w:pPr>
              <w:rPr>
                <w:rFonts w:hint="default"/>
                <w:vertAlign w:val="baseline"/>
                <w:lang w:val="es-MX"/>
              </w:rPr>
            </w:pPr>
            <w:r>
              <w:rPr>
                <w:rFonts w:hint="default"/>
                <w:vertAlign w:val="baseline"/>
                <w:lang w:val="es-MX"/>
              </w:rPr>
              <w:t>2</w:t>
            </w:r>
          </w:p>
        </w:tc>
        <w:tc>
          <w:tcPr>
            <w:tcW w:w="1704" w:type="dxa"/>
            <w:shd w:val="clear" w:color="auto" w:fill="9CC2E5" w:themeFill="accent1" w:themeFillTint="99"/>
          </w:tcPr>
          <w:p>
            <w:pPr>
              <w:rPr>
                <w:rFonts w:hint="default"/>
                <w:vertAlign w:val="baseline"/>
                <w:lang w:val="es-MX"/>
              </w:rPr>
            </w:pPr>
            <w:r>
              <w:rPr>
                <w:rFonts w:hint="default"/>
                <w:color w:val="FF0000"/>
                <w:vertAlign w:val="baseline"/>
                <w:lang w:val="es-MX"/>
              </w:rPr>
              <w:t>3</w:t>
            </w:r>
          </w:p>
        </w:tc>
      </w:tr>
    </w:tbl>
    <w:p>
      <w:pPr>
        <w:rPr>
          <w:rFonts w:hint="default"/>
          <w:lang w:val="es-MX"/>
        </w:rPr>
      </w:pPr>
    </w:p>
    <w:p>
      <w:pPr>
        <w:rPr>
          <w:rFonts w:hint="default"/>
          <w:lang w:val="es-MX"/>
        </w:rPr>
      </w:pPr>
      <w:r>
        <w:rPr>
          <w:rFonts w:hint="default"/>
          <w:lang w:val="es-MX"/>
        </w:rPr>
        <w:t>Los números coloreados son el camino realizado para llegar a formar la subsecuencia (comenzando desde 6 x 4). En rojo se muestran los cuales han sido formados tomando la diagonal anterior, es decir, los que se incorporan. Dando como resultado “ace”.</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91753C"/>
    <w:rsid w:val="2491753C"/>
    <w:rsid w:val="5DB726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265</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2023-07-15T00:12:00Z</dcterms:created>
  <dc:creator>User</dc:creator>
  <cp:lastModifiedBy>User</cp:lastModifiedBy>
  <dcterms:modified xsi:type="dcterms:W3CDTF">2023-07-17T01:14:05Z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2058-11.2.0.11537</vt:lpwstr>
  </property>
  <property fmtid="{D5CDD505-2E9C-101B-9397-08002B2CF9AE}" pid="3" name="ICV">
    <vt:lpwstr>488BF386C9BD4E1A815A202D42F9F9EA</vt:lpwstr>
  </property>
</Properties>
</file>