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before="0" w:after="20" w:line="240" w:lineRule="auto"/>
      </w:pPr>
      <w:r>
        <w:t>The Council — AIMS Scope, Context and Interested Parties</w:t>
      </w:r>
    </w:p>
    <w:p>
      <w:pPr>
        <w:pStyle w:val="Title"/>
        <w:spacing w:before="0" w:after="20" w:line="240" w:lineRule="auto"/>
      </w:pPr>
      <w:r>
        <w:t>AI Management System — Scope and Context</w:t>
      </w:r>
    </w:p>
    <w:p>
      <w:pPr>
        <w:pStyle w:val="normal1"/>
      </w:pPr>
      <w:r>
        <w:rPr>
          <w:color w:val="0A2342"/>
          <w:sz w:val="26"/>
          <w:szCs w:val="26"/>
        </w:rPr>
        <w:t>Lean operating boundary. The AIMS is the management-system layer behind the AI governance process; it is not an additional Service Owner submission route. AIMS records are maintained by the governance function and reuse the same AIR-ID and existing evidence wherever possible.</w:t>
      </w:r>
    </w:p>
    <w:p>
      <w:pPr>
        <w:spacing w:before="0" w:after="40" w:line="240" w:lineRule="auto"/>
      </w:pPr>
      <w:r>
        <w:t>The Council  ·  AI Governance Playbook (AIMS foundation artefact)  ·  AIG-AIMS-01  ·  v1.6 draft</w:t>
      </w:r>
    </w:p>
    <w:p>
      <w:pPr>
        <w:spacing w:before="0" w:after="120" w:line="240" w:lineRule="auto"/>
      </w:pPr>
      <w:r>
        <w:t>The proposed boundary, organisational context and interested-party requirements for the Council’s AI Management System.</w:t>
      </w:r>
    </w:p>
    <w:p>
      <w:pPr>
        <w:keepNext w:val="0"/>
        <w:spacing w:before="0" w:after="120" w:line="252" w:lineRule="auto"/>
      </w:pPr>
      <w:r>
        <w:t xml:space="preserve">This document establishes the proposed scope of the Council’s AI Management System (AIMS), the internal and external issues that can affect it, and the principal requirements of relevant interested parties. It supports ISO/IEC 42001:2023 clauses 4.1 to 4.4 and operates with the AI Governance Playbook and the current controlled suite of 52 purpose-grouped artefacts (see AIG-GOV-03). The ISO/IEC 42001 management-system layer is primarily AIG-AIMS-01, AIG-AIMS-02, AIG-AIMS-03, AIG-AIMS-04, AIG-AIMS-05, AIG-AIMS-06, AIG-AIMS-07, AIG-AIMS-08, AIG-AIMS-09, AIG-AIMS-10, AIG-AIMS-11, AIG-AIMS-12, AIG-AIMS-13, AIG-GOV-04 and AIG-GOV-05, with associated governance, continuity and agentic controls elsewhere in the controlled suite.</w:t>
      </w:r>
    </w:p>
    <w:p>
      <w:pPr>
        <w:keepNext w:val="0"/>
        <w:spacing w:before="0" w:after="140" w:line="252" w:lineRule="auto"/>
      </w:pPr>
      <w:r>
        <w:t>Control status: this is a draft for Council review. The proposed scope and boundaries do not take effect until the adopting authority, accountable owner, organisational interfaces and applicable Council delegations have been formally confirmed.</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1.  Purpose and Required Decisions</w:t>
      </w:r>
    </w:p>
    <w:p>
      <w:pPr>
        <w:keepNext w:val="0"/>
        <w:spacing w:before="0" w:after="120" w:line="252" w:lineRule="auto"/>
      </w:pPr>
      <w:r>
        <w:t>The purpose of this document is to define what the Council’s AIMS governs and to provide a controlled basis for AI policy, objectives, risk treatment, operational controls, monitoring, internal audit and management review.</w:t>
      </w:r>
    </w:p>
    <w:p>
      <w:pPr>
        <w:pStyle w:val="Heading2"/>
        <w:keepNext/>
        <w:spacing w:before="40" w:after="80" w:line="240" w:lineRule="auto"/>
        <w:outlineLvl w:val="1"/>
      </w:pPr>
      <w:r>
        <w:t>Before adoption, the Council shall confirm:</w:t>
      </w:r>
    </w:p>
    <w:p>
      <w:pPr>
        <w:pStyle w:val="ListParagraph"/>
        <w:numPr>
          <w:ilvl w:val="0"/>
          <w:numId w:val="1"/>
        </w:numPr>
        <w:spacing w:before="0" w:after="70" w:line="252" w:lineRule="auto"/>
      </w:pPr>
      <w:r>
        <w:t>the organisational boundary and services included in the AIMS;</w:t>
      </w:r>
    </w:p>
    <w:p>
      <w:pPr>
        <w:pStyle w:val="ListParagraph"/>
        <w:numPr>
          <w:ilvl w:val="0"/>
          <w:numId w:val="1"/>
        </w:numPr>
        <w:spacing w:before="0" w:after="70" w:line="252" w:lineRule="auto"/>
      </w:pPr>
      <w:r>
        <w:t>the senior accountable owner and approval authority for the AIMS, as confirmed under the Council Constitution and Scheme of Delegation;</w:t>
      </w:r>
    </w:p>
    <w:p>
      <w:pPr>
        <w:pStyle w:val="ListParagraph"/>
        <w:numPr>
          <w:ilvl w:val="0"/>
          <w:numId w:val="1"/>
        </w:numPr>
        <w:spacing w:before="0" w:after="70" w:line="252" w:lineRule="auto"/>
      </w:pPr>
      <w:r>
        <w:t>the governance interfaces and delegations through which AIMS decisions are made;</w:t>
      </w:r>
    </w:p>
    <w:p>
      <w:pPr>
        <w:pStyle w:val="ListParagraph"/>
        <w:numPr>
          <w:ilvl w:val="0"/>
          <w:numId w:val="1"/>
        </w:numPr>
        <w:spacing w:before="0" w:after="70" w:line="252" w:lineRule="auto"/>
      </w:pPr>
      <w:r>
        <w:t>the interested parties and requirements applicable to the Council’s circumstances; and</w:t>
      </w:r>
    </w:p>
    <w:p>
      <w:pPr>
        <w:pStyle w:val="ListParagraph"/>
        <w:numPr>
          <w:ilvl w:val="0"/>
          <w:numId w:val="1"/>
        </w:numPr>
        <w:spacing w:before="0" w:after="70" w:line="252" w:lineRule="auto"/>
      </w:pPr>
      <w:r>
        <w:t>the proposed exclusions, ensuring that none removes a legal duty or responsibility within the Council’s control.</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2.  Proposed AIMS Scope</w:t>
      </w:r>
    </w:p>
    <w:p>
      <w:pPr>
        <w:pStyle w:val="Heading2"/>
        <w:keepNext/>
        <w:spacing w:before="40" w:after="80" w:line="240" w:lineRule="auto"/>
        <w:outlineLvl w:val="1"/>
      </w:pPr>
      <w:r>
        <w:t>Proposed documented scope statement</w:t>
      </w:r>
    </w:p>
    <w:p>
      <w:pPr>
        <w:keepNext w:val="0"/>
        <w:spacing w:before="0" w:after="100" w:line="252" w:lineRule="auto"/>
      </w:pPr>
      <w:r>
        <w:t xml:space="preserve">The Council’s AI Management System applies to all AI systems that the Council proposes, designs, develops, configures, procures, commissions, pilots, deploys, uses, monitors, materially changes or retires, including systems operated by suppliers or delivery partners on the Council’s behalf, where the system supports Council functions or service delivery; processes Council information; influences decisions, recommendations or access to services; generates content or interacts with residents or staff; or may create material legal, ethical, equality, human-rights, privacy, safeguarding, security, financial, operational or reputational effects.</w:t>
      </w:r>
    </w:p>
    <w:p>
      <w:pPr>
        <w:keepNext w:val="0"/>
        <w:spacing w:before="0" w:after="120" w:line="252" w:lineRule="auto"/>
      </w:pPr>
      <w:r>
        <w:t>The AIMS covers the Council-controlled part of each AI system lifecycle and applies proportionately to risk. It includes proposed and unauthorised uses discovered through assurance, monitoring or incident processes. Supplier ownership, embedded functionality, pilot status or use of a free service does not by itself place an AI system outside scope.</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3.  Boundaries and Applicability</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500"/>
        <w:gridCol w:w="3900"/>
        <w:gridCol w:w="4200"/>
      </w:tblGrid>
      <w:tr>
        <w:trPr>
          <w:tblHeader w:val="true"/>
        </w:trPr>
        <w:tc>
          <w:tcPr>
            <w:tcW w:type="dxa" w:w="15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Boundary</w:t>
            </w:r>
          </w:p>
        </w:tc>
        <w:tc>
          <w:tcPr>
            <w:tcW w:type="dxa" w:w="39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Included</w:t>
            </w:r>
          </w:p>
        </w:tc>
        <w:tc>
          <w:tcPr>
            <w:tcW w:type="dxa" w:w="42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Application note</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Organisational</w:t>
            </w:r>
          </w:p>
        </w:tc>
        <w:tc>
          <w:tcPr>
            <w:tcW w:type="dxa" w:w="3900"/>
            <w:vAlign w:val="center"/>
            <w:tcMar>
              <w:top w:w="90" w:type="dxa"/>
              <w:start w:w="120" w:type="dxa"/>
              <w:bottom w:w="90" w:type="dxa"/>
              <w:end w:w="120" w:type="dxa"/>
            </w:tcMar>
          </w:tcPr>
          <w:p>
            <w:pPr>
              <w:spacing w:before="0" w:after="0" w:line="240" w:lineRule="auto"/>
              <w:jc w:val="left"/>
            </w:pPr>
            <w:r>
              <w:t>All Council directorates, services, projects and corporate functions undertaking Council business.</w:t>
            </w:r>
          </w:p>
        </w:tc>
        <w:tc>
          <w:tcPr>
            <w:tcW w:type="dxa" w:w="4200"/>
            <w:vAlign w:val="center"/>
            <w:tcMar>
              <w:top w:w="90" w:type="dxa"/>
              <w:start w:w="120" w:type="dxa"/>
              <w:bottom w:w="90" w:type="dxa"/>
              <w:end w:w="120" w:type="dxa"/>
            </w:tcMar>
          </w:tcPr>
          <w:p>
            <w:pPr>
              <w:spacing w:before="0" w:after="0" w:line="240" w:lineRule="auto"/>
              <w:jc w:val="left"/>
            </w:pPr>
            <w:r>
              <w:t>Formal adoption shall identify any entities outside the Council’s legal or management control.</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People</w:t>
            </w:r>
          </w:p>
        </w:tc>
        <w:tc>
          <w:tcPr>
            <w:tcW w:type="dxa" w:w="3900"/>
            <w:vAlign w:val="center"/>
            <w:tcMar>
              <w:top w:w="90" w:type="dxa"/>
              <w:start w:w="120" w:type="dxa"/>
              <w:bottom w:w="90" w:type="dxa"/>
              <w:end w:w="120" w:type="dxa"/>
            </w:tcMar>
            <w:shd w:fill="F8FBFF" w:val="clear"/>
          </w:tcPr>
          <w:p>
            <w:pPr>
              <w:spacing w:before="0" w:after="0" w:line="240" w:lineRule="auto"/>
              <w:jc w:val="left"/>
            </w:pPr>
            <w:r>
              <w:t>Employees, agency workers, contractors, consultants, volunteers and elected members when conducting Council business.</w:t>
            </w:r>
          </w:p>
        </w:tc>
        <w:tc>
          <w:tcPr>
            <w:tcW w:type="dxa" w:w="4200"/>
            <w:vAlign w:val="center"/>
            <w:tcMar>
              <w:top w:w="90" w:type="dxa"/>
              <w:start w:w="120" w:type="dxa"/>
              <w:bottom w:w="90" w:type="dxa"/>
              <w:end w:w="120" w:type="dxa"/>
            </w:tcMar>
            <w:shd w:fill="F8FBFF" w:val="clear"/>
          </w:tcPr>
          <w:p>
            <w:pPr>
              <w:spacing w:before="0" w:after="0" w:line="240" w:lineRule="auto"/>
              <w:jc w:val="left"/>
            </w:pPr>
            <w:r>
              <w:t>Role-specific responsibilities and training apply according to access, authority and risk.</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Lifecycle</w:t>
            </w:r>
          </w:p>
        </w:tc>
        <w:tc>
          <w:tcPr>
            <w:tcW w:type="dxa" w:w="3900"/>
            <w:vAlign w:val="center"/>
            <w:tcMar>
              <w:top w:w="90" w:type="dxa"/>
              <w:start w:w="120" w:type="dxa"/>
              <w:bottom w:w="90" w:type="dxa"/>
              <w:end w:w="120" w:type="dxa"/>
            </w:tcMar>
          </w:tcPr>
          <w:p>
            <w:pPr>
              <w:spacing w:before="0" w:after="0" w:line="240" w:lineRule="auto"/>
              <w:jc w:val="left"/>
            </w:pPr>
            <w:r>
              <w:t>Discovery, research, intake, design, build, procurement, configuration, testing, piloting, approval, deployment, operation, change and retirement.</w:t>
            </w:r>
          </w:p>
        </w:tc>
        <w:tc>
          <w:tcPr>
            <w:tcW w:type="dxa" w:w="4200"/>
            <w:vAlign w:val="center"/>
            <w:tcMar>
              <w:top w:w="90" w:type="dxa"/>
              <w:start w:w="120" w:type="dxa"/>
              <w:bottom w:w="90" w:type="dxa"/>
              <w:end w:w="120" w:type="dxa"/>
            </w:tcMar>
          </w:tcPr>
          <w:p>
            <w:pPr>
              <w:spacing w:before="0" w:after="0" w:line="240" w:lineRule="auto"/>
              <w:jc w:val="left"/>
            </w:pPr>
            <w:r>
              <w:t>Controls are applied at the earliest relevant stage and remain traceable through the AI Register.</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Technology</w:t>
            </w:r>
          </w:p>
        </w:tc>
        <w:tc>
          <w:tcPr>
            <w:tcW w:type="dxa" w:w="3900"/>
            <w:vAlign w:val="center"/>
            <w:tcMar>
              <w:top w:w="90" w:type="dxa"/>
              <w:start w:w="120" w:type="dxa"/>
              <w:bottom w:w="90" w:type="dxa"/>
              <w:end w:w="120" w:type="dxa"/>
            </w:tcMar>
            <w:shd w:fill="F8FBFF" w:val="clear"/>
          </w:tcPr>
          <w:p>
            <w:pPr>
              <w:spacing w:before="0" w:after="0" w:line="240" w:lineRule="auto"/>
              <w:jc w:val="left"/>
            </w:pPr>
            <w:r>
              <w:t>Standalone AI, AI-enabled products, embedded features, models, decision-support tools, generative AI, predictive systems and material AI-enabled updates.</w:t>
            </w:r>
          </w:p>
        </w:tc>
        <w:tc>
          <w:tcPr>
            <w:tcW w:type="dxa" w:w="4200"/>
            <w:vAlign w:val="center"/>
            <w:tcMar>
              <w:top w:w="90" w:type="dxa"/>
              <w:start w:w="120" w:type="dxa"/>
              <w:bottom w:w="90" w:type="dxa"/>
              <w:end w:w="120" w:type="dxa"/>
            </w:tcMar>
            <w:shd w:fill="F8FBFF" w:val="clear"/>
          </w:tcPr>
          <w:p>
            <w:pPr>
              <w:spacing w:before="0" w:after="0" w:line="240" w:lineRule="auto"/>
              <w:jc w:val="left"/>
            </w:pPr>
            <w:r>
              <w:t>The functional definition in the Playbook and Staff Guide is used; marketing labels are not determinative.</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Delivery</w:t>
            </w:r>
          </w:p>
        </w:tc>
        <w:tc>
          <w:tcPr>
            <w:tcW w:type="dxa" w:w="3900"/>
            <w:vAlign w:val="center"/>
            <w:tcMar>
              <w:top w:w="90" w:type="dxa"/>
              <w:start w:w="120" w:type="dxa"/>
              <w:bottom w:w="90" w:type="dxa"/>
              <w:end w:w="120" w:type="dxa"/>
            </w:tcMar>
          </w:tcPr>
          <w:p>
            <w:pPr>
              <w:spacing w:before="0" w:after="0" w:line="240" w:lineRule="auto"/>
              <w:jc w:val="left"/>
            </w:pPr>
            <w:r>
              <w:t>Systems hosted internally, in cloud services, through suppliers, shared services or delivery partners.</w:t>
            </w:r>
          </w:p>
        </w:tc>
        <w:tc>
          <w:tcPr>
            <w:tcW w:type="dxa" w:w="4200"/>
            <w:vAlign w:val="center"/>
            <w:tcMar>
              <w:top w:w="90" w:type="dxa"/>
              <w:start w:w="120" w:type="dxa"/>
              <w:bottom w:w="90" w:type="dxa"/>
              <w:end w:w="120" w:type="dxa"/>
            </w:tcMar>
          </w:tcPr>
          <w:p>
            <w:pPr>
              <w:spacing w:before="0" w:after="0" w:line="240" w:lineRule="auto"/>
              <w:jc w:val="left"/>
            </w:pPr>
            <w:r>
              <w:t>The Council governs the responsibilities, decisions, data and outcomes within its control and influence.</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Information</w:t>
            </w:r>
          </w:p>
        </w:tc>
        <w:tc>
          <w:tcPr>
            <w:tcW w:type="dxa" w:w="3900"/>
            <w:vAlign w:val="center"/>
            <w:tcMar>
              <w:top w:w="90" w:type="dxa"/>
              <w:start w:w="120" w:type="dxa"/>
              <w:bottom w:w="90" w:type="dxa"/>
              <w:end w:w="120" w:type="dxa"/>
            </w:tcMar>
            <w:shd w:fill="F8FBFF" w:val="clear"/>
          </w:tcPr>
          <w:p>
            <w:pPr>
              <w:spacing w:before="0" w:after="0" w:line="240" w:lineRule="auto"/>
              <w:jc w:val="left"/>
            </w:pPr>
            <w:r>
              <w:t>Council, resident, staff, service, operational and publicly sourced information used by in-scope AI activity.</w:t>
            </w:r>
          </w:p>
        </w:tc>
        <w:tc>
          <w:tcPr>
            <w:tcW w:type="dxa" w:w="4200"/>
            <w:vAlign w:val="center"/>
            <w:tcMar>
              <w:top w:w="90" w:type="dxa"/>
              <w:start w:w="120" w:type="dxa"/>
              <w:bottom w:w="90" w:type="dxa"/>
              <w:end w:w="120" w:type="dxa"/>
            </w:tcMar>
            <w:shd w:fill="F8FBFF" w:val="clear"/>
          </w:tcPr>
          <w:p>
            <w:pPr>
              <w:spacing w:before="0" w:after="0" w:line="240" w:lineRule="auto"/>
              <w:jc w:val="left"/>
            </w:pPr>
            <w:r>
              <w:t>Data protection, information governance, records and security controls continue to apply.</w:t>
            </w:r>
          </w:p>
        </w:tc>
      </w:tr>
      <w:tr>
        <w:tc>
          <w:tcPr>
            <w:tcW w:type="dxa" w:w="1500"/>
            <w:vAlign w:val="center"/>
            <w:tcMar>
              <w:top w:w="90" w:type="dxa"/>
              <w:start w:w="120" w:type="dxa"/>
              <w:bottom w:w="90" w:type="dxa"/>
              <w:end w:w="120" w:type="dxa"/>
            </w:tcMar>
            <w:shd w:fill="EEF4FB" w:val="clear"/>
          </w:tcPr>
          <w:p>
            <w:pPr>
              <w:spacing w:before="0" w:after="0" w:line="240" w:lineRule="auto"/>
              <w:jc w:val="left"/>
            </w:pPr>
            <w:r>
              <w:t>Location</w:t>
            </w:r>
          </w:p>
        </w:tc>
        <w:tc>
          <w:tcPr>
            <w:tcW w:type="dxa" w:w="3900"/>
            <w:vAlign w:val="center"/>
            <w:tcMar>
              <w:top w:w="90" w:type="dxa"/>
              <w:start w:w="120" w:type="dxa"/>
              <w:bottom w:w="90" w:type="dxa"/>
              <w:end w:w="120" w:type="dxa"/>
            </w:tcMar>
          </w:tcPr>
          <w:p>
            <w:pPr>
              <w:spacing w:before="0" w:after="0" w:line="240" w:lineRule="auto"/>
              <w:jc w:val="left"/>
            </w:pPr>
            <w:r>
              <w:t>Council premises, remote work, supplier environments and digital channels used to conduct Council business.</w:t>
            </w:r>
          </w:p>
        </w:tc>
        <w:tc>
          <w:tcPr>
            <w:tcW w:type="dxa" w:w="4200"/>
            <w:vAlign w:val="center"/>
            <w:tcMar>
              <w:top w:w="90" w:type="dxa"/>
              <w:start w:w="120" w:type="dxa"/>
              <w:bottom w:w="90" w:type="dxa"/>
              <w:end w:w="120" w:type="dxa"/>
            </w:tcMar>
          </w:tcPr>
          <w:p>
            <w:pPr>
              <w:spacing w:before="0" w:after="0" w:line="240" w:lineRule="auto"/>
              <w:jc w:val="left"/>
            </w:pPr>
            <w:r>
              <w:t>Jurisdiction, hosting and international-transfer issues are assessed system by system.</w:t>
            </w:r>
          </w:p>
        </w:tc>
      </w:tr>
    </w:tbl>
    <w:p>
      <w:pPr>
        <w:spacing w:before="0" w:after="40" w:line="240" w:lineRule="auto"/>
      </w:pPr>
    </w:p>
    <w:p>
      <w:pPr>
        <w:pStyle w:val="Heading2"/>
        <w:keepNext/>
        <w:spacing w:before="40" w:after="80" w:line="240" w:lineRule="auto"/>
        <w:outlineLvl w:val="1"/>
      </w:pPr>
      <w:r>
        <w:t>Lifecycle control point</w:t>
      </w:r>
    </w:p>
    <w:p>
      <w:pPr>
        <w:keepNext w:val="0"/>
        <w:spacing w:before="0" w:after="120" w:line="252" w:lineRule="auto"/>
      </w:pPr>
      <w:r>
        <w:t>Every in-scope use shall be registered before substantive development, procurement, piloting or operational use, subject to the emergency and incident arrangements in the Playbook. Operational use requires the applicable governance approval and the AI Register statuses specified by AIG-OPS-01.</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4.  Council Roles in Relation to AI Systems</w:t>
      </w:r>
    </w:p>
    <w:p>
      <w:pPr>
        <w:keepNext w:val="0"/>
        <w:spacing w:before="0" w:after="120" w:line="252" w:lineRule="auto"/>
      </w:pPr>
      <w:r>
        <w:t>The Council’s role may vary between systems and may change during a lifecycle. The role and the responsibilities that follow from it shall therefore be recorded in the AI Register, Intake Form, Model Card, contracts and Governance Decision Record as applicable.</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700"/>
        <w:gridCol w:w="3800"/>
        <w:gridCol w:w="4100"/>
      </w:tblGrid>
      <w:tr>
        <w:trPr>
          <w:tblHeader w:val="true"/>
        </w:trPr>
        <w:tc>
          <w:tcPr>
            <w:tcW w:type="dxa" w:w="17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Role</w:t>
            </w:r>
          </w:p>
        </w:tc>
        <w:tc>
          <w:tcPr>
            <w:tcW w:type="dxa" w:w="38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When it may apply</w:t>
            </w:r>
          </w:p>
        </w:tc>
        <w:tc>
          <w:tcPr>
            <w:tcW w:type="dxa" w:w="41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Governance consequence</w:t>
            </w:r>
          </w:p>
        </w:tc>
      </w:tr>
      <w:tr>
        <w:tc>
          <w:tcPr>
            <w:tcW w:type="dxa" w:w="1700"/>
            <w:vAlign w:val="center"/>
            <w:tcMar>
              <w:top w:w="90" w:type="dxa"/>
              <w:start w:w="120" w:type="dxa"/>
              <w:bottom w:w="90" w:type="dxa"/>
              <w:end w:w="120" w:type="dxa"/>
            </w:tcMar>
            <w:shd w:fill="EEF4FB" w:val="clear"/>
          </w:tcPr>
          <w:p>
            <w:pPr>
              <w:spacing w:before="0" w:after="0" w:line="240" w:lineRule="auto"/>
              <w:jc w:val="left"/>
            </w:pPr>
            <w:r>
              <w:t>User / deployer</w:t>
            </w:r>
          </w:p>
        </w:tc>
        <w:tc>
          <w:tcPr>
            <w:tcW w:type="dxa" w:w="3800"/>
            <w:vAlign w:val="center"/>
            <w:tcMar>
              <w:top w:w="90" w:type="dxa"/>
              <w:start w:w="120" w:type="dxa"/>
              <w:bottom w:w="90" w:type="dxa"/>
              <w:end w:w="120" w:type="dxa"/>
            </w:tcMar>
          </w:tcPr>
          <w:p>
            <w:pPr>
              <w:spacing w:before="0" w:after="0" w:line="240" w:lineRule="auto"/>
              <w:jc w:val="left"/>
            </w:pPr>
            <w:r>
              <w:t>The Council selects or uses an AI system in a Council process or service.</w:t>
            </w:r>
          </w:p>
        </w:tc>
        <w:tc>
          <w:tcPr>
            <w:tcW w:type="dxa" w:w="4100"/>
            <w:vAlign w:val="center"/>
            <w:tcMar>
              <w:top w:w="90" w:type="dxa"/>
              <w:start w:w="120" w:type="dxa"/>
              <w:bottom w:w="90" w:type="dxa"/>
              <w:end w:w="120" w:type="dxa"/>
            </w:tcMar>
          </w:tcPr>
          <w:p>
            <w:pPr>
              <w:spacing w:before="0" w:after="0" w:line="240" w:lineRule="auto"/>
              <w:jc w:val="left"/>
            </w:pPr>
            <w:r>
              <w:t>The Council remains responsible for intended use, oversight, instructions, monitoring, affected people and decisions within its control.</w:t>
            </w:r>
          </w:p>
        </w:tc>
      </w:tr>
      <w:tr>
        <w:tc>
          <w:tcPr>
            <w:tcW w:type="dxa" w:w="1700"/>
            <w:vAlign w:val="center"/>
            <w:tcMar>
              <w:top w:w="90" w:type="dxa"/>
              <w:start w:w="120" w:type="dxa"/>
              <w:bottom w:w="90" w:type="dxa"/>
              <w:end w:w="120" w:type="dxa"/>
            </w:tcMar>
            <w:shd w:fill="EEF4FB" w:val="clear"/>
          </w:tcPr>
          <w:p>
            <w:pPr>
              <w:spacing w:before="0" w:after="0" w:line="240" w:lineRule="auto"/>
              <w:jc w:val="left"/>
            </w:pPr>
            <w:r>
              <w:t>Procurer / customer</w:t>
            </w:r>
          </w:p>
        </w:tc>
        <w:tc>
          <w:tcPr>
            <w:tcW w:type="dxa" w:w="3800"/>
            <w:vAlign w:val="center"/>
            <w:tcMar>
              <w:top w:w="90" w:type="dxa"/>
              <w:start w:w="120" w:type="dxa"/>
              <w:bottom w:w="90" w:type="dxa"/>
              <w:end w:w="120" w:type="dxa"/>
            </w:tcMar>
            <w:shd w:fill="F8FBFF" w:val="clear"/>
          </w:tcPr>
          <w:p>
            <w:pPr>
              <w:spacing w:before="0" w:after="0" w:line="240" w:lineRule="auto"/>
              <w:jc w:val="left"/>
            </w:pPr>
            <w:r>
              <w:t>The Council buys, commissions, licenses or renews an AI-enabled product or service.</w:t>
            </w:r>
          </w:p>
        </w:tc>
        <w:tc>
          <w:tcPr>
            <w:tcW w:type="dxa" w:w="4100"/>
            <w:vAlign w:val="center"/>
            <w:tcMar>
              <w:top w:w="90" w:type="dxa"/>
              <w:start w:w="120" w:type="dxa"/>
              <w:bottom w:w="90" w:type="dxa"/>
              <w:end w:w="120" w:type="dxa"/>
            </w:tcMar>
            <w:shd w:fill="F8FBFF" w:val="clear"/>
          </w:tcPr>
          <w:p>
            <w:pPr>
              <w:spacing w:before="0" w:after="0" w:line="240" w:lineRule="auto"/>
              <w:jc w:val="left"/>
            </w:pPr>
            <w:r>
              <w:t>Supplier due diligence, contract controls, evidence access, change notification, incident support and exit arrangements are required.</w:t>
            </w:r>
          </w:p>
        </w:tc>
      </w:tr>
      <w:tr>
        <w:tc>
          <w:tcPr>
            <w:tcW w:type="dxa" w:w="1700"/>
            <w:vAlign w:val="center"/>
            <w:tcMar>
              <w:top w:w="90" w:type="dxa"/>
              <w:start w:w="120" w:type="dxa"/>
              <w:bottom w:w="90" w:type="dxa"/>
              <w:end w:w="120" w:type="dxa"/>
            </w:tcMar>
            <w:shd w:fill="EEF4FB" w:val="clear"/>
          </w:tcPr>
          <w:p>
            <w:pPr>
              <w:spacing w:before="0" w:after="0" w:line="240" w:lineRule="auto"/>
              <w:jc w:val="left"/>
            </w:pPr>
            <w:r>
              <w:t>Developer / configurator</w:t>
            </w:r>
          </w:p>
        </w:tc>
        <w:tc>
          <w:tcPr>
            <w:tcW w:type="dxa" w:w="3800"/>
            <w:vAlign w:val="center"/>
            <w:tcMar>
              <w:top w:w="90" w:type="dxa"/>
              <w:start w:w="120" w:type="dxa"/>
              <w:bottom w:w="90" w:type="dxa"/>
              <w:end w:w="120" w:type="dxa"/>
            </w:tcMar>
          </w:tcPr>
          <w:p>
            <w:pPr>
              <w:spacing w:before="0" w:after="0" w:line="240" w:lineRule="auto"/>
              <w:jc w:val="left"/>
            </w:pPr>
            <w:r>
              <w:t>Council teams build, fine-tune, integrate, prompt-engineer or materially configure an AI system.</w:t>
            </w:r>
          </w:p>
        </w:tc>
        <w:tc>
          <w:tcPr>
            <w:tcW w:type="dxa" w:w="4100"/>
            <w:vAlign w:val="center"/>
            <w:tcMar>
              <w:top w:w="90" w:type="dxa"/>
              <w:start w:w="120" w:type="dxa"/>
              <w:bottom w:w="90" w:type="dxa"/>
              <w:end w:w="120" w:type="dxa"/>
            </w:tcMar>
          </w:tcPr>
          <w:p>
            <w:pPr>
              <w:spacing w:before="0" w:after="0" w:line="240" w:lineRule="auto"/>
              <w:jc w:val="left"/>
            </w:pPr>
            <w:r>
              <w:t>Lifecycle, data, testing, documentation, validation, security and change controls apply to the work performed.</w:t>
            </w:r>
          </w:p>
        </w:tc>
      </w:tr>
      <w:tr>
        <w:tc>
          <w:tcPr>
            <w:tcW w:type="dxa" w:w="1700"/>
            <w:vAlign w:val="center"/>
            <w:tcMar>
              <w:top w:w="90" w:type="dxa"/>
              <w:start w:w="120" w:type="dxa"/>
              <w:bottom w:w="90" w:type="dxa"/>
              <w:end w:w="120" w:type="dxa"/>
            </w:tcMar>
            <w:shd w:fill="EEF4FB" w:val="clear"/>
          </w:tcPr>
          <w:p>
            <w:pPr>
              <w:spacing w:before="0" w:after="0" w:line="240" w:lineRule="auto"/>
              <w:jc w:val="left"/>
            </w:pPr>
            <w:r>
              <w:t>Provider to others</w:t>
            </w:r>
          </w:p>
        </w:tc>
        <w:tc>
          <w:tcPr>
            <w:tcW w:type="dxa" w:w="3800"/>
            <w:vAlign w:val="center"/>
            <w:tcMar>
              <w:top w:w="90" w:type="dxa"/>
              <w:start w:w="120" w:type="dxa"/>
              <w:bottom w:w="90" w:type="dxa"/>
              <w:end w:w="120" w:type="dxa"/>
            </w:tcMar>
            <w:shd w:fill="F8FBFF" w:val="clear"/>
          </w:tcPr>
          <w:p>
            <w:pPr>
              <w:spacing w:before="0" w:after="0" w:line="240" w:lineRule="auto"/>
              <w:jc w:val="left"/>
            </w:pPr>
            <w:r>
              <w:t>The Council makes an AI capability or output available to another organisation or the public.</w:t>
            </w:r>
          </w:p>
        </w:tc>
        <w:tc>
          <w:tcPr>
            <w:tcW w:type="dxa" w:w="4100"/>
            <w:vAlign w:val="center"/>
            <w:tcMar>
              <w:top w:w="90" w:type="dxa"/>
              <w:start w:w="120" w:type="dxa"/>
              <w:bottom w:w="90" w:type="dxa"/>
              <w:end w:w="120" w:type="dxa"/>
            </w:tcMar>
            <w:shd w:fill="F8FBFF" w:val="clear"/>
          </w:tcPr>
          <w:p>
            <w:pPr>
              <w:spacing w:before="0" w:after="0" w:line="240" w:lineRule="auto"/>
              <w:jc w:val="left"/>
            </w:pPr>
            <w:r>
              <w:t>Responsibilities for information, instructions, support, monitoring and downstream use shall be explicitly assigned.</w:t>
            </w:r>
          </w:p>
        </w:tc>
      </w:tr>
      <w:tr>
        <w:tc>
          <w:tcPr>
            <w:tcW w:type="dxa" w:w="1700"/>
            <w:vAlign w:val="center"/>
            <w:tcMar>
              <w:top w:w="90" w:type="dxa"/>
              <w:start w:w="120" w:type="dxa"/>
              <w:bottom w:w="90" w:type="dxa"/>
              <w:end w:w="120" w:type="dxa"/>
            </w:tcMar>
            <w:shd w:fill="EEF4FB" w:val="clear"/>
          </w:tcPr>
          <w:p>
            <w:pPr>
              <w:spacing w:before="0" w:after="0" w:line="240" w:lineRule="auto"/>
              <w:jc w:val="left"/>
            </w:pPr>
            <w:r>
              <w:t>Data-protection role</w:t>
            </w:r>
          </w:p>
        </w:tc>
        <w:tc>
          <w:tcPr>
            <w:tcW w:type="dxa" w:w="3800"/>
            <w:vAlign w:val="center"/>
            <w:tcMar>
              <w:top w:w="90" w:type="dxa"/>
              <w:start w:w="120" w:type="dxa"/>
              <w:bottom w:w="90" w:type="dxa"/>
              <w:end w:w="120" w:type="dxa"/>
            </w:tcMar>
          </w:tcPr>
          <w:p>
            <w:pPr>
              <w:spacing w:before="0" w:after="0" w:line="240" w:lineRule="auto"/>
              <w:jc w:val="left"/>
            </w:pPr>
            <w:r>
              <w:t>The Council processes personal data as controller, joint controller or processor.</w:t>
            </w:r>
          </w:p>
        </w:tc>
        <w:tc>
          <w:tcPr>
            <w:tcW w:type="dxa" w:w="4100"/>
            <w:vAlign w:val="center"/>
            <w:tcMar>
              <w:top w:w="90" w:type="dxa"/>
              <w:start w:w="120" w:type="dxa"/>
              <w:bottom w:w="90" w:type="dxa"/>
              <w:end w:w="120" w:type="dxa"/>
            </w:tcMar>
          </w:tcPr>
          <w:p>
            <w:pPr>
              <w:spacing w:before="0" w:after="0" w:line="240" w:lineRule="auto"/>
              <w:jc w:val="left"/>
            </w:pPr>
            <w:r>
              <w:t>The role is determined for the specific processing arrangement with the Data Protection Officer and Legal Services; it is not inferred from the AI role alone.</w:t>
            </w:r>
          </w:p>
        </w:tc>
      </w:tr>
    </w:tbl>
    <w:p>
      <w:pPr>
        <w:spacing w:before="0" w:after="40" w:line="240" w:lineRule="auto"/>
      </w:pP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5.  Exclusions, Exceptions and Proportionality</w:t>
      </w:r>
    </w:p>
    <w:p>
      <w:pPr>
        <w:pStyle w:val="Heading2"/>
        <w:keepNext/>
        <w:spacing w:before="40" w:after="80" w:line="240" w:lineRule="auto"/>
        <w:outlineLvl w:val="1"/>
      </w:pPr>
      <w:r>
        <w:t>Proposed exclusions</w:t>
      </w:r>
    </w:p>
    <w:p>
      <w:pPr>
        <w:pStyle w:val="ListParagraph"/>
        <w:numPr>
          <w:ilvl w:val="0"/>
          <w:numId w:val="1"/>
        </w:numPr>
        <w:spacing w:before="0" w:after="70" w:line="252" w:lineRule="auto"/>
      </w:pPr>
      <w:r>
        <w:t>technology that has been assessed against the Council’s definition and recorded as not containing or using AI;</w:t>
      </w:r>
    </w:p>
    <w:p>
      <w:pPr>
        <w:pStyle w:val="ListParagraph"/>
        <w:numPr>
          <w:ilvl w:val="0"/>
          <w:numId w:val="1"/>
        </w:numPr>
        <w:spacing w:before="0" w:after="70" w:line="252" w:lineRule="auto"/>
      </w:pPr>
      <w:r>
        <w:t>private activity wholly outside Council business that does not use Council accounts, devices, information, authority or services; and</w:t>
      </w:r>
    </w:p>
    <w:p>
      <w:pPr>
        <w:pStyle w:val="ListParagraph"/>
        <w:numPr>
          <w:ilvl w:val="0"/>
          <w:numId w:val="1"/>
        </w:numPr>
        <w:spacing w:before="0" w:after="70" w:line="252" w:lineRule="auto"/>
      </w:pPr>
      <w:r>
        <w:t>technology over which the Council has no use, decision, data, contractual relationship, operational dependency or ability to influence outcomes.</w:t>
      </w:r>
    </w:p>
    <w:p>
      <w:pPr>
        <w:pStyle w:val="Heading2"/>
        <w:keepNext/>
        <w:spacing w:before="40" w:after="80" w:line="240" w:lineRule="auto"/>
        <w:outlineLvl w:val="1"/>
      </w:pPr>
      <w:r>
        <w:t>Not excluded</w:t>
      </w:r>
    </w:p>
    <w:p>
      <w:pPr>
        <w:pStyle w:val="ListParagraph"/>
        <w:numPr>
          <w:ilvl w:val="0"/>
          <w:numId w:val="1"/>
        </w:numPr>
        <w:spacing w:before="0" w:after="70" w:line="252" w:lineRule="auto"/>
      </w:pPr>
      <w:r>
        <w:t>experiments, proofs of concept, pilots and sandbox activity involving Council business;</w:t>
      </w:r>
    </w:p>
    <w:p>
      <w:pPr>
        <w:pStyle w:val="ListParagraph"/>
        <w:numPr>
          <w:ilvl w:val="0"/>
          <w:numId w:val="1"/>
        </w:numPr>
        <w:spacing w:before="0" w:after="70" w:line="252" w:lineRule="auto"/>
      </w:pPr>
      <w:r>
        <w:t>AI embedded in wider software, supplier services or routine product updates;</w:t>
      </w:r>
    </w:p>
    <w:p>
      <w:pPr>
        <w:pStyle w:val="ListParagraph"/>
        <w:numPr>
          <w:ilvl w:val="0"/>
          <w:numId w:val="1"/>
        </w:numPr>
        <w:spacing w:before="0" w:after="70" w:line="252" w:lineRule="auto"/>
      </w:pPr>
      <w:r>
        <w:t>national or shared platforms used in Council processes, to the extent of the Council’s responsibilities and control;</w:t>
      </w:r>
    </w:p>
    <w:p>
      <w:pPr>
        <w:pStyle w:val="ListParagraph"/>
        <w:numPr>
          <w:ilvl w:val="0"/>
          <w:numId w:val="1"/>
        </w:numPr>
        <w:spacing w:before="0" w:after="70" w:line="252" w:lineRule="auto"/>
      </w:pPr>
      <w:r>
        <w:t>low-risk AI, which remains subject to proportionate registration and baseline controls; and</w:t>
      </w:r>
    </w:p>
    <w:p>
      <w:pPr>
        <w:pStyle w:val="ListParagraph"/>
        <w:numPr>
          <w:ilvl w:val="0"/>
          <w:numId w:val="1"/>
        </w:numPr>
        <w:spacing w:before="0" w:after="70" w:line="252" w:lineRule="auto"/>
      </w:pPr>
      <w:r>
        <w:t>unauthorised or shadow AI discovered in Council business, which is handled through registration, containment, incident and corrective-action processes.</w:t>
      </w:r>
    </w:p>
    <w:p>
      <w:pPr>
        <w:keepNext w:val="0"/>
        <w:spacing w:before="0" w:after="120" w:line="252" w:lineRule="auto"/>
      </w:pPr>
      <w:r>
        <w:t>Any proposed scope exclusion or temporary exception shall have a documented justification, owner, legal and risk review, approval authority, review date and evidence reference. It shall not disapply a statutory duty, mandatory Council control or responsibility for an effect within the Council’s control.</w:t>
      </w:r>
    </w:p>
    <w:p>
      <w:pPr>
        <w:pStyle w:val="Heading1"/>
        <w:keepNext/>
        <w:pageBreakBefore/>
        <w:shd w:fill="1F3864" w:val="clear"/>
        <w:spacing w:before="0" w:after="100"/>
        <w:outlineLvl w:val="0"/>
      </w:pPr>
      <w:r>
        <w:rPr>
          <w:rFonts w:ascii="Arial" w:hAnsi="Arial" w:eastAsia="Arial" w:cs="Arial"/>
          <w:b/>
          <w:bCs/>
          <w:i/>
          <w:iCs/>
          <w:color w:val="FFFFFF"/>
          <w:sz w:val="21"/>
          <w:szCs w:val="21"/>
        </w:rPr>
        <w:t xml:space="preserve">  6.  Context of the Organisation</w:t>
      </w:r>
    </w:p>
    <w:p>
      <w:pPr>
        <w:keepNext w:val="0"/>
        <w:spacing w:before="0" w:after="120" w:line="252" w:lineRule="auto"/>
      </w:pPr>
      <w:r>
        <w:t>The AIMS shall be designed and reviewed in light of the issues below. These are a baseline for Council validation, not an exhaustive statement of corporate context.</w:t>
      </w:r>
    </w:p>
    <w:p>
      <w:pPr>
        <w:pStyle w:val="Heading2"/>
        <w:keepNext/>
        <w:spacing w:before="40" w:after="80" w:line="240" w:lineRule="auto"/>
        <w:outlineLvl w:val="1"/>
      </w:pPr>
      <w:r>
        <w:t>Internal issues</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900"/>
        <w:gridCol w:w="4000"/>
        <w:gridCol w:w="3700"/>
      </w:tblGrid>
      <w:tr>
        <w:trPr>
          <w:tblHeader w:val="true"/>
        </w:trPr>
        <w:tc>
          <w:tcPr>
            <w:tcW w:type="dxa" w:w="19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Issue</w:t>
            </w:r>
          </w:p>
        </w:tc>
        <w:tc>
          <w:tcPr>
            <w:tcW w:type="dxa" w:w="40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Relevance to the AIMS</w:t>
            </w:r>
          </w:p>
        </w:tc>
        <w:tc>
          <w:tcPr>
            <w:tcW w:type="dxa" w:w="37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Expected response</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Breadth of services</w:t>
            </w:r>
          </w:p>
        </w:tc>
        <w:tc>
          <w:tcPr>
            <w:tcW w:type="dxa" w:w="4000"/>
            <w:vAlign w:val="center"/>
            <w:tcMar>
              <w:top w:w="90" w:type="dxa"/>
              <w:start w:w="120" w:type="dxa"/>
              <w:bottom w:w="90" w:type="dxa"/>
              <w:end w:w="120" w:type="dxa"/>
            </w:tcMar>
          </w:tcPr>
          <w:p>
            <w:pPr>
              <w:spacing w:before="0" w:after="0" w:line="240" w:lineRule="auto"/>
              <w:jc w:val="left"/>
            </w:pPr>
            <w:r>
              <w:t>Council services differ substantially in purpose, users, legal duties and potential impact.</w:t>
            </w:r>
          </w:p>
        </w:tc>
        <w:tc>
          <w:tcPr>
            <w:tcW w:type="dxa" w:w="3700"/>
            <w:vAlign w:val="center"/>
            <w:tcMar>
              <w:top w:w="90" w:type="dxa"/>
              <w:start w:w="120" w:type="dxa"/>
              <w:bottom w:w="90" w:type="dxa"/>
              <w:end w:w="120" w:type="dxa"/>
            </w:tcMar>
          </w:tcPr>
          <w:p>
            <w:pPr>
              <w:spacing w:before="0" w:after="0" w:line="240" w:lineRule="auto"/>
              <w:jc w:val="left"/>
            </w:pPr>
            <w:r>
              <w:t>Risk-tiered controls and service-owner accountability.</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Distributed ownership</w:t>
            </w:r>
          </w:p>
        </w:tc>
        <w:tc>
          <w:tcPr>
            <w:tcW w:type="dxa" w:w="4000"/>
            <w:vAlign w:val="center"/>
            <w:tcMar>
              <w:top w:w="90" w:type="dxa"/>
              <w:start w:w="120" w:type="dxa"/>
              <w:bottom w:w="90" w:type="dxa"/>
              <w:end w:w="120" w:type="dxa"/>
            </w:tcMar>
            <w:shd w:fill="F8FBFF" w:val="clear"/>
          </w:tcPr>
          <w:p>
            <w:pPr>
              <w:spacing w:before="0" w:after="0" w:line="240" w:lineRule="auto"/>
              <w:jc w:val="left"/>
            </w:pPr>
            <w:r>
              <w:t>AI activity may cross directorates, boards, projects and assurance functions.</w:t>
            </w:r>
          </w:p>
        </w:tc>
        <w:tc>
          <w:tcPr>
            <w:tcW w:type="dxa" w:w="3700"/>
            <w:vAlign w:val="center"/>
            <w:tcMar>
              <w:top w:w="90" w:type="dxa"/>
              <w:start w:w="120" w:type="dxa"/>
              <w:bottom w:w="90" w:type="dxa"/>
              <w:end w:w="120" w:type="dxa"/>
            </w:tcMar>
            <w:shd w:fill="F8FBFF" w:val="clear"/>
          </w:tcPr>
          <w:p>
            <w:pPr>
              <w:spacing w:before="0" w:after="0" w:line="240" w:lineRule="auto"/>
              <w:jc w:val="left"/>
            </w:pPr>
            <w:r>
              <w:t>A single AI Register ID and traceable governance decisions across interfaces.</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Existing governance</w:t>
            </w:r>
          </w:p>
        </w:tc>
        <w:tc>
          <w:tcPr>
            <w:tcW w:type="dxa" w:w="4000"/>
            <w:vAlign w:val="center"/>
            <w:tcMar>
              <w:top w:w="90" w:type="dxa"/>
              <w:start w:w="120" w:type="dxa"/>
              <w:bottom w:w="90" w:type="dxa"/>
              <w:end w:w="120" w:type="dxa"/>
            </w:tcMar>
          </w:tcPr>
          <w:p>
            <w:pPr>
              <w:spacing w:before="0" w:after="0" w:line="240" w:lineRule="auto"/>
              <w:jc w:val="left"/>
            </w:pPr>
            <w:r>
              <w:t>AI controls must work with digital, data, privacy, security, procurement, legal, equality, finance and corporate risk arrangements.</w:t>
            </w:r>
          </w:p>
        </w:tc>
        <w:tc>
          <w:tcPr>
            <w:tcW w:type="dxa" w:w="3700"/>
            <w:vAlign w:val="center"/>
            <w:tcMar>
              <w:top w:w="90" w:type="dxa"/>
              <w:start w:w="120" w:type="dxa"/>
              <w:bottom w:w="90" w:type="dxa"/>
              <w:end w:w="120" w:type="dxa"/>
            </w:tcMar>
          </w:tcPr>
          <w:p>
            <w:pPr>
              <w:spacing w:before="0" w:after="0" w:line="240" w:lineRule="auto"/>
              <w:jc w:val="left"/>
            </w:pPr>
            <w:r>
              <w:t>Defined interfaces, retained specialist authority and no duplicate or conflicting approval.</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Data and technology estate</w:t>
            </w:r>
          </w:p>
        </w:tc>
        <w:tc>
          <w:tcPr>
            <w:tcW w:type="dxa" w:w="4000"/>
            <w:vAlign w:val="center"/>
            <w:tcMar>
              <w:top w:w="90" w:type="dxa"/>
              <w:start w:w="120" w:type="dxa"/>
              <w:bottom w:w="90" w:type="dxa"/>
              <w:end w:w="120" w:type="dxa"/>
            </w:tcMar>
            <w:shd w:fill="F8FBFF" w:val="clear"/>
          </w:tcPr>
          <w:p>
            <w:pPr>
              <w:spacing w:before="0" w:after="0" w:line="240" w:lineRule="auto"/>
              <w:jc w:val="left"/>
            </w:pPr>
            <w:r>
              <w:t>Legacy systems, integration constraints, data quality and supplier platforms can affect performance and assurance.</w:t>
            </w:r>
          </w:p>
        </w:tc>
        <w:tc>
          <w:tcPr>
            <w:tcW w:type="dxa" w:w="3700"/>
            <w:vAlign w:val="center"/>
            <w:tcMar>
              <w:top w:w="90" w:type="dxa"/>
              <w:start w:w="120" w:type="dxa"/>
              <w:bottom w:w="90" w:type="dxa"/>
              <w:end w:w="120" w:type="dxa"/>
            </w:tcMar>
            <w:shd w:fill="F8FBFF" w:val="clear"/>
          </w:tcPr>
          <w:p>
            <w:pPr>
              <w:spacing w:before="0" w:after="0" w:line="240" w:lineRule="auto"/>
              <w:jc w:val="left"/>
            </w:pPr>
            <w:r>
              <w:t>Data, architecture, security, testing and supplier evidence proportionate to risk.</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Capability and capacity</w:t>
            </w:r>
          </w:p>
        </w:tc>
        <w:tc>
          <w:tcPr>
            <w:tcW w:type="dxa" w:w="4000"/>
            <w:vAlign w:val="center"/>
            <w:tcMar>
              <w:top w:w="90" w:type="dxa"/>
              <w:start w:w="120" w:type="dxa"/>
              <w:bottom w:w="90" w:type="dxa"/>
              <w:end w:w="120" w:type="dxa"/>
            </w:tcMar>
          </w:tcPr>
          <w:p>
            <w:pPr>
              <w:spacing w:before="0" w:after="0" w:line="240" w:lineRule="auto"/>
              <w:jc w:val="left"/>
            </w:pPr>
            <w:r>
              <w:t>Different levels of AI literacy and limited specialist capacity may affect consistent implementation.</w:t>
            </w:r>
          </w:p>
        </w:tc>
        <w:tc>
          <w:tcPr>
            <w:tcW w:type="dxa" w:w="3700"/>
            <w:vAlign w:val="center"/>
            <w:tcMar>
              <w:top w:w="90" w:type="dxa"/>
              <w:start w:w="120" w:type="dxa"/>
              <w:bottom w:w="90" w:type="dxa"/>
              <w:end w:w="120" w:type="dxa"/>
            </w:tcMar>
          </w:tcPr>
          <w:p>
            <w:pPr>
              <w:spacing w:before="0" w:after="0" w:line="240" w:lineRule="auto"/>
              <w:jc w:val="left"/>
            </w:pPr>
            <w:r>
              <w:t>Role-based competence, guidance, escalation and prioritisation.</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Evidence and records</w:t>
            </w:r>
          </w:p>
        </w:tc>
        <w:tc>
          <w:tcPr>
            <w:tcW w:type="dxa" w:w="4000"/>
            <w:vAlign w:val="center"/>
            <w:tcMar>
              <w:top w:w="90" w:type="dxa"/>
              <w:start w:w="120" w:type="dxa"/>
              <w:bottom w:w="90" w:type="dxa"/>
              <w:end w:w="120" w:type="dxa"/>
            </w:tcMar>
            <w:shd w:fill="F8FBFF" w:val="clear"/>
          </w:tcPr>
          <w:p>
            <w:pPr>
              <w:spacing w:before="0" w:after="0" w:line="240" w:lineRule="auto"/>
              <w:jc w:val="left"/>
            </w:pPr>
            <w:r>
              <w:t>Fragmented records can obscure ownership, conditions and lifecycle decisions.</w:t>
            </w:r>
          </w:p>
        </w:tc>
        <w:tc>
          <w:tcPr>
            <w:tcW w:type="dxa" w:w="3700"/>
            <w:vAlign w:val="center"/>
            <w:tcMar>
              <w:top w:w="90" w:type="dxa"/>
              <w:start w:w="120" w:type="dxa"/>
              <w:bottom w:w="90" w:type="dxa"/>
              <w:end w:w="120" w:type="dxa"/>
            </w:tcMar>
            <w:shd w:fill="F8FBFF" w:val="clear"/>
          </w:tcPr>
          <w:p>
            <w:pPr>
              <w:spacing w:before="0" w:after="0" w:line="240" w:lineRule="auto"/>
              <w:jc w:val="left"/>
            </w:pPr>
            <w:r>
              <w:t>Controlled artefacts, evidence references and a maintained AI Register.</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Culture and change</w:t>
            </w:r>
          </w:p>
        </w:tc>
        <w:tc>
          <w:tcPr>
            <w:tcW w:type="dxa" w:w="4000"/>
            <w:vAlign w:val="center"/>
            <w:tcMar>
              <w:top w:w="90" w:type="dxa"/>
              <w:start w:w="120" w:type="dxa"/>
              <w:bottom w:w="90" w:type="dxa"/>
              <w:end w:w="120" w:type="dxa"/>
            </w:tcMar>
          </w:tcPr>
          <w:p>
            <w:pPr>
              <w:spacing w:before="0" w:after="0" w:line="240" w:lineRule="auto"/>
              <w:jc w:val="left"/>
            </w:pPr>
            <w:r>
              <w:t>Pressure to innovate quickly may conflict with assurance or lead to unregistered use.</w:t>
            </w:r>
          </w:p>
        </w:tc>
        <w:tc>
          <w:tcPr>
            <w:tcW w:type="dxa" w:w="3700"/>
            <w:vAlign w:val="center"/>
            <w:tcMar>
              <w:top w:w="90" w:type="dxa"/>
              <w:start w:w="120" w:type="dxa"/>
              <w:bottom w:w="90" w:type="dxa"/>
              <w:end w:w="120" w:type="dxa"/>
            </w:tcMar>
          </w:tcPr>
          <w:p>
            <w:pPr>
              <w:spacing w:before="0" w:after="0" w:line="240" w:lineRule="auto"/>
              <w:jc w:val="left"/>
            </w:pPr>
            <w:r>
              <w:t>Clear entry routes, proportionate governance and leadership reinforcement.</w:t>
            </w:r>
          </w:p>
        </w:tc>
      </w:tr>
    </w:tbl>
    <w:p>
      <w:pPr>
        <w:spacing w:before="0" w:after="40" w:line="240" w:lineRule="auto"/>
      </w:pPr>
    </w:p>
    <w:p>
      <w:pPr>
        <w:pStyle w:val="Heading2"/>
        <w:keepNext/>
        <w:spacing w:before="40" w:after="80" w:line="240" w:lineRule="auto"/>
        <w:outlineLvl w:val="1"/>
      </w:pPr>
      <w:r>
        <w:t>External issues</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900"/>
        <w:gridCol w:w="4000"/>
        <w:gridCol w:w="3700"/>
      </w:tblGrid>
      <w:tr>
        <w:trPr>
          <w:tblHeader w:val="true"/>
        </w:trPr>
        <w:tc>
          <w:tcPr>
            <w:tcW w:type="dxa" w:w="19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Issue</w:t>
            </w:r>
          </w:p>
        </w:tc>
        <w:tc>
          <w:tcPr>
            <w:tcW w:type="dxa" w:w="40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Relevance to the AIMS</w:t>
            </w:r>
          </w:p>
        </w:tc>
        <w:tc>
          <w:tcPr>
            <w:tcW w:type="dxa" w:w="37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Expected response</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Law and regulation</w:t>
            </w:r>
          </w:p>
        </w:tc>
        <w:tc>
          <w:tcPr>
            <w:tcW w:type="dxa" w:w="4000"/>
            <w:vAlign w:val="center"/>
            <w:tcMar>
              <w:top w:w="90" w:type="dxa"/>
              <w:start w:w="120" w:type="dxa"/>
              <w:bottom w:w="90" w:type="dxa"/>
              <w:end w:w="120" w:type="dxa"/>
            </w:tcMar>
          </w:tcPr>
          <w:p>
            <w:pPr>
              <w:spacing w:before="0" w:after="0" w:line="240" w:lineRule="auto"/>
              <w:jc w:val="left"/>
            </w:pPr>
            <w:r>
              <w:t>Legal duties, regulatory guidance and public-sector expectations can change.</w:t>
            </w:r>
          </w:p>
        </w:tc>
        <w:tc>
          <w:tcPr>
            <w:tcW w:type="dxa" w:w="3700"/>
            <w:vAlign w:val="center"/>
            <w:tcMar>
              <w:top w:w="90" w:type="dxa"/>
              <w:start w:w="120" w:type="dxa"/>
              <w:bottom w:w="90" w:type="dxa"/>
              <w:end w:w="120" w:type="dxa"/>
            </w:tcMar>
          </w:tcPr>
          <w:p>
            <w:pPr>
              <w:spacing w:before="0" w:after="0" w:line="240" w:lineRule="auto"/>
              <w:jc w:val="left"/>
            </w:pPr>
            <w:r>
              <w:t>Maintained obligations, legal review and controlled change.</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Public trust</w:t>
            </w:r>
          </w:p>
        </w:tc>
        <w:tc>
          <w:tcPr>
            <w:tcW w:type="dxa" w:w="4000"/>
            <w:vAlign w:val="center"/>
            <w:tcMar>
              <w:top w:w="90" w:type="dxa"/>
              <w:start w:w="120" w:type="dxa"/>
              <w:bottom w:w="90" w:type="dxa"/>
              <w:end w:w="120" w:type="dxa"/>
            </w:tcMar>
            <w:shd w:fill="F8FBFF" w:val="clear"/>
          </w:tcPr>
          <w:p>
            <w:pPr>
              <w:spacing w:before="0" w:after="0" w:line="240" w:lineRule="auto"/>
              <w:jc w:val="left"/>
            </w:pPr>
            <w:r>
              <w:t>AI can affect confidence in Council decisions and services.</w:t>
            </w:r>
          </w:p>
        </w:tc>
        <w:tc>
          <w:tcPr>
            <w:tcW w:type="dxa" w:w="3700"/>
            <w:vAlign w:val="center"/>
            <w:tcMar>
              <w:top w:w="90" w:type="dxa"/>
              <w:start w:w="120" w:type="dxa"/>
              <w:bottom w:w="90" w:type="dxa"/>
              <w:end w:w="120" w:type="dxa"/>
            </w:tcMar>
            <w:shd w:fill="F8FBFF" w:val="clear"/>
          </w:tcPr>
          <w:p>
            <w:pPr>
              <w:spacing w:before="0" w:after="0" w:line="240" w:lineRule="auto"/>
              <w:jc w:val="left"/>
            </w:pPr>
            <w:r>
              <w:t>Transparency, meaningful explanations, human oversight, complaints and redress.</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Technology change</w:t>
            </w:r>
          </w:p>
        </w:tc>
        <w:tc>
          <w:tcPr>
            <w:tcW w:type="dxa" w:w="4000"/>
            <w:vAlign w:val="center"/>
            <w:tcMar>
              <w:top w:w="90" w:type="dxa"/>
              <w:start w:w="120" w:type="dxa"/>
              <w:bottom w:w="90" w:type="dxa"/>
              <w:end w:w="120" w:type="dxa"/>
            </w:tcMar>
          </w:tcPr>
          <w:p>
            <w:pPr>
              <w:spacing w:before="0" w:after="0" w:line="240" w:lineRule="auto"/>
              <w:jc w:val="left"/>
            </w:pPr>
            <w:r>
              <w:t>Models, services and embedded features can change rapidly after approval.</w:t>
            </w:r>
          </w:p>
        </w:tc>
        <w:tc>
          <w:tcPr>
            <w:tcW w:type="dxa" w:w="3700"/>
            <w:vAlign w:val="center"/>
            <w:tcMar>
              <w:top w:w="90" w:type="dxa"/>
              <w:start w:w="120" w:type="dxa"/>
              <w:bottom w:w="90" w:type="dxa"/>
              <w:end w:w="120" w:type="dxa"/>
            </w:tcMar>
          </w:tcPr>
          <w:p>
            <w:pPr>
              <w:spacing w:before="0" w:after="0" w:line="240" w:lineRule="auto"/>
              <w:jc w:val="left"/>
            </w:pPr>
            <w:r>
              <w:t>Supplier notification, monitoring, material-change assessment and reapproval.</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Cyber and misuse</w:t>
            </w:r>
          </w:p>
        </w:tc>
        <w:tc>
          <w:tcPr>
            <w:tcW w:type="dxa" w:w="4000"/>
            <w:vAlign w:val="center"/>
            <w:tcMar>
              <w:top w:w="90" w:type="dxa"/>
              <w:start w:w="120" w:type="dxa"/>
              <w:bottom w:w="90" w:type="dxa"/>
              <w:end w:w="120" w:type="dxa"/>
            </w:tcMar>
            <w:shd w:fill="F8FBFF" w:val="clear"/>
          </w:tcPr>
          <w:p>
            <w:pPr>
              <w:spacing w:before="0" w:after="0" w:line="240" w:lineRule="auto"/>
              <w:jc w:val="left"/>
            </w:pPr>
            <w:r>
              <w:t>AI introduces security, privacy, manipulation and data-leakage threats.</w:t>
            </w:r>
          </w:p>
        </w:tc>
        <w:tc>
          <w:tcPr>
            <w:tcW w:type="dxa" w:w="3700"/>
            <w:vAlign w:val="center"/>
            <w:tcMar>
              <w:top w:w="90" w:type="dxa"/>
              <w:start w:w="120" w:type="dxa"/>
              <w:bottom w:w="90" w:type="dxa"/>
              <w:end w:w="120" w:type="dxa"/>
            </w:tcMar>
            <w:shd w:fill="F8FBFF" w:val="clear"/>
          </w:tcPr>
          <w:p>
            <w:pPr>
              <w:spacing w:before="0" w:after="0" w:line="240" w:lineRule="auto"/>
              <w:jc w:val="left"/>
            </w:pPr>
            <w:r>
              <w:t>Security review, access controls, incident response and safe-use guidance.</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Supply chain</w:t>
            </w:r>
          </w:p>
        </w:tc>
        <w:tc>
          <w:tcPr>
            <w:tcW w:type="dxa" w:w="4000"/>
            <w:vAlign w:val="center"/>
            <w:tcMar>
              <w:top w:w="90" w:type="dxa"/>
              <w:start w:w="120" w:type="dxa"/>
              <w:bottom w:w="90" w:type="dxa"/>
              <w:end w:w="120" w:type="dxa"/>
            </w:tcMar>
          </w:tcPr>
          <w:p>
            <w:pPr>
              <w:spacing w:before="0" w:after="0" w:line="240" w:lineRule="auto"/>
              <w:jc w:val="left"/>
            </w:pPr>
            <w:r>
              <w:t>The Council may depend on suppliers for evidence, updates, hosting and remediation.</w:t>
            </w:r>
          </w:p>
        </w:tc>
        <w:tc>
          <w:tcPr>
            <w:tcW w:type="dxa" w:w="3700"/>
            <w:vAlign w:val="center"/>
            <w:tcMar>
              <w:top w:w="90" w:type="dxa"/>
              <w:start w:w="120" w:type="dxa"/>
              <w:bottom w:w="90" w:type="dxa"/>
              <w:end w:w="120" w:type="dxa"/>
            </w:tcMar>
          </w:tcPr>
          <w:p>
            <w:pPr>
              <w:spacing w:before="0" w:after="0" w:line="240" w:lineRule="auto"/>
              <w:jc w:val="left"/>
            </w:pPr>
            <w:r>
              <w:t>Due diligence, contractual controls, assurance rights, resilience and exit planning.</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Equality and rights</w:t>
            </w:r>
          </w:p>
        </w:tc>
        <w:tc>
          <w:tcPr>
            <w:tcW w:type="dxa" w:w="4000"/>
            <w:vAlign w:val="center"/>
            <w:tcMar>
              <w:top w:w="90" w:type="dxa"/>
              <w:start w:w="120" w:type="dxa"/>
              <w:bottom w:w="90" w:type="dxa"/>
              <w:end w:w="120" w:type="dxa"/>
            </w:tcMar>
            <w:shd w:fill="F8FBFF" w:val="clear"/>
          </w:tcPr>
          <w:p>
            <w:pPr>
              <w:spacing w:before="0" w:after="0" w:line="240" w:lineRule="auto"/>
              <w:jc w:val="left"/>
            </w:pPr>
            <w:r>
              <w:t>AI may create differential effects or affect people in vulnerable circumstances.</w:t>
            </w:r>
          </w:p>
        </w:tc>
        <w:tc>
          <w:tcPr>
            <w:tcW w:type="dxa" w:w="3700"/>
            <w:vAlign w:val="center"/>
            <w:tcMar>
              <w:top w:w="90" w:type="dxa"/>
              <w:start w:w="120" w:type="dxa"/>
              <w:bottom w:w="90" w:type="dxa"/>
              <w:end w:w="120" w:type="dxa"/>
            </w:tcMar>
            <w:shd w:fill="F8FBFF" w:val="clear"/>
          </w:tcPr>
          <w:p>
            <w:pPr>
              <w:spacing w:before="0" w:after="0" w:line="240" w:lineRule="auto"/>
              <w:jc w:val="left"/>
            </w:pPr>
            <w:r>
              <w:t>Equality, human-rights and responsible-AI assessment with accessible engagement.</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Financial pressure</w:t>
            </w:r>
          </w:p>
        </w:tc>
        <w:tc>
          <w:tcPr>
            <w:tcW w:type="dxa" w:w="4000"/>
            <w:vAlign w:val="center"/>
            <w:tcMar>
              <w:top w:w="90" w:type="dxa"/>
              <w:start w:w="120" w:type="dxa"/>
              <w:bottom w:w="90" w:type="dxa"/>
              <w:end w:w="120" w:type="dxa"/>
            </w:tcMar>
          </w:tcPr>
          <w:p>
            <w:pPr>
              <w:spacing w:before="0" w:after="0" w:line="240" w:lineRule="auto"/>
              <w:jc w:val="left"/>
            </w:pPr>
            <w:r>
              <w:t>Efficiency objectives may increase adoption pressure or dependency.</w:t>
            </w:r>
          </w:p>
        </w:tc>
        <w:tc>
          <w:tcPr>
            <w:tcW w:type="dxa" w:w="3700"/>
            <w:vAlign w:val="center"/>
            <w:tcMar>
              <w:top w:w="90" w:type="dxa"/>
              <w:start w:w="120" w:type="dxa"/>
              <w:bottom w:w="90" w:type="dxa"/>
              <w:end w:w="120" w:type="dxa"/>
            </w:tcMar>
          </w:tcPr>
          <w:p>
            <w:pPr>
              <w:spacing w:before="0" w:after="0" w:line="240" w:lineRule="auto"/>
              <w:jc w:val="left"/>
            </w:pPr>
            <w:r>
              <w:t>Benefits, total cost, value-for-money, service resilience and outcome monitoring.</w:t>
            </w:r>
          </w:p>
        </w:tc>
      </w:tr>
      <w:tr>
        <w:tc>
          <w:tcPr>
            <w:tcW w:type="dxa" w:w="1900"/>
            <w:vAlign w:val="center"/>
            <w:tcMar>
              <w:top w:w="90" w:type="dxa"/>
              <w:start w:w="120" w:type="dxa"/>
              <w:bottom w:w="90" w:type="dxa"/>
              <w:end w:w="120" w:type="dxa"/>
            </w:tcMar>
            <w:shd w:fill="EEF4FB" w:val="clear"/>
          </w:tcPr>
          <w:p>
            <w:pPr>
              <w:spacing w:before="0" w:after="0" w:line="240" w:lineRule="auto"/>
              <w:jc w:val="left"/>
            </w:pPr>
            <w:r>
              <w:t>Partnership delivery</w:t>
            </w:r>
          </w:p>
        </w:tc>
        <w:tc>
          <w:tcPr>
            <w:tcW w:type="dxa" w:w="4000"/>
            <w:vAlign w:val="center"/>
            <w:tcMar>
              <w:top w:w="90" w:type="dxa"/>
              <w:start w:w="120" w:type="dxa"/>
              <w:bottom w:w="90" w:type="dxa"/>
              <w:end w:w="120" w:type="dxa"/>
            </w:tcMar>
            <w:shd w:fill="F8FBFF" w:val="clear"/>
          </w:tcPr>
          <w:p>
            <w:pPr>
              <w:spacing w:before="0" w:after="0" w:line="240" w:lineRule="auto"/>
              <w:jc w:val="left"/>
            </w:pPr>
            <w:r>
              <w:t>Data and services may involve other public bodies or delivery partners.</w:t>
            </w:r>
          </w:p>
        </w:tc>
        <w:tc>
          <w:tcPr>
            <w:tcW w:type="dxa" w:w="3700"/>
            <w:vAlign w:val="center"/>
            <w:tcMar>
              <w:top w:w="90" w:type="dxa"/>
              <w:start w:w="120" w:type="dxa"/>
              <w:bottom w:w="90" w:type="dxa"/>
              <w:end w:w="120" w:type="dxa"/>
            </w:tcMar>
            <w:shd w:fill="F8FBFF" w:val="clear"/>
          </w:tcPr>
          <w:p>
            <w:pPr>
              <w:spacing w:before="0" w:after="0" w:line="240" w:lineRule="auto"/>
              <w:jc w:val="left"/>
            </w:pPr>
            <w:r>
              <w:t>Explicit responsibilities, information-sharing controls and coordinated assurance.</w:t>
            </w:r>
          </w:p>
        </w:tc>
      </w:tr>
    </w:tbl>
    <w:p>
      <w:pPr>
        <w:spacing w:before="0" w:after="40" w:line="240" w:lineRule="auto"/>
      </w:pPr>
    </w:p>
    <w:p>
      <w:pPr>
        <w:pStyle w:val="Heading1"/>
        <w:keepNext/>
        <w:pageBreakBefore/>
        <w:shd w:fill="1F3864" w:val="clear"/>
        <w:spacing w:before="0" w:after="100"/>
        <w:outlineLvl w:val="0"/>
      </w:pPr>
      <w:r>
        <w:rPr>
          <w:rFonts w:ascii="Arial" w:hAnsi="Arial" w:eastAsia="Arial" w:cs="Arial"/>
          <w:b/>
          <w:bCs/>
          <w:i/>
          <w:iCs/>
          <w:color w:val="FFFFFF"/>
          <w:sz w:val="21"/>
          <w:szCs w:val="21"/>
        </w:rPr>
        <w:t xml:space="preserve">  7.  Interested Parties and Their Requirements</w:t>
      </w:r>
    </w:p>
    <w:p>
      <w:pPr>
        <w:keepNext w:val="0"/>
        <w:spacing w:before="0" w:after="120" w:line="252" w:lineRule="auto"/>
      </w:pPr>
      <w:r>
        <w:t>The following baseline shall be validated with the named functions and affected groups. Requirements that are legal, contractual, policy-based or otherwise mandatory shall be transferred to the controlled obligations and evidence arrangements described in section 8.</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000"/>
        <w:gridCol w:w="4050"/>
        <w:gridCol w:w="3550"/>
      </w:tblGrid>
      <w:tr>
        <w:trPr>
          <w:tblHeader w:val="true"/>
        </w:trPr>
        <w:tc>
          <w:tcPr>
            <w:tcW w:type="dxa" w:w="20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Interested party</w:t>
            </w:r>
          </w:p>
        </w:tc>
        <w:tc>
          <w:tcPr>
            <w:tcW w:type="dxa" w:w="405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Principal needs and expectations</w:t>
            </w:r>
          </w:p>
        </w:tc>
        <w:tc>
          <w:tcPr>
            <w:tcW w:type="dxa" w:w="355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How the AIMS responds</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Residents and service users</w:t>
            </w:r>
          </w:p>
        </w:tc>
        <w:tc>
          <w:tcPr>
            <w:tcW w:type="dxa" w:w="4050"/>
            <w:vAlign w:val="center"/>
            <w:tcMar>
              <w:top w:w="90" w:type="dxa"/>
              <w:start w:w="120" w:type="dxa"/>
              <w:bottom w:w="90" w:type="dxa"/>
              <w:end w:w="120" w:type="dxa"/>
            </w:tcMar>
          </w:tcPr>
          <w:p>
            <w:pPr>
              <w:spacing w:before="0" w:after="0" w:line="240" w:lineRule="auto"/>
              <w:jc w:val="left"/>
            </w:pPr>
            <w:r>
              <w:t>Lawful and fair treatment; accessible services; privacy; safety; understandable information; human contact, challenge and redress where appropriate.</w:t>
            </w:r>
          </w:p>
        </w:tc>
        <w:tc>
          <w:tcPr>
            <w:tcW w:type="dxa" w:w="3550"/>
            <w:vAlign w:val="center"/>
            <w:tcMar>
              <w:top w:w="90" w:type="dxa"/>
              <w:start w:w="120" w:type="dxa"/>
              <w:bottom w:w="90" w:type="dxa"/>
              <w:end w:w="120" w:type="dxa"/>
            </w:tcMar>
          </w:tcPr>
          <w:p>
            <w:pPr>
              <w:spacing w:before="0" w:after="0" w:line="240" w:lineRule="auto"/>
              <w:jc w:val="left"/>
            </w:pPr>
            <w:r>
              <w:t>Impact assessment, transparency records, oversight, monitoring, complaints and incident routes.</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Affected communities and representative groups</w:t>
            </w:r>
          </w:p>
        </w:tc>
        <w:tc>
          <w:tcPr>
            <w:tcW w:type="dxa" w:w="4050"/>
            <w:vAlign w:val="center"/>
            <w:tcMar>
              <w:top w:w="90" w:type="dxa"/>
              <w:start w:w="120" w:type="dxa"/>
              <w:bottom w:w="90" w:type="dxa"/>
              <w:end w:w="120" w:type="dxa"/>
            </w:tcMar>
            <w:shd w:fill="F8FBFF" w:val="clear"/>
          </w:tcPr>
          <w:p>
            <w:pPr>
              <w:spacing w:before="0" w:after="0" w:line="240" w:lineRule="auto"/>
              <w:jc w:val="left"/>
            </w:pPr>
            <w:r>
              <w:t>Meaningful consideration of collective, equality, accessibility and human-rights effects.</w:t>
            </w:r>
          </w:p>
        </w:tc>
        <w:tc>
          <w:tcPr>
            <w:tcW w:type="dxa" w:w="3550"/>
            <w:vAlign w:val="center"/>
            <w:tcMar>
              <w:top w:w="90" w:type="dxa"/>
              <w:start w:w="120" w:type="dxa"/>
              <w:bottom w:w="90" w:type="dxa"/>
              <w:end w:w="120" w:type="dxa"/>
            </w:tcMar>
            <w:shd w:fill="F8FBFF" w:val="clear"/>
          </w:tcPr>
          <w:p>
            <w:pPr>
              <w:spacing w:before="0" w:after="0" w:line="240" w:lineRule="auto"/>
              <w:jc w:val="left"/>
            </w:pPr>
            <w:r>
              <w:t>Proportionate engagement, EIA/HRA/Responsible AI assessment and documented decisions.</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Council staff and workers</w:t>
            </w:r>
          </w:p>
        </w:tc>
        <w:tc>
          <w:tcPr>
            <w:tcW w:type="dxa" w:w="4050"/>
            <w:vAlign w:val="center"/>
            <w:tcMar>
              <w:top w:w="90" w:type="dxa"/>
              <w:start w:w="120" w:type="dxa"/>
              <w:bottom w:w="90" w:type="dxa"/>
              <w:end w:w="120" w:type="dxa"/>
            </w:tcMar>
          </w:tcPr>
          <w:p>
            <w:pPr>
              <w:spacing w:before="0" w:after="0" w:line="240" w:lineRule="auto"/>
              <w:jc w:val="left"/>
            </w:pPr>
            <w:r>
              <w:t>Clear permitted use, training, support, safe escalation, proportionate monitoring and clarity about employment effects.</w:t>
            </w:r>
          </w:p>
        </w:tc>
        <w:tc>
          <w:tcPr>
            <w:tcW w:type="dxa" w:w="3550"/>
            <w:vAlign w:val="center"/>
            <w:tcMar>
              <w:top w:w="90" w:type="dxa"/>
              <w:start w:w="120" w:type="dxa"/>
              <w:bottom w:w="90" w:type="dxa"/>
              <w:end w:w="120" w:type="dxa"/>
            </w:tcMar>
          </w:tcPr>
          <w:p>
            <w:pPr>
              <w:spacing w:before="0" w:after="0" w:line="240" w:lineRule="auto"/>
              <w:jc w:val="left"/>
            </w:pPr>
            <w:r>
              <w:t>Acceptable-use controls, competence, consultation, human oversight and incident reporting.</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Elected members</w:t>
            </w:r>
          </w:p>
        </w:tc>
        <w:tc>
          <w:tcPr>
            <w:tcW w:type="dxa" w:w="4050"/>
            <w:vAlign w:val="center"/>
            <w:tcMar>
              <w:top w:w="90" w:type="dxa"/>
              <w:start w:w="120" w:type="dxa"/>
              <w:bottom w:w="90" w:type="dxa"/>
              <w:end w:w="120" w:type="dxa"/>
            </w:tcMar>
            <w:shd w:fill="F8FBFF" w:val="clear"/>
          </w:tcPr>
          <w:p>
            <w:pPr>
              <w:spacing w:before="0" w:after="0" w:line="240" w:lineRule="auto"/>
              <w:jc w:val="left"/>
            </w:pPr>
            <w:r>
              <w:t>Clear accountability, lawful delegations, reliable information and visibility of material risks and public impact.</w:t>
            </w:r>
          </w:p>
        </w:tc>
        <w:tc>
          <w:tcPr>
            <w:tcW w:type="dxa" w:w="3550"/>
            <w:vAlign w:val="center"/>
            <w:tcMar>
              <w:top w:w="90" w:type="dxa"/>
              <w:start w:w="120" w:type="dxa"/>
              <w:bottom w:w="90" w:type="dxa"/>
              <w:end w:w="120" w:type="dxa"/>
            </w:tcMar>
            <w:shd w:fill="F8FBFF" w:val="clear"/>
          </w:tcPr>
          <w:p>
            <w:pPr>
              <w:spacing w:before="0" w:after="0" w:line="240" w:lineRule="auto"/>
              <w:jc w:val="left"/>
            </w:pPr>
            <w:r>
              <w:t>Governance reporting, decision records, transparency and escalation.</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Executive leadership and governance bodies</w:t>
            </w:r>
          </w:p>
        </w:tc>
        <w:tc>
          <w:tcPr>
            <w:tcW w:type="dxa" w:w="4050"/>
            <w:vAlign w:val="center"/>
            <w:tcMar>
              <w:top w:w="90" w:type="dxa"/>
              <w:start w:w="120" w:type="dxa"/>
              <w:bottom w:w="90" w:type="dxa"/>
              <w:end w:w="120" w:type="dxa"/>
            </w:tcMar>
          </w:tcPr>
          <w:p>
            <w:pPr>
              <w:spacing w:before="0" w:after="0" w:line="240" w:lineRule="auto"/>
              <w:jc w:val="left"/>
            </w:pPr>
            <w:r>
              <w:t>Alignment with Council priorities, risk appetite, resources, performance information and assurance.</w:t>
            </w:r>
          </w:p>
        </w:tc>
        <w:tc>
          <w:tcPr>
            <w:tcW w:type="dxa" w:w="3550"/>
            <w:vAlign w:val="center"/>
            <w:tcMar>
              <w:top w:w="90" w:type="dxa"/>
              <w:start w:w="120" w:type="dxa"/>
              <w:bottom w:w="90" w:type="dxa"/>
              <w:end w:w="120" w:type="dxa"/>
            </w:tcMar>
          </w:tcPr>
          <w:p>
            <w:pPr>
              <w:spacing w:before="0" w:after="0" w:line="240" w:lineRule="auto"/>
              <w:jc w:val="left"/>
            </w:pPr>
            <w:r>
              <w:t>AIMS objectives, dashboard reporting, internal audit, management review and improvement actions.</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Service owners and delivery teams</w:t>
            </w:r>
          </w:p>
        </w:tc>
        <w:tc>
          <w:tcPr>
            <w:tcW w:type="dxa" w:w="4050"/>
            <w:vAlign w:val="center"/>
            <w:tcMar>
              <w:top w:w="90" w:type="dxa"/>
              <w:start w:w="120" w:type="dxa"/>
              <w:bottom w:w="90" w:type="dxa"/>
              <w:end w:w="120" w:type="dxa"/>
            </w:tcMar>
            <w:shd w:fill="F8FBFF" w:val="clear"/>
          </w:tcPr>
          <w:p>
            <w:pPr>
              <w:spacing w:before="0" w:after="0" w:line="240" w:lineRule="auto"/>
              <w:jc w:val="left"/>
            </w:pPr>
            <w:r>
              <w:t>Usable processes, timely decisions, clear ownership, proportionate controls and traceable conditions.</w:t>
            </w:r>
          </w:p>
        </w:tc>
        <w:tc>
          <w:tcPr>
            <w:tcW w:type="dxa" w:w="3550"/>
            <w:vAlign w:val="center"/>
            <w:tcMar>
              <w:top w:w="90" w:type="dxa"/>
              <w:start w:w="120" w:type="dxa"/>
              <w:bottom w:w="90" w:type="dxa"/>
              <w:end w:w="120" w:type="dxa"/>
            </w:tcMar>
            <w:shd w:fill="F8FBFF" w:val="clear"/>
          </w:tcPr>
          <w:p>
            <w:pPr>
              <w:spacing w:before="0" w:after="0" w:line="240" w:lineRule="auto"/>
              <w:jc w:val="left"/>
            </w:pPr>
            <w:r>
              <w:t>Intake, AGPI triage, risk assessment, approval gates, rollout plan and AI Register.</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Specialist control functions</w:t>
            </w:r>
          </w:p>
        </w:tc>
        <w:tc>
          <w:tcPr>
            <w:tcW w:type="dxa" w:w="4050"/>
            <w:vAlign w:val="center"/>
            <w:tcMar>
              <w:top w:w="90" w:type="dxa"/>
              <w:start w:w="120" w:type="dxa"/>
              <w:bottom w:w="90" w:type="dxa"/>
              <w:end w:w="120" w:type="dxa"/>
            </w:tcMar>
          </w:tcPr>
          <w:p>
            <w:pPr>
              <w:spacing w:before="0" w:after="0" w:line="240" w:lineRule="auto"/>
              <w:jc w:val="left"/>
            </w:pPr>
            <w:r>
              <w:t>Early involvement, complete evidence, preserved professional authority and closure of actions.</w:t>
            </w:r>
          </w:p>
        </w:tc>
        <w:tc>
          <w:tcPr>
            <w:tcW w:type="dxa" w:w="3550"/>
            <w:vAlign w:val="center"/>
            <w:tcMar>
              <w:top w:w="90" w:type="dxa"/>
              <w:start w:w="120" w:type="dxa"/>
              <w:bottom w:w="90" w:type="dxa"/>
              <w:end w:w="120" w:type="dxa"/>
            </w:tcMar>
          </w:tcPr>
          <w:p>
            <w:pPr>
              <w:spacing w:before="0" w:after="0" w:line="240" w:lineRule="auto"/>
              <w:jc w:val="left"/>
            </w:pPr>
            <w:r>
              <w:t>Required reviews by Legal, DPO, Information Governance, Security, Data, Procurement, Equality and other functions as applicable.</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Suppliers and delivery partners</w:t>
            </w:r>
          </w:p>
        </w:tc>
        <w:tc>
          <w:tcPr>
            <w:tcW w:type="dxa" w:w="4050"/>
            <w:vAlign w:val="center"/>
            <w:tcMar>
              <w:top w:w="90" w:type="dxa"/>
              <w:start w:w="120" w:type="dxa"/>
              <w:bottom w:w="90" w:type="dxa"/>
              <w:end w:w="120" w:type="dxa"/>
            </w:tcMar>
            <w:shd w:fill="F8FBFF" w:val="clear"/>
          </w:tcPr>
          <w:p>
            <w:pPr>
              <w:spacing w:before="0" w:after="0" w:line="240" w:lineRule="auto"/>
              <w:jc w:val="left"/>
            </w:pPr>
            <w:r>
              <w:t>Clear requirements, decision routes, information-sharing arrangements and change/incident responsibilities.</w:t>
            </w:r>
          </w:p>
        </w:tc>
        <w:tc>
          <w:tcPr>
            <w:tcW w:type="dxa" w:w="3550"/>
            <w:vAlign w:val="center"/>
            <w:tcMar>
              <w:top w:w="90" w:type="dxa"/>
              <w:start w:w="120" w:type="dxa"/>
              <w:bottom w:w="90" w:type="dxa"/>
              <w:end w:w="120" w:type="dxa"/>
            </w:tcMar>
            <w:shd w:fill="F8FBFF" w:val="clear"/>
          </w:tcPr>
          <w:p>
            <w:pPr>
              <w:spacing w:before="0" w:after="0" w:line="240" w:lineRule="auto"/>
              <w:jc w:val="left"/>
            </w:pPr>
            <w:r>
              <w:t>Due diligence, contracts, evidence requirements, service monitoring and exit arrangements.</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Regulators, auditors and oversight bodies</w:t>
            </w:r>
          </w:p>
        </w:tc>
        <w:tc>
          <w:tcPr>
            <w:tcW w:type="dxa" w:w="4050"/>
            <w:vAlign w:val="center"/>
            <w:tcMar>
              <w:top w:w="90" w:type="dxa"/>
              <w:start w:w="120" w:type="dxa"/>
              <w:bottom w:w="90" w:type="dxa"/>
              <w:end w:w="120" w:type="dxa"/>
            </w:tcMar>
          </w:tcPr>
          <w:p>
            <w:pPr>
              <w:spacing w:before="0" w:after="0" w:line="240" w:lineRule="auto"/>
              <w:jc w:val="left"/>
            </w:pPr>
            <w:r>
              <w:t>Compliance, accessible records, transparency, cooperation and evidence of effective controls.</w:t>
            </w:r>
          </w:p>
        </w:tc>
        <w:tc>
          <w:tcPr>
            <w:tcW w:type="dxa" w:w="3550"/>
            <w:vAlign w:val="center"/>
            <w:tcMar>
              <w:top w:w="90" w:type="dxa"/>
              <w:start w:w="120" w:type="dxa"/>
              <w:bottom w:w="90" w:type="dxa"/>
              <w:end w:w="120" w:type="dxa"/>
            </w:tcMar>
          </w:tcPr>
          <w:p>
            <w:pPr>
              <w:spacing w:before="0" w:after="0" w:line="240" w:lineRule="auto"/>
              <w:jc w:val="left"/>
            </w:pPr>
            <w:r>
              <w:t>Controlled documentation, audit trails, reporting, corrective action and retained evidence.</w:t>
            </w:r>
          </w:p>
        </w:tc>
      </w:tr>
      <w:tr>
        <w:tc>
          <w:tcPr>
            <w:tcW w:type="dxa" w:w="2000"/>
            <w:vAlign w:val="center"/>
            <w:tcMar>
              <w:top w:w="90" w:type="dxa"/>
              <w:start w:w="120" w:type="dxa"/>
              <w:bottom w:w="90" w:type="dxa"/>
              <w:end w:w="120" w:type="dxa"/>
            </w:tcMar>
            <w:shd w:fill="EEF4FB" w:val="clear"/>
          </w:tcPr>
          <w:p>
            <w:pPr>
              <w:spacing w:before="0" w:after="0" w:line="240" w:lineRule="auto"/>
              <w:jc w:val="left"/>
            </w:pPr>
            <w:r>
              <w:t>Partner public bodies</w:t>
            </w:r>
          </w:p>
        </w:tc>
        <w:tc>
          <w:tcPr>
            <w:tcW w:type="dxa" w:w="4050"/>
            <w:vAlign w:val="center"/>
            <w:tcMar>
              <w:top w:w="90" w:type="dxa"/>
              <w:start w:w="120" w:type="dxa"/>
              <w:bottom w:w="90" w:type="dxa"/>
              <w:end w:w="120" w:type="dxa"/>
            </w:tcMar>
            <w:shd w:fill="F8FBFF" w:val="clear"/>
          </w:tcPr>
          <w:p>
            <w:pPr>
              <w:spacing w:before="0" w:after="0" w:line="240" w:lineRule="auto"/>
              <w:jc w:val="left"/>
            </w:pPr>
            <w:r>
              <w:t>Clear roles, lawful data sharing, coordinated assurance and consistent resident protections.</w:t>
            </w:r>
          </w:p>
        </w:tc>
        <w:tc>
          <w:tcPr>
            <w:tcW w:type="dxa" w:w="3550"/>
            <w:vAlign w:val="center"/>
            <w:tcMar>
              <w:top w:w="90" w:type="dxa"/>
              <w:start w:w="120" w:type="dxa"/>
              <w:bottom w:w="90" w:type="dxa"/>
              <w:end w:w="120" w:type="dxa"/>
            </w:tcMar>
            <w:shd w:fill="F8FBFF" w:val="clear"/>
          </w:tcPr>
          <w:p>
            <w:pPr>
              <w:spacing w:before="0" w:after="0" w:line="240" w:lineRule="auto"/>
              <w:jc w:val="left"/>
            </w:pPr>
            <w:r>
              <w:t>Joint governance, information-sharing terms, assigned responsibilities and escalation.</w:t>
            </w:r>
          </w:p>
        </w:tc>
      </w:tr>
    </w:tbl>
    <w:p>
      <w:pPr>
        <w:spacing w:before="0" w:after="40" w:line="240" w:lineRule="auto"/>
      </w:pP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8.  Applicable Requirements and Obligations</w:t>
      </w:r>
    </w:p>
    <w:p>
      <w:pPr>
        <w:keepNext w:val="0"/>
        <w:spacing w:before="0" w:after="120" w:line="252" w:lineRule="auto"/>
      </w:pPr>
      <w:r>
        <w:t>The AIMS shall maintain or reference a controlled record of requirements applicable to its scope. Legal Services, the Data Protection Officer and relevant specialist functions retain authority for interpreting requirements in their domain. This document does not replace legal advice or existing corporate registers.</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100"/>
        <w:gridCol w:w="4200"/>
        <w:gridCol w:w="3300"/>
      </w:tblGrid>
      <w:tr>
        <w:trPr>
          <w:tblHeader w:val="true"/>
        </w:trPr>
        <w:tc>
          <w:tcPr>
            <w:tcW w:type="dxa" w:w="21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Requirement category</w:t>
            </w:r>
          </w:p>
        </w:tc>
        <w:tc>
          <w:tcPr>
            <w:tcW w:type="dxa" w:w="42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Examples to validate</w:t>
            </w:r>
          </w:p>
        </w:tc>
        <w:tc>
          <w:tcPr>
            <w:tcW w:type="dxa" w:w="33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Control and evidence route</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AI management system</w:t>
            </w:r>
          </w:p>
        </w:tc>
        <w:tc>
          <w:tcPr>
            <w:tcW w:type="dxa" w:w="4200"/>
            <w:vAlign w:val="center"/>
            <w:tcMar>
              <w:top w:w="90" w:type="dxa"/>
              <w:start w:w="120" w:type="dxa"/>
              <w:bottom w:w="90" w:type="dxa"/>
              <w:end w:w="120" w:type="dxa"/>
            </w:tcMar>
          </w:tcPr>
          <w:p>
            <w:pPr>
              <w:spacing w:before="0" w:after="0" w:line="240" w:lineRule="auto"/>
              <w:jc w:val="left"/>
            </w:pPr>
            <w:r>
              <w:t>ISO/IEC 42001 requirements, adopted AI policies, objectives and the Statement of Applicability.</w:t>
            </w:r>
          </w:p>
        </w:tc>
        <w:tc>
          <w:tcPr>
            <w:tcW w:type="dxa" w:w="3300"/>
            <w:vAlign w:val="center"/>
            <w:tcMar>
              <w:top w:w="90" w:type="dxa"/>
              <w:start w:w="120" w:type="dxa"/>
              <w:bottom w:w="90" w:type="dxa"/>
              <w:end w:w="120" w:type="dxa"/>
            </w:tcMar>
          </w:tcPr>
          <w:p>
            <w:pPr>
              <w:spacing w:before="0" w:after="0" w:line="240" w:lineRule="auto"/>
              <w:jc w:val="left"/>
            </w:pPr>
            <w:r>
              <w:t>AIMS control matrix, objectives, audits, management review and improvement records.</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Legal and statutory duties</w:t>
            </w:r>
          </w:p>
        </w:tc>
        <w:tc>
          <w:tcPr>
            <w:tcW w:type="dxa" w:w="4200"/>
            <w:vAlign w:val="center"/>
            <w:tcMar>
              <w:top w:w="90" w:type="dxa"/>
              <w:start w:w="120" w:type="dxa"/>
              <w:bottom w:w="90" w:type="dxa"/>
              <w:end w:w="120" w:type="dxa"/>
            </w:tcMar>
            <w:shd w:fill="F8FBFF" w:val="clear"/>
          </w:tcPr>
          <w:p>
            <w:pPr>
              <w:spacing w:before="0" w:after="0" w:line="240" w:lineRule="auto"/>
              <w:jc w:val="left"/>
            </w:pPr>
            <w:r>
              <w:t>Data protection, equality, human rights, public law, information access, safeguarding, procurement, employment, intellectual property and sector-specific duties.</w:t>
            </w:r>
          </w:p>
        </w:tc>
        <w:tc>
          <w:tcPr>
            <w:tcW w:type="dxa" w:w="3300"/>
            <w:vAlign w:val="center"/>
            <w:tcMar>
              <w:top w:w="90" w:type="dxa"/>
              <w:start w:w="120" w:type="dxa"/>
              <w:bottom w:w="90" w:type="dxa"/>
              <w:end w:w="120" w:type="dxa"/>
            </w:tcMar>
            <w:shd w:fill="F8FBFF" w:val="clear"/>
          </w:tcPr>
          <w:p>
            <w:pPr>
              <w:spacing w:before="0" w:after="0" w:line="240" w:lineRule="auto"/>
              <w:jc w:val="left"/>
            </w:pPr>
            <w:r>
              <w:t>Legal/IG/DPO advice, impact assessments, decision records and corporate obligations registers.</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Regulatory and official guidance</w:t>
            </w:r>
          </w:p>
        </w:tc>
        <w:tc>
          <w:tcPr>
            <w:tcW w:type="dxa" w:w="4200"/>
            <w:vAlign w:val="center"/>
            <w:tcMar>
              <w:top w:w="90" w:type="dxa"/>
              <w:start w:w="120" w:type="dxa"/>
              <w:bottom w:w="90" w:type="dxa"/>
              <w:end w:w="120" w:type="dxa"/>
            </w:tcMar>
          </w:tcPr>
          <w:p>
            <w:pPr>
              <w:spacing w:before="0" w:after="0" w:line="240" w:lineRule="auto"/>
              <w:jc w:val="left"/>
            </w:pPr>
            <w:r>
              <w:t>Applicable guidance from competent regulators, government and public-sector oversight bodies.</w:t>
            </w:r>
          </w:p>
        </w:tc>
        <w:tc>
          <w:tcPr>
            <w:tcW w:type="dxa" w:w="3300"/>
            <w:vAlign w:val="center"/>
            <w:tcMar>
              <w:top w:w="90" w:type="dxa"/>
              <w:start w:w="120" w:type="dxa"/>
              <w:bottom w:w="90" w:type="dxa"/>
              <w:end w:w="120" w:type="dxa"/>
            </w:tcMar>
          </w:tcPr>
          <w:p>
            <w:pPr>
              <w:spacing w:before="0" w:after="0" w:line="240" w:lineRule="auto"/>
              <w:jc w:val="left"/>
            </w:pPr>
            <w:r>
              <w:t>Horizon scanning, assigned owner, change assessment and implementation evidence.</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Council governance</w:t>
            </w:r>
          </w:p>
        </w:tc>
        <w:tc>
          <w:tcPr>
            <w:tcW w:type="dxa" w:w="4200"/>
            <w:vAlign w:val="center"/>
            <w:tcMar>
              <w:top w:w="90" w:type="dxa"/>
              <w:start w:w="120" w:type="dxa"/>
              <w:bottom w:w="90" w:type="dxa"/>
              <w:end w:w="120" w:type="dxa"/>
            </w:tcMar>
            <w:shd w:fill="F8FBFF" w:val="clear"/>
          </w:tcPr>
          <w:p>
            <w:pPr>
              <w:spacing w:before="0" w:after="0" w:line="240" w:lineRule="auto"/>
              <w:jc w:val="left"/>
            </w:pPr>
            <w:r>
              <w:t>Constitution, delegations, policies, standards, risk appetite and committee decisions.</w:t>
            </w:r>
          </w:p>
        </w:tc>
        <w:tc>
          <w:tcPr>
            <w:tcW w:type="dxa" w:w="3300"/>
            <w:vAlign w:val="center"/>
            <w:tcMar>
              <w:top w:w="90" w:type="dxa"/>
              <w:start w:w="120" w:type="dxa"/>
              <w:bottom w:w="90" w:type="dxa"/>
              <w:end w:w="120" w:type="dxa"/>
            </w:tcMar>
            <w:shd w:fill="F8FBFF" w:val="clear"/>
          </w:tcPr>
          <w:p>
            <w:pPr>
              <w:spacing w:before="0" w:after="0" w:line="240" w:lineRule="auto"/>
              <w:jc w:val="left"/>
            </w:pPr>
            <w:r>
              <w:t>Approval records, Terms of Reference, governance minutes and policy controls.</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Contracts and procurement</w:t>
            </w:r>
          </w:p>
        </w:tc>
        <w:tc>
          <w:tcPr>
            <w:tcW w:type="dxa" w:w="4200"/>
            <w:vAlign w:val="center"/>
            <w:tcMar>
              <w:top w:w="90" w:type="dxa"/>
              <w:start w:w="120" w:type="dxa"/>
              <w:bottom w:w="90" w:type="dxa"/>
              <w:end w:w="120" w:type="dxa"/>
            </w:tcMar>
          </w:tcPr>
          <w:p>
            <w:pPr>
              <w:spacing w:before="0" w:after="0" w:line="240" w:lineRule="auto"/>
              <w:jc w:val="left"/>
            </w:pPr>
            <w:r>
              <w:t>Supplier commitments, data terms, service levels, assurance rights, change notification, incident support and exit.</w:t>
            </w:r>
          </w:p>
        </w:tc>
        <w:tc>
          <w:tcPr>
            <w:tcW w:type="dxa" w:w="3300"/>
            <w:vAlign w:val="center"/>
            <w:tcMar>
              <w:top w:w="90" w:type="dxa"/>
              <w:start w:w="120" w:type="dxa"/>
              <w:bottom w:w="90" w:type="dxa"/>
              <w:end w:w="120" w:type="dxa"/>
            </w:tcMar>
          </w:tcPr>
          <w:p>
            <w:pPr>
              <w:spacing w:before="0" w:after="0" w:line="240" w:lineRule="auto"/>
              <w:jc w:val="left"/>
            </w:pPr>
            <w:r>
              <w:t>AIG-ASS-08, contracts, procurement record, security review and supplier monitoring.</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Resident and service commitments</w:t>
            </w:r>
          </w:p>
        </w:tc>
        <w:tc>
          <w:tcPr>
            <w:tcW w:type="dxa" w:w="4200"/>
            <w:vAlign w:val="center"/>
            <w:tcMar>
              <w:top w:w="90" w:type="dxa"/>
              <w:start w:w="120" w:type="dxa"/>
              <w:bottom w:w="90" w:type="dxa"/>
              <w:end w:w="120" w:type="dxa"/>
            </w:tcMar>
            <w:shd w:fill="F8FBFF" w:val="clear"/>
          </w:tcPr>
          <w:p>
            <w:pPr>
              <w:spacing w:before="0" w:after="0" w:line="240" w:lineRule="auto"/>
              <w:jc w:val="left"/>
            </w:pPr>
            <w:r>
              <w:t>Published service standards, accessibility, transparency, complaints, consultation and redress commitments.</w:t>
            </w:r>
          </w:p>
        </w:tc>
        <w:tc>
          <w:tcPr>
            <w:tcW w:type="dxa" w:w="3300"/>
            <w:vAlign w:val="center"/>
            <w:tcMar>
              <w:top w:w="90" w:type="dxa"/>
              <w:start w:w="120" w:type="dxa"/>
              <w:bottom w:w="90" w:type="dxa"/>
              <w:end w:w="120" w:type="dxa"/>
            </w:tcMar>
            <w:shd w:fill="F8FBFF" w:val="clear"/>
          </w:tcPr>
          <w:p>
            <w:pPr>
              <w:spacing w:before="0" w:after="0" w:line="240" w:lineRule="auto"/>
              <w:jc w:val="left"/>
            </w:pPr>
            <w:r>
              <w:t>Service design, ATRS/transparency record, monitoring, engagement and complaints evidence.</w:t>
            </w:r>
          </w:p>
        </w:tc>
      </w:tr>
      <w:tr>
        <w:tc>
          <w:tcPr>
            <w:tcW w:type="dxa" w:w="2100"/>
            <w:vAlign w:val="center"/>
            <w:tcMar>
              <w:top w:w="90" w:type="dxa"/>
              <w:start w:w="120" w:type="dxa"/>
              <w:bottom w:w="90" w:type="dxa"/>
              <w:end w:w="120" w:type="dxa"/>
            </w:tcMar>
            <w:shd w:fill="EEF4FB" w:val="clear"/>
          </w:tcPr>
          <w:p>
            <w:pPr>
              <w:spacing w:before="0" w:after="0" w:line="240" w:lineRule="auto"/>
              <w:jc w:val="left"/>
            </w:pPr>
            <w:r>
              <w:t>Partnership requirements</w:t>
            </w:r>
          </w:p>
        </w:tc>
        <w:tc>
          <w:tcPr>
            <w:tcW w:type="dxa" w:w="4200"/>
            <w:vAlign w:val="center"/>
            <w:tcMar>
              <w:top w:w="90" w:type="dxa"/>
              <w:start w:w="120" w:type="dxa"/>
              <w:bottom w:w="90" w:type="dxa"/>
              <w:end w:w="120" w:type="dxa"/>
            </w:tcMar>
          </w:tcPr>
          <w:p>
            <w:pPr>
              <w:spacing w:before="0" w:after="0" w:line="240" w:lineRule="auto"/>
              <w:jc w:val="left"/>
            </w:pPr>
            <w:r>
              <w:t>Joint governance, information sharing, funding conditions and shared-service responsibilities.</w:t>
            </w:r>
          </w:p>
        </w:tc>
        <w:tc>
          <w:tcPr>
            <w:tcW w:type="dxa" w:w="3300"/>
            <w:vAlign w:val="center"/>
            <w:tcMar>
              <w:top w:w="90" w:type="dxa"/>
              <w:start w:w="120" w:type="dxa"/>
              <w:bottom w:w="90" w:type="dxa"/>
              <w:end w:w="120" w:type="dxa"/>
            </w:tcMar>
          </w:tcPr>
          <w:p>
            <w:pPr>
              <w:spacing w:before="0" w:after="0" w:line="240" w:lineRule="auto"/>
              <w:jc w:val="left"/>
            </w:pPr>
            <w:r>
              <w:t>Agreements, RACI, evidence-sharing and coordinated assurance.</w:t>
            </w:r>
          </w:p>
        </w:tc>
      </w:tr>
    </w:tbl>
    <w:p>
      <w:pPr>
        <w:spacing w:before="0" w:after="40" w:line="240" w:lineRule="auto"/>
      </w:pPr>
    </w:p>
    <w:p>
      <w:pPr>
        <w:keepNext w:val="0"/>
        <w:spacing w:before="0" w:after="120" w:line="252" w:lineRule="auto"/>
      </w:pPr>
      <w:r>
        <w:t>Each mandatory requirement shall have an owner, source, applicability decision, affected process or AI system, review date, evidence location and change status. Conflicts or uncertainty shall be escalated to the competent Council authority and recorded.</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9.  Interface with the AI Governance Suite</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200"/>
        <w:gridCol w:w="2900"/>
        <w:gridCol w:w="4500"/>
      </w:tblGrid>
      <w:tr>
        <w:trPr>
          <w:tblHeader w:val="true"/>
        </w:trPr>
        <w:tc>
          <w:tcPr>
            <w:tcW w:type="dxa" w:w="22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AIMS need</w:t>
            </w:r>
          </w:p>
        </w:tc>
        <w:tc>
          <w:tcPr>
            <w:tcW w:type="dxa" w:w="29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Primary suite component</w:t>
            </w:r>
          </w:p>
        </w:tc>
        <w:tc>
          <w:tcPr>
            <w:tcW w:type="dxa" w:w="45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Connection</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Policy and operating model</w:t>
            </w:r>
          </w:p>
        </w:tc>
        <w:tc>
          <w:tcPr>
            <w:tcW w:type="dxa" w:w="2900"/>
            <w:vAlign w:val="center"/>
            <w:tcMar>
              <w:top w:w="90" w:type="dxa"/>
              <w:start w:w="120" w:type="dxa"/>
              <w:bottom w:w="90" w:type="dxa"/>
              <w:end w:w="120" w:type="dxa"/>
            </w:tcMar>
          </w:tcPr>
          <w:p>
            <w:pPr>
              <w:spacing w:before="0" w:after="0" w:line="240" w:lineRule="auto"/>
              <w:jc w:val="left"/>
            </w:pPr>
            <w:r>
              <w:t>AIG-GOV-02 Playbook</w:t>
            </w:r>
          </w:p>
        </w:tc>
        <w:tc>
          <w:tcPr>
            <w:tcW w:type="dxa" w:w="4500"/>
            <w:vAlign w:val="center"/>
            <w:tcMar>
              <w:top w:w="90" w:type="dxa"/>
              <w:start w:w="120" w:type="dxa"/>
              <w:bottom w:w="90" w:type="dxa"/>
              <w:end w:w="120" w:type="dxa"/>
            </w:tcMar>
          </w:tcPr>
          <w:p>
            <w:pPr>
              <w:spacing w:before="0" w:after="0" w:line="240" w:lineRule="auto"/>
              <w:jc w:val="left"/>
            </w:pPr>
            <w:r>
              <w:t>Defines principles, governance, lifecycle, risk, assurance and capability arrangements.</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Entry and inventory</w:t>
            </w:r>
          </w:p>
        </w:tc>
        <w:tc>
          <w:tcPr>
            <w:tcW w:type="dxa" w:w="2900"/>
            <w:vAlign w:val="center"/>
            <w:tcMar>
              <w:top w:w="90" w:type="dxa"/>
              <w:start w:w="120" w:type="dxa"/>
              <w:bottom w:w="90" w:type="dxa"/>
              <w:end w:w="120" w:type="dxa"/>
            </w:tcMar>
            <w:shd w:fill="F8FBFF" w:val="clear"/>
          </w:tcPr>
          <w:p>
            <w:pPr>
              <w:spacing w:before="0" w:after="0" w:line="240" w:lineRule="auto"/>
              <w:jc w:val="left"/>
            </w:pPr>
            <w:r>
              <w:t>AIG-INV-01, AIG-INV-03, AIG-INV-04 and AIG-ASS-01</w:t>
            </w:r>
          </w:p>
        </w:tc>
        <w:tc>
          <w:tcPr>
            <w:tcW w:type="dxa" w:w="4500"/>
            <w:vAlign w:val="center"/>
            <w:tcMar>
              <w:top w:w="90" w:type="dxa"/>
              <w:start w:w="120" w:type="dxa"/>
              <w:bottom w:w="90" w:type="dxa"/>
              <w:end w:w="120" w:type="dxa"/>
            </w:tcMar>
            <w:shd w:fill="F8FBFF" w:val="clear"/>
          </w:tcPr>
          <w:p>
            <w:pPr>
              <w:spacing w:before="0" w:after="0" w:line="240" w:lineRule="auto"/>
              <w:jc w:val="left"/>
            </w:pPr>
            <w:r>
              <w:t>Determines whether activity is AI, captures intake, creates the AI Register record and sets governance priority.</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Risk and impacts</w:t>
            </w:r>
          </w:p>
        </w:tc>
        <w:tc>
          <w:tcPr>
            <w:tcW w:type="dxa" w:w="2900"/>
            <w:vAlign w:val="center"/>
            <w:tcMar>
              <w:top w:w="90" w:type="dxa"/>
              <w:start w:w="120" w:type="dxa"/>
              <w:bottom w:w="90" w:type="dxa"/>
              <w:end w:w="120" w:type="dxa"/>
            </w:tcMar>
          </w:tcPr>
          <w:p>
            <w:pPr>
              <w:spacing w:before="0" w:after="0" w:line="240" w:lineRule="auto"/>
              <w:jc w:val="left"/>
            </w:pPr>
            <w:r>
              <w:t>AIG-ASS-02 and AIG-ASS-04 to AIG-ASS-07</w:t>
            </w:r>
          </w:p>
        </w:tc>
        <w:tc>
          <w:tcPr>
            <w:tcW w:type="dxa" w:w="4500"/>
            <w:vAlign w:val="center"/>
            <w:tcMar>
              <w:top w:w="90" w:type="dxa"/>
              <w:start w:w="120" w:type="dxa"/>
              <w:bottom w:w="90" w:type="dxa"/>
              <w:end w:w="120" w:type="dxa"/>
            </w:tcMar>
          </w:tcPr>
          <w:p>
            <w:pPr>
              <w:spacing w:before="0" w:after="0" w:line="240" w:lineRule="auto"/>
              <w:jc w:val="left"/>
            </w:pPr>
            <w:r>
              <w:t>Assesses AI risk, responsible-AI, privacy, equality and human-rights impacts.</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Governance assurance</w:t>
            </w:r>
          </w:p>
        </w:tc>
        <w:tc>
          <w:tcPr>
            <w:tcW w:type="dxa" w:w="2900"/>
            <w:vAlign w:val="center"/>
            <w:tcMar>
              <w:top w:w="90" w:type="dxa"/>
              <w:start w:w="120" w:type="dxa"/>
              <w:bottom w:w="90" w:type="dxa"/>
              <w:end w:w="120" w:type="dxa"/>
            </w:tcMar>
            <w:shd w:fill="F8FBFF" w:val="clear"/>
          </w:tcPr>
          <w:p>
            <w:pPr>
              <w:spacing w:before="0" w:after="0" w:line="240" w:lineRule="auto"/>
              <w:jc w:val="left"/>
            </w:pPr>
            <w:r>
              <w:t>AIG-ASS-03, AIG-DEC-03 and AIG-GOV-06</w:t>
            </w:r>
          </w:p>
        </w:tc>
        <w:tc>
          <w:tcPr>
            <w:tcW w:type="dxa" w:w="4500"/>
            <w:vAlign w:val="center"/>
            <w:tcMar>
              <w:top w:w="90" w:type="dxa"/>
              <w:start w:w="120" w:type="dxa"/>
              <w:bottom w:w="90" w:type="dxa"/>
              <w:end w:w="120" w:type="dxa"/>
            </w:tcMar>
            <w:shd w:fill="F8FBFF" w:val="clear"/>
          </w:tcPr>
          <w:p>
            <w:pPr>
              <w:spacing w:before="0" w:after="0" w:line="240" w:lineRule="auto"/>
              <w:jc w:val="left"/>
            </w:pPr>
            <w:r>
              <w:t>Coordinates evidence, decision authority, conditions, delegations, conflicts and action closure.</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Third parties and security</w:t>
            </w:r>
          </w:p>
        </w:tc>
        <w:tc>
          <w:tcPr>
            <w:tcW w:type="dxa" w:w="2900"/>
            <w:vAlign w:val="center"/>
            <w:tcMar>
              <w:top w:w="90" w:type="dxa"/>
              <w:start w:w="120" w:type="dxa"/>
              <w:bottom w:w="90" w:type="dxa"/>
              <w:end w:w="120" w:type="dxa"/>
            </w:tcMar>
          </w:tcPr>
          <w:p>
            <w:pPr>
              <w:spacing w:before="0" w:after="0" w:line="240" w:lineRule="auto"/>
              <w:jc w:val="left"/>
            </w:pPr>
            <w:r>
              <w:t>AIG-ASS-08 and AIG-ASS-11</w:t>
            </w:r>
          </w:p>
        </w:tc>
        <w:tc>
          <w:tcPr>
            <w:tcW w:type="dxa" w:w="4500"/>
            <w:vAlign w:val="center"/>
            <w:tcMar>
              <w:top w:w="90" w:type="dxa"/>
              <w:start w:w="120" w:type="dxa"/>
              <w:bottom w:w="90" w:type="dxa"/>
              <w:end w:w="120" w:type="dxa"/>
            </w:tcMar>
          </w:tcPr>
          <w:p>
            <w:pPr>
              <w:spacing w:before="0" w:after="0" w:line="240" w:lineRule="auto"/>
              <w:jc w:val="left"/>
            </w:pPr>
            <w:r>
              <w:t>Addresses supplier, contractual, technical and security assurance.</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Transparency and system documentation</w:t>
            </w:r>
          </w:p>
        </w:tc>
        <w:tc>
          <w:tcPr>
            <w:tcW w:type="dxa" w:w="2900"/>
            <w:vAlign w:val="center"/>
            <w:tcMar>
              <w:top w:w="90" w:type="dxa"/>
              <w:start w:w="120" w:type="dxa"/>
              <w:bottom w:w="90" w:type="dxa"/>
              <w:end w:w="120" w:type="dxa"/>
            </w:tcMar>
            <w:shd w:fill="F8FBFF" w:val="clear"/>
          </w:tcPr>
          <w:p>
            <w:pPr>
              <w:spacing w:before="0" w:after="0" w:line="240" w:lineRule="auto"/>
              <w:jc w:val="left"/>
            </w:pPr>
            <w:r>
              <w:t>AIG-ASS-09 and AIG-ASS-10</w:t>
            </w:r>
          </w:p>
        </w:tc>
        <w:tc>
          <w:tcPr>
            <w:tcW w:type="dxa" w:w="4500"/>
            <w:vAlign w:val="center"/>
            <w:tcMar>
              <w:top w:w="90" w:type="dxa"/>
              <w:start w:w="120" w:type="dxa"/>
              <w:bottom w:w="90" w:type="dxa"/>
              <w:end w:w="120" w:type="dxa"/>
            </w:tcMar>
            <w:shd w:fill="F8FBFF" w:val="clear"/>
          </w:tcPr>
          <w:p>
            <w:pPr>
              <w:spacing w:before="0" w:after="0" w:line="240" w:lineRule="auto"/>
              <w:jc w:val="left"/>
            </w:pPr>
            <w:r>
              <w:t>Maintains the Model Card and public transparency record where applicable.</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Performance and reporting</w:t>
            </w:r>
          </w:p>
        </w:tc>
        <w:tc>
          <w:tcPr>
            <w:tcW w:type="dxa" w:w="2900"/>
            <w:vAlign w:val="center"/>
            <w:tcMar>
              <w:top w:w="90" w:type="dxa"/>
              <w:start w:w="120" w:type="dxa"/>
              <w:bottom w:w="90" w:type="dxa"/>
              <w:end w:w="120" w:type="dxa"/>
            </w:tcMar>
          </w:tcPr>
          <w:p>
            <w:pPr>
              <w:spacing w:before="0" w:after="0" w:line="240" w:lineRule="auto"/>
              <w:jc w:val="left"/>
            </w:pPr>
            <w:r>
              <w:t>AIG-OPS-05 and AIG-OPS-06</w:t>
            </w:r>
          </w:p>
        </w:tc>
        <w:tc>
          <w:tcPr>
            <w:tcW w:type="dxa" w:w="4500"/>
            <w:vAlign w:val="center"/>
            <w:tcMar>
              <w:top w:w="90" w:type="dxa"/>
              <w:start w:w="120" w:type="dxa"/>
              <w:bottom w:w="90" w:type="dxa"/>
              <w:end w:w="120" w:type="dxa"/>
            </w:tcMar>
          </w:tcPr>
          <w:p>
            <w:pPr>
              <w:spacing w:before="0" w:after="0" w:line="240" w:lineRule="auto"/>
              <w:jc w:val="left"/>
            </w:pPr>
            <w:r>
              <w:t>Provides operational and strategic monitoring and governance reporting.</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Incidents and improvement</w:t>
            </w:r>
          </w:p>
        </w:tc>
        <w:tc>
          <w:tcPr>
            <w:tcW w:type="dxa" w:w="2900"/>
            <w:vAlign w:val="center"/>
            <w:tcMar>
              <w:top w:w="90" w:type="dxa"/>
              <w:start w:w="120" w:type="dxa"/>
              <w:bottom w:w="90" w:type="dxa"/>
              <w:end w:w="120" w:type="dxa"/>
            </w:tcMar>
            <w:shd w:fill="F8FBFF" w:val="clear"/>
          </w:tcPr>
          <w:p>
            <w:pPr>
              <w:spacing w:before="0" w:after="0" w:line="240" w:lineRule="auto"/>
              <w:jc w:val="left"/>
            </w:pPr>
            <w:r>
              <w:t>AIG-OPS-03</w:t>
            </w:r>
          </w:p>
        </w:tc>
        <w:tc>
          <w:tcPr>
            <w:tcW w:type="dxa" w:w="4500"/>
            <w:vAlign w:val="center"/>
            <w:tcMar>
              <w:top w:w="90" w:type="dxa"/>
              <w:start w:w="120" w:type="dxa"/>
              <w:bottom w:w="90" w:type="dxa"/>
              <w:end w:w="120" w:type="dxa"/>
            </w:tcMar>
            <w:shd w:fill="F8FBFF" w:val="clear"/>
          </w:tcPr>
          <w:p>
            <w:pPr>
              <w:spacing w:before="0" w:after="0" w:line="240" w:lineRule="auto"/>
              <w:jc w:val="left"/>
            </w:pPr>
            <w:r>
              <w:t>Captures AI incidents and links containment, investigation and remediation evidence.</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Deployment and live control</w:t>
            </w:r>
          </w:p>
        </w:tc>
        <w:tc>
          <w:tcPr>
            <w:tcW w:type="dxa" w:w="2900"/>
            <w:vAlign w:val="center"/>
            <w:tcMar>
              <w:top w:w="90" w:type="dxa"/>
              <w:start w:w="120" w:type="dxa"/>
              <w:bottom w:w="90" w:type="dxa"/>
              <w:end w:w="120" w:type="dxa"/>
            </w:tcMar>
          </w:tcPr>
          <w:p>
            <w:pPr>
              <w:spacing w:before="0" w:after="0" w:line="240" w:lineRule="auto"/>
              <w:jc w:val="left"/>
            </w:pPr>
            <w:r>
              <w:t>AIG-OPS-01</w:t>
            </w:r>
          </w:p>
        </w:tc>
        <w:tc>
          <w:tcPr>
            <w:tcW w:type="dxa" w:w="4500"/>
            <w:vAlign w:val="center"/>
            <w:tcMar>
              <w:top w:w="90" w:type="dxa"/>
              <w:start w:w="120" w:type="dxa"/>
              <w:bottom w:w="90" w:type="dxa"/>
              <w:end w:w="120" w:type="dxa"/>
            </w:tcMar>
          </w:tcPr>
          <w:p>
            <w:pPr>
              <w:spacing w:before="0" w:after="0" w:line="240" w:lineRule="auto"/>
              <w:jc w:val="left"/>
            </w:pPr>
            <w:r>
              <w:t>Carries approval conditions into go-live, monitoring, oversight, rollback and operational status.</w:t>
            </w:r>
          </w:p>
        </w:tc>
      </w:tr>
      <w:tr>
        <w:tc>
          <w:tcPr>
            <w:tcW w:type="dxa" w:w="2200"/>
            <w:vAlign w:val="center"/>
            <w:tcMar>
              <w:top w:w="90" w:type="dxa"/>
              <w:start w:w="120" w:type="dxa"/>
              <w:bottom w:w="90" w:type="dxa"/>
              <w:end w:w="120" w:type="dxa"/>
            </w:tcMar>
            <w:shd w:fill="EEF4FB" w:val="clear"/>
          </w:tcPr>
          <w:p>
            <w:pPr>
              <w:spacing w:before="0" w:after="0" w:line="240" w:lineRule="auto"/>
              <w:jc w:val="left"/>
            </w:pPr>
            <w:r>
              <w:t xml:space="preserve">AIMS management records</w:t>
            </w:r>
          </w:p>
        </w:tc>
        <w:tc>
          <w:tcPr>
            <w:tcW w:type="dxa" w:w="2900"/>
            <w:vAlign w:val="center"/>
            <w:tcMar>
              <w:top w:w="90" w:type="dxa"/>
              <w:start w:w="120" w:type="dxa"/>
              <w:bottom w:w="90" w:type="dxa"/>
              <w:end w:w="120" w:type="dxa"/>
            </w:tcMar>
          </w:tcPr>
          <w:p>
            <w:pPr>
              <w:spacing w:before="0" w:after="0" w:line="240" w:lineRule="auto"/>
              <w:jc w:val="left"/>
            </w:pPr>
            <w:r>
              <w:t xml:space="preserve">AIG-AIMS-02 to AIG-AIMS-13</w:t>
            </w:r>
          </w:p>
        </w:tc>
        <w:tc>
          <w:tcPr>
            <w:tcW w:type="dxa" w:w="4500"/>
            <w:vAlign w:val="center"/>
            <w:tcMar>
              <w:top w:w="90" w:type="dxa"/>
              <w:start w:w="120" w:type="dxa"/>
              <w:bottom w:w="90" w:type="dxa"/>
              <w:end w:w="120" w:type="dxa"/>
            </w:tcMar>
          </w:tcPr>
          <w:p>
            <w:pPr>
              <w:spacing w:before="0" w:after="0" w:line="240" w:lineRule="auto"/>
              <w:jc w:val="left"/>
            </w:pPr>
            <w:r>
              <w:t xml:space="preserve">Statement of Applicability, objectives and risk treatment, roles and competence, requirements and change, clause conformity, internal audit, nonconformity, management review, monitoring, impact-assessment coverage, clause crosswalk and source assurance.</w:t>
            </w:r>
          </w:p>
        </w:tc>
      </w:tr>
    </w:tbl>
    <w:p>
      <w:pPr>
        <w:spacing w:before="0" w:after="40" w:line="240" w:lineRule="auto"/>
      </w:pPr>
    </w:p>
    <w:p>
      <w:pPr>
        <w:keepNext w:val="0"/>
        <w:spacing w:before="0" w:after="120" w:line="252" w:lineRule="auto"/>
      </w:pPr>
      <w:r>
        <w:t>This document provides the common AIMS boundary for those artefacts. It does not change the risk-tiered decision rights in AIG-GOV-06 or authorise operational deployment.</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10.  Review, Monitoring and Change Triggers</w:t>
      </w:r>
    </w:p>
    <w:p>
      <w:pPr>
        <w:keepNext w:val="0"/>
        <w:spacing w:before="0" w:after="120" w:line="252" w:lineRule="auto"/>
      </w:pPr>
      <w:r>
        <w:t>The AI Governance Lead shall coordinate a review of this scope and context at least annually and whenever a material change may affect the suitability, adequacy or effectiveness of the AIMS.</w:t>
      </w:r>
    </w:p>
    <w:p>
      <w:pPr>
        <w:pStyle w:val="Heading2"/>
        <w:keepNext/>
        <w:spacing w:before="40" w:after="80" w:line="240" w:lineRule="auto"/>
        <w:outlineLvl w:val="1"/>
      </w:pPr>
      <w:r>
        <w:t>A review is triggered by:</w:t>
      </w:r>
    </w:p>
    <w:p>
      <w:pPr>
        <w:pStyle w:val="ListParagraph"/>
        <w:numPr>
          <w:ilvl w:val="0"/>
          <w:numId w:val="1"/>
        </w:numPr>
        <w:spacing w:before="0" w:after="70" w:line="252" w:lineRule="auto"/>
      </w:pPr>
      <w:r>
        <w:t>a material change to law, regulation, official guidance or Council policy;</w:t>
      </w:r>
    </w:p>
    <w:p>
      <w:pPr>
        <w:pStyle w:val="ListParagraph"/>
        <w:numPr>
          <w:ilvl w:val="0"/>
          <w:numId w:val="1"/>
        </w:numPr>
        <w:spacing w:before="0" w:after="70" w:line="252" w:lineRule="auto"/>
      </w:pPr>
      <w:r>
        <w:t>a change to Council structure, delegations, services, delivery partners or AIMS ownership;</w:t>
      </w:r>
    </w:p>
    <w:p>
      <w:pPr>
        <w:pStyle w:val="ListParagraph"/>
        <w:numPr>
          <w:ilvl w:val="0"/>
          <w:numId w:val="1"/>
        </w:numPr>
        <w:spacing w:before="0" w:after="70" w:line="252" w:lineRule="auto"/>
      </w:pPr>
      <w:r>
        <w:t>a significant new AI technology, delivery model, risk or dependency;</w:t>
      </w:r>
    </w:p>
    <w:p>
      <w:pPr>
        <w:pStyle w:val="ListParagraph"/>
        <w:numPr>
          <w:ilvl w:val="0"/>
          <w:numId w:val="1"/>
        </w:numPr>
        <w:spacing w:before="0" w:after="70" w:line="252" w:lineRule="auto"/>
      </w:pPr>
      <w:r>
        <w:t>a material AI incident, complaint, audit finding or control failure;</w:t>
      </w:r>
    </w:p>
    <w:p>
      <w:pPr>
        <w:pStyle w:val="ListParagraph"/>
        <w:numPr>
          <w:ilvl w:val="0"/>
          <w:numId w:val="1"/>
        </w:numPr>
        <w:spacing w:before="0" w:after="70" w:line="252" w:lineRule="auto"/>
      </w:pPr>
      <w:r>
        <w:t>a significant change in interested-party needs or public impact; or</w:t>
      </w:r>
    </w:p>
    <w:p>
      <w:pPr>
        <w:pStyle w:val="ListParagraph"/>
        <w:numPr>
          <w:ilvl w:val="0"/>
          <w:numId w:val="1"/>
        </w:numPr>
        <w:spacing w:before="0" w:after="70" w:line="252" w:lineRule="auto"/>
      </w:pPr>
      <w:r>
        <w:t>evidence that the current boundary omits relevant AI activity or creates unclear accountability.</w:t>
      </w:r>
    </w:p>
    <w:p>
      <w:pPr>
        <w:keepNext w:val="0"/>
        <w:spacing w:before="0" w:after="120" w:line="252" w:lineRule="auto"/>
      </w:pPr>
      <w:r>
        <w:t>Changes shall be assessed for their effect on the AI Register, policies, risk criteria, objectives, Statement of Applicability, operational controls, resources, competence, monitoring and assurance programme. The decision and effective date shall be recorded through the Council’s confirmed governance arrangements.</w:t>
      </w: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11.  Ownership, Approval and Document Control</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700"/>
        <w:gridCol w:w="6900"/>
      </w:tblGrid>
      <w:tr>
        <w:trPr>
          <w:tblHeader w:val="true"/>
        </w:trPr>
        <w:tc>
          <w:tcPr>
            <w:tcW w:type="dxa" w:w="27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Control</w:t>
            </w:r>
          </w:p>
        </w:tc>
        <w:tc>
          <w:tcPr>
            <w:tcW w:type="dxa" w:w="69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Proposed position</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Document owner</w:t>
            </w:r>
          </w:p>
        </w:tc>
        <w:tc>
          <w:tcPr>
            <w:tcW w:type="dxa" w:w="6900"/>
            <w:vAlign w:val="center"/>
            <w:tcMar>
              <w:top w:w="90" w:type="dxa"/>
              <w:start w:w="120" w:type="dxa"/>
              <w:bottom w:w="90" w:type="dxa"/>
              <w:end w:w="120" w:type="dxa"/>
            </w:tcMar>
          </w:tcPr>
          <w:p>
            <w:pPr>
              <w:spacing w:before="0" w:after="0" w:line="240" w:lineRule="auto"/>
              <w:jc w:val="left"/>
            </w:pPr>
            <w:r>
              <w:t>AI Governance Lead</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 xml:space="preserve">Version</w:t>
            </w:r>
          </w:p>
        </w:tc>
        <w:tc>
          <w:tcPr>
            <w:tcW w:type="dxa" w:w="6900"/>
            <w:vAlign w:val="center"/>
            <w:tcMar>
              <w:top w:w="90" w:type="dxa"/>
              <w:start w:w="120" w:type="dxa"/>
              <w:bottom w:w="90" w:type="dxa"/>
              <w:end w:w="120" w:type="dxa"/>
            </w:tcMar>
          </w:tcPr>
          <w:p>
            <w:pPr>
              <w:spacing w:before="0" w:after="0" w:line="240" w:lineRule="auto"/>
              <w:jc w:val="left"/>
            </w:pPr>
            <w:r>
              <w:t>1.6 draft</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Senior accountable owner</w:t>
            </w:r>
          </w:p>
        </w:tc>
        <w:tc>
          <w:tcPr>
            <w:tcW w:type="dxa" w:w="6900"/>
            <w:vAlign w:val="center"/>
            <w:tcMar>
              <w:top w:w="90" w:type="dxa"/>
              <w:start w:w="120" w:type="dxa"/>
              <w:bottom w:w="90" w:type="dxa"/>
              <w:end w:w="120" w:type="dxa"/>
            </w:tcMar>
            <w:shd w:fill="F8FBFF" w:val="clear"/>
          </w:tcPr>
          <w:p>
            <w:pPr>
              <w:spacing w:before="0" w:after="0" w:line="240" w:lineRule="auto"/>
              <w:jc w:val="left"/>
            </w:pPr>
            <w:r>
              <w:t>To be confirmed by the Council before adoption</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Reviewing body</w:t>
            </w:r>
          </w:p>
        </w:tc>
        <w:tc>
          <w:tcPr>
            <w:tcW w:type="dxa" w:w="6900"/>
            <w:vAlign w:val="center"/>
            <w:tcMar>
              <w:top w:w="90" w:type="dxa"/>
              <w:start w:w="120" w:type="dxa"/>
              <w:bottom w:w="90" w:type="dxa"/>
              <w:end w:w="120" w:type="dxa"/>
            </w:tcMar>
          </w:tcPr>
          <w:p>
            <w:pPr>
              <w:spacing w:before="0" w:after="0" w:line="240" w:lineRule="auto"/>
              <w:jc w:val="left"/>
            </w:pPr>
            <w:r>
              <w:t>AI Governance Working Group, with relevant specialist control functions</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Approval authority</w:t>
            </w:r>
          </w:p>
        </w:tc>
        <w:tc>
          <w:tcPr>
            <w:tcW w:type="dxa" w:w="6900"/>
            <w:vAlign w:val="center"/>
            <w:tcMar>
              <w:top w:w="90" w:type="dxa"/>
              <w:start w:w="120" w:type="dxa"/>
              <w:bottom w:w="90" w:type="dxa"/>
              <w:end w:w="120" w:type="dxa"/>
            </w:tcMar>
            <w:shd w:fill="F8FBFF" w:val="clear"/>
          </w:tcPr>
          <w:p>
            <w:pPr>
              <w:spacing w:before="0" w:after="0" w:line="240" w:lineRule="auto"/>
              <w:jc w:val="left"/>
            </w:pPr>
            <w:r>
              <w:t>To be confirmed under the Council’s Constitution and delegations</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Review frequency</w:t>
            </w:r>
          </w:p>
        </w:tc>
        <w:tc>
          <w:tcPr>
            <w:tcW w:type="dxa" w:w="6900"/>
            <w:vAlign w:val="center"/>
            <w:tcMar>
              <w:top w:w="90" w:type="dxa"/>
              <w:start w:w="120" w:type="dxa"/>
              <w:bottom w:w="90" w:type="dxa"/>
              <w:end w:w="120" w:type="dxa"/>
            </w:tcMar>
          </w:tcPr>
          <w:p>
            <w:pPr>
              <w:spacing w:before="0" w:after="0" w:line="240" w:lineRule="auto"/>
              <w:jc w:val="left"/>
            </w:pPr>
            <w:r>
              <w:t>At least annually and on a material-change trigger</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Effective date</w:t>
            </w:r>
          </w:p>
        </w:tc>
        <w:tc>
          <w:tcPr>
            <w:tcW w:type="dxa" w:w="6900"/>
            <w:vAlign w:val="center"/>
            <w:tcMar>
              <w:top w:w="90" w:type="dxa"/>
              <w:start w:w="120" w:type="dxa"/>
              <w:bottom w:w="90" w:type="dxa"/>
              <w:end w:w="120" w:type="dxa"/>
            </w:tcMar>
            <w:shd w:fill="F8FBFF" w:val="clear"/>
          </w:tcPr>
          <w:p>
            <w:pPr>
              <w:spacing w:before="0" w:after="0" w:line="240" w:lineRule="auto"/>
              <w:jc w:val="left"/>
            </w:pPr>
            <w:r>
              <w:t>Pending formal approval</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Next review date</w:t>
            </w:r>
          </w:p>
        </w:tc>
        <w:tc>
          <w:tcPr>
            <w:tcW w:type="dxa" w:w="6900"/>
            <w:vAlign w:val="center"/>
            <w:tcMar>
              <w:top w:w="90" w:type="dxa"/>
              <w:start w:w="120" w:type="dxa"/>
              <w:bottom w:w="90" w:type="dxa"/>
              <w:end w:w="120" w:type="dxa"/>
            </w:tcMar>
          </w:tcPr>
          <w:p>
            <w:pPr>
              <w:spacing w:before="0" w:after="0" w:line="240" w:lineRule="auto"/>
              <w:jc w:val="left"/>
            </w:pPr>
            <w:r>
              <w:t>To be set on approval</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Classification</w:t>
            </w:r>
          </w:p>
        </w:tc>
        <w:tc>
          <w:tcPr>
            <w:tcW w:type="dxa" w:w="6900"/>
            <w:vAlign w:val="center"/>
            <w:tcMar>
              <w:top w:w="90" w:type="dxa"/>
              <w:start w:w="120" w:type="dxa"/>
              <w:bottom w:w="90" w:type="dxa"/>
              <w:end w:w="120" w:type="dxa"/>
            </w:tcMar>
            <w:shd w:fill="F8FBFF" w:val="clear"/>
          </w:tcPr>
          <w:p>
            <w:pPr>
              <w:spacing w:before="0" w:after="0" w:line="240" w:lineRule="auto"/>
              <w:jc w:val="left"/>
            </w:pPr>
            <w:r>
              <w:t>OFFICIAL</w:t>
            </w:r>
          </w:p>
        </w:tc>
      </w:tr>
      <w:tr>
        <w:tc>
          <w:tcPr>
            <w:tcW w:type="dxa" w:w="2700"/>
            <w:vAlign w:val="center"/>
            <w:tcMar>
              <w:top w:w="90" w:type="dxa"/>
              <w:start w:w="120" w:type="dxa"/>
              <w:bottom w:w="90" w:type="dxa"/>
              <w:end w:w="120" w:type="dxa"/>
            </w:tcMar>
            <w:shd w:fill="EEF4FB" w:val="clear"/>
          </w:tcPr>
          <w:p>
            <w:pPr>
              <w:spacing w:before="0" w:after="0" w:line="240" w:lineRule="auto"/>
              <w:jc w:val="left"/>
            </w:pPr>
            <w:r>
              <w:t xml:space="preserve">Change history</w:t>
            </w:r>
          </w:p>
        </w:tc>
        <w:tc>
          <w:tcPr>
            <w:tcW w:type="dxa" w:w="6900"/>
            <w:vAlign w:val="center"/>
            <w:tcMar>
              <w:top w:w="90" w:type="dxa"/>
              <w:start w:w="120" w:type="dxa"/>
              <w:bottom w:w="90" w:type="dxa"/>
              <w:end w:w="120" w:type="dxa"/>
            </w:tcMar>
            <w:shd w:fill="F8FBFF" w:val="clear"/>
          </w:tcPr>
          <w:p>
            <w:pPr>
              <w:spacing w:before="0" w:after="0" w:line="240" w:lineRule="auto"/>
              <w:jc w:val="left"/>
            </w:pPr>
            <w:r>
              <w:t xml:space="preserve">1.2 draft, 29 September 2026: QA remediation — applied findings QA-016, QA-086, QA-174, QA-191 (see QA change log).</w:t>
            </w:r>
          </w:p>
          <w:p>
            <w:pPr>
              <w:spacing w:before="0" w:after="0" w:line="240" w:lineRule="auto"/>
              <w:jc w:val="left"/>
            </w:pPr>
            <w:r>
              <w:t xml:space="preserve">1.3 draft, 30 September 2026: v3.9.1: standards cross-reference note updated to the 54-entry requirement inventory (AIG-AIMS-05 REQ-054, Civil Contingencies Act 2004, added).</w:t>
            </w:r>
          </w:p>
          <w:p>
            <w:pPr>
              <w:spacing w:before="0" w:after="0" w:line="240" w:lineRule="auto"/>
              <w:jc w:val="left"/>
            </w:pPr>
            <w:r>
              <w:t xml:space="preserve">1.4 draft, 1 October 2026: v3.9.3: standards cross-reference note cites the 55-entry requirement inventory (AIG-AIMS-05 REQ-055, NIST AI 600-1 Generative AI Profile, added).</w:t>
            </w:r>
          </w:p>
          <w:p>
            <w:pPr>
              <w:spacing w:before="0" w:after="0" w:line="240" w:lineRule="auto"/>
              <w:jc w:val="left"/>
            </w:pPr>
            <w:r>
              <w:t>1.5 draft, 2 October 2026: v3.9.5: standards cross-reference note cites the 56-entry requirement inventory (AIG-AIMS-05 REQ-056, SI 2026/425 ICO statutory code of practice on AI and automated decision-making, added). Proposed — for Council confirmation.</w:t>
            </w:r>
          </w:p>
          <w:p>
            <w:pPr>
              <w:spacing w:before="0" w:after="0" w:line="240" w:lineRule="auto"/>
              <w:jc w:val="left"/>
            </w:pPr>
            <w:r>
              <w:t>1.6 draft, 12 October 2026: v3.9.10: standards cross-reference note cites the 58-entry requirement inventory (AIG-AIMS-05 REQ-057 DAMA-DMBOK and REQ-058 ISO/IEC 5259, added as voluntary data governance references). Proposed — for Council confirmation.</w:t>
            </w:r>
          </w:p>
        </w:tc>
      </w:tr>
    </w:tbl>
    <w:p>
      <w:pPr>
        <w:spacing w:before="0" w:after="40" w:line="240" w:lineRule="auto"/>
      </w:pPr>
    </w:p>
    <w:p>
      <w:pPr>
        <w:pStyle w:val="Heading2"/>
        <w:keepNext/>
        <w:spacing w:before="40" w:after="80" w:line="240" w:lineRule="auto"/>
        <w:outlineLvl w:val="1"/>
      </w:pPr>
      <w:r>
        <w:t>Adoption record</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600"/>
        <w:gridCol w:w="3100"/>
        <w:gridCol w:w="1700"/>
        <w:gridCol w:w="3200"/>
      </w:tblGrid>
      <w:tr>
        <w:trPr>
          <w:tblHeader w:val="true"/>
        </w:trPr>
        <w:tc>
          <w:tcPr>
            <w:tcW w:type="dxa" w:w="16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Decision</w:t>
            </w:r>
          </w:p>
        </w:tc>
        <w:tc>
          <w:tcPr>
            <w:tcW w:type="dxa" w:w="31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Name / body</w:t>
            </w:r>
          </w:p>
        </w:tc>
        <w:tc>
          <w:tcPr>
            <w:tcW w:type="dxa" w:w="17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Date</w:t>
            </w:r>
          </w:p>
        </w:tc>
        <w:tc>
          <w:tcPr>
            <w:tcW w:type="dxa" w:w="32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Evidence reference</w:t>
            </w:r>
          </w:p>
        </w:tc>
      </w:tr>
      <w:tr>
        <w:tc>
          <w:tcPr>
            <w:tcW w:type="dxa" w:w="1600"/>
            <w:vAlign w:val="center"/>
            <w:tcMar>
              <w:top w:w="90" w:type="dxa"/>
              <w:start w:w="120" w:type="dxa"/>
              <w:bottom w:w="90" w:type="dxa"/>
              <w:end w:w="120" w:type="dxa"/>
            </w:tcMar>
          </w:tcPr>
          <w:p>
            <w:pPr>
              <w:spacing w:before="0" w:after="0" w:line="240" w:lineRule="auto"/>
              <w:jc w:val="left"/>
            </w:pPr>
            <w:r>
              <w:t>Reviewed</w:t>
            </w:r>
          </w:p>
        </w:tc>
        <w:tc>
          <w:tcPr>
            <w:tcW w:type="dxa" w:w="3100"/>
            <w:vAlign w:val="center"/>
            <w:tcMar>
              <w:top w:w="90" w:type="dxa"/>
              <w:start w:w="120" w:type="dxa"/>
              <w:bottom w:w="90" w:type="dxa"/>
              <w:end w:w="120" w:type="dxa"/>
            </w:tcMar>
          </w:tcPr>
          <w:p>
            <w:pPr>
              <w:spacing w:before="0" w:after="0" w:line="240" w:lineRule="auto"/>
              <w:jc w:val="left"/>
            </w:pPr>
            <w:r>
              <w:rPr>
                <w:rFonts w:ascii="Arial" w:hAnsi="Arial"/>
                <w:b w:val="0"/>
                <w:i w:val="0"/>
                <w:color w:val="000000"/>
                <w:sz w:val="17"/>
              </w:rPr>
            </w:r>
          </w:p>
        </w:tc>
        <w:tc>
          <w:tcPr>
            <w:tcW w:type="dxa" w:w="1700"/>
            <w:vAlign w:val="center"/>
            <w:tcMar>
              <w:top w:w="90" w:type="dxa"/>
              <w:start w:w="120" w:type="dxa"/>
              <w:bottom w:w="90" w:type="dxa"/>
              <w:end w:w="120" w:type="dxa"/>
            </w:tcMar>
          </w:tcPr>
          <w:p>
            <w:pPr>
              <w:spacing w:before="0" w:after="0" w:line="240" w:lineRule="auto"/>
              <w:jc w:val="left"/>
            </w:pPr>
            <w:r>
              <w:rPr>
                <w:rFonts w:ascii="Arial" w:hAnsi="Arial"/>
                <w:b w:val="0"/>
                <w:i w:val="0"/>
                <w:color w:val="000000"/>
                <w:sz w:val="17"/>
              </w:rPr>
            </w:r>
          </w:p>
        </w:tc>
        <w:tc>
          <w:tcPr>
            <w:tcW w:type="dxa" w:w="3200"/>
            <w:vAlign w:val="center"/>
            <w:tcMar>
              <w:top w:w="90" w:type="dxa"/>
              <w:start w:w="120" w:type="dxa"/>
              <w:bottom w:w="90" w:type="dxa"/>
              <w:end w:w="120" w:type="dxa"/>
            </w:tcMar>
          </w:tcPr>
          <w:p>
            <w:pPr>
              <w:spacing w:before="0" w:after="0" w:line="240" w:lineRule="auto"/>
              <w:jc w:val="left"/>
            </w:pPr>
            <w:r>
              <w:rPr>
                <w:rFonts w:ascii="Arial" w:hAnsi="Arial"/>
                <w:b w:val="0"/>
                <w:i w:val="0"/>
                <w:color w:val="000000"/>
                <w:sz w:val="17"/>
              </w:rPr>
            </w:r>
          </w:p>
        </w:tc>
      </w:tr>
      <w:tr>
        <w:tc>
          <w:tcPr>
            <w:tcW w:type="dxa" w:w="1600"/>
            <w:vAlign w:val="center"/>
            <w:tcMar>
              <w:top w:w="90" w:type="dxa"/>
              <w:start w:w="120" w:type="dxa"/>
              <w:bottom w:w="90" w:type="dxa"/>
              <w:end w:w="120" w:type="dxa"/>
            </w:tcMar>
            <w:shd w:fill="F8FBFF" w:val="clear"/>
          </w:tcPr>
          <w:p>
            <w:pPr>
              <w:spacing w:before="0" w:after="0" w:line="240" w:lineRule="auto"/>
              <w:jc w:val="left"/>
            </w:pPr>
            <w:r>
              <w:t>Approved</w:t>
            </w:r>
          </w:p>
        </w:tc>
        <w:tc>
          <w:tcPr>
            <w:tcW w:type="dxa" w:w="3100"/>
            <w:vAlign w:val="center"/>
            <w:tcMar>
              <w:top w:w="90" w:type="dxa"/>
              <w:start w:w="120" w:type="dxa"/>
              <w:bottom w:w="90" w:type="dxa"/>
              <w:end w:w="120" w:type="dxa"/>
            </w:tcMar>
            <w:shd w:fill="F8FBFF" w:val="clear"/>
          </w:tcPr>
          <w:p>
            <w:pPr>
              <w:spacing w:before="0" w:after="0" w:line="240" w:lineRule="auto"/>
              <w:jc w:val="left"/>
            </w:pPr>
            <w:r>
              <w:rPr>
                <w:rFonts w:ascii="Arial" w:hAnsi="Arial"/>
                <w:b w:val="0"/>
                <w:i w:val="0"/>
                <w:color w:val="000000"/>
                <w:sz w:val="17"/>
              </w:rPr>
            </w:r>
          </w:p>
        </w:tc>
        <w:tc>
          <w:tcPr>
            <w:tcW w:type="dxa" w:w="1700"/>
            <w:vAlign w:val="center"/>
            <w:tcMar>
              <w:top w:w="90" w:type="dxa"/>
              <w:start w:w="120" w:type="dxa"/>
              <w:bottom w:w="90" w:type="dxa"/>
              <w:end w:w="120" w:type="dxa"/>
            </w:tcMar>
            <w:shd w:fill="F8FBFF" w:val="clear"/>
          </w:tcPr>
          <w:p>
            <w:pPr>
              <w:spacing w:before="0" w:after="0" w:line="240" w:lineRule="auto"/>
              <w:jc w:val="left"/>
            </w:pPr>
            <w:r>
              <w:rPr>
                <w:rFonts w:ascii="Arial" w:hAnsi="Arial"/>
                <w:b w:val="0"/>
                <w:i w:val="0"/>
                <w:color w:val="000000"/>
                <w:sz w:val="17"/>
              </w:rPr>
            </w:r>
          </w:p>
        </w:tc>
        <w:tc>
          <w:tcPr>
            <w:tcW w:type="dxa" w:w="3200"/>
            <w:vAlign w:val="center"/>
            <w:tcMar>
              <w:top w:w="90" w:type="dxa"/>
              <w:start w:w="120" w:type="dxa"/>
              <w:bottom w:w="90" w:type="dxa"/>
              <w:end w:w="120" w:type="dxa"/>
            </w:tcMar>
            <w:shd w:fill="F8FBFF" w:val="clear"/>
          </w:tcPr>
          <w:p>
            <w:pPr>
              <w:spacing w:before="0" w:after="0" w:line="240" w:lineRule="auto"/>
              <w:jc w:val="left"/>
            </w:pPr>
            <w:r>
              <w:rPr>
                <w:rFonts w:ascii="Arial" w:hAnsi="Arial"/>
                <w:b w:val="0"/>
                <w:i w:val="0"/>
                <w:color w:val="000000"/>
                <w:sz w:val="17"/>
              </w:rPr>
            </w:r>
          </w:p>
        </w:tc>
      </w:tr>
      <w:tr>
        <w:tc>
          <w:tcPr>
            <w:tcW w:type="dxa" w:w="1600"/>
            <w:vAlign w:val="center"/>
            <w:tcMar>
              <w:top w:w="90" w:type="dxa"/>
              <w:start w:w="120" w:type="dxa"/>
              <w:bottom w:w="90" w:type="dxa"/>
              <w:end w:w="120" w:type="dxa"/>
            </w:tcMar>
          </w:tcPr>
          <w:p>
            <w:pPr>
              <w:spacing w:before="0" w:after="0" w:line="240" w:lineRule="auto"/>
              <w:jc w:val="left"/>
            </w:pPr>
            <w:r>
              <w:t>Effective</w:t>
            </w:r>
          </w:p>
        </w:tc>
        <w:tc>
          <w:tcPr>
            <w:tcW w:type="dxa" w:w="3100"/>
            <w:vAlign w:val="center"/>
            <w:tcMar>
              <w:top w:w="90" w:type="dxa"/>
              <w:start w:w="120" w:type="dxa"/>
              <w:bottom w:w="90" w:type="dxa"/>
              <w:end w:w="120" w:type="dxa"/>
            </w:tcMar>
          </w:tcPr>
          <w:p>
            <w:pPr>
              <w:spacing w:before="0" w:after="0" w:line="240" w:lineRule="auto"/>
              <w:jc w:val="left"/>
            </w:pPr>
            <w:r>
              <w:rPr>
                <w:rFonts w:ascii="Arial" w:hAnsi="Arial"/>
                <w:b w:val="0"/>
                <w:i w:val="0"/>
                <w:color w:val="000000"/>
                <w:sz w:val="17"/>
              </w:rPr>
            </w:r>
          </w:p>
        </w:tc>
        <w:tc>
          <w:tcPr>
            <w:tcW w:type="dxa" w:w="1700"/>
            <w:vAlign w:val="center"/>
            <w:tcMar>
              <w:top w:w="90" w:type="dxa"/>
              <w:start w:w="120" w:type="dxa"/>
              <w:bottom w:w="90" w:type="dxa"/>
              <w:end w:w="120" w:type="dxa"/>
            </w:tcMar>
          </w:tcPr>
          <w:p>
            <w:pPr>
              <w:spacing w:before="0" w:after="0" w:line="240" w:lineRule="auto"/>
              <w:jc w:val="left"/>
            </w:pPr>
            <w:r>
              <w:rPr>
                <w:rFonts w:ascii="Arial" w:hAnsi="Arial"/>
                <w:b w:val="0"/>
                <w:i w:val="0"/>
                <w:color w:val="000000"/>
                <w:sz w:val="17"/>
              </w:rPr>
            </w:r>
          </w:p>
        </w:tc>
        <w:tc>
          <w:tcPr>
            <w:tcW w:type="dxa" w:w="3200"/>
            <w:vAlign w:val="center"/>
            <w:tcMar>
              <w:top w:w="90" w:type="dxa"/>
              <w:start w:w="120" w:type="dxa"/>
              <w:bottom w:w="90" w:type="dxa"/>
              <w:end w:w="120" w:type="dxa"/>
            </w:tcMar>
          </w:tcPr>
          <w:p>
            <w:pPr>
              <w:spacing w:before="0" w:after="0" w:line="240" w:lineRule="auto"/>
              <w:jc w:val="left"/>
            </w:pPr>
            <w:r>
              <w:rPr>
                <w:rFonts w:ascii="Arial" w:hAnsi="Arial"/>
                <w:b w:val="0"/>
                <w:i w:val="0"/>
                <w:color w:val="000000"/>
                <w:sz w:val="17"/>
              </w:rPr>
            </w:r>
          </w:p>
        </w:tc>
      </w:tr>
    </w:tbl>
    <w:p>
      <w:pPr>
        <w:spacing w:before="0" w:after="40" w:line="240" w:lineRule="auto"/>
      </w:pPr>
    </w:p>
    <w:p>
      <w:pPr>
        <w:pStyle w:val="Heading1"/>
        <w:keepNext/>
        <w:pageBreakBefore w:val="0"/>
        <w:shd w:fill="1F3864" w:val="clear"/>
        <w:spacing w:before="180" w:after="100"/>
        <w:outlineLvl w:val="0"/>
      </w:pPr>
      <w:r>
        <w:rPr>
          <w:rFonts w:ascii="Arial" w:hAnsi="Arial" w:eastAsia="Arial" w:cs="Arial"/>
          <w:b/>
          <w:bCs/>
          <w:i/>
          <w:iCs/>
          <w:color w:val="FFFFFF"/>
          <w:sz w:val="21"/>
          <w:szCs w:val="21"/>
        </w:rPr>
        <w:t xml:space="preserve">  12.  ISO/IEC 42001 Design Alignment</w:t>
      </w:r>
    </w:p>
    <w:tbl>
      <w:tblPr>
        <w:tblW w:type="dxa" w:w="9600"/>
        <w:tblLayout w:type="fixed"/>
        <w:tblLook w:firstColumn="1" w:firstRow="1" w:lastColumn="0" w:lastRow="0" w:noHBand="0" w:noVBand="1" w:val="04A0"/>
        <w:tblInd w:w="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600"/>
        <w:gridCol w:w="2500"/>
        <w:gridCol w:w="4500"/>
      </w:tblGrid>
      <w:tr>
        <w:trPr>
          <w:tblHeader w:val="true"/>
        </w:trPr>
        <w:tc>
          <w:tcPr>
            <w:tcW w:type="dxa" w:w="26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ISO/IEC 42001 area</w:t>
            </w:r>
          </w:p>
        </w:tc>
        <w:tc>
          <w:tcPr>
            <w:tcW w:type="dxa" w:w="25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Coverage in this document</w:t>
            </w:r>
          </w:p>
        </w:tc>
        <w:tc>
          <w:tcPr>
            <w:tcW w:type="dxa" w:w="4500"/>
            <w:vAlign w:val="center"/>
            <w:shd w:fill="1F3864" w:val="clear"/>
            <w:tcMar>
              <w:top w:w="90" w:type="dxa"/>
              <w:start w:w="120" w:type="dxa"/>
              <w:bottom w:w="90" w:type="dxa"/>
              <w:end w:w="120" w:type="dxa"/>
            </w:tcMar>
          </w:tcPr>
          <w:p>
            <w:pPr>
              <w:spacing w:before="0" w:after="0" w:line="240" w:lineRule="auto"/>
              <w:jc w:val="left"/>
            </w:pPr>
            <w:r>
              <w:rPr>
                <w:rFonts w:ascii="Arial" w:hAnsi="Arial" w:eastAsia="Arial" w:cs="Arial"/>
                <w:b/>
                <w:bCs/>
                <w:i/>
                <w:iCs/>
                <w:color w:val="FFFFFF"/>
                <w:sz w:val="17"/>
                <w:szCs w:val="17"/>
              </w:rPr>
              <w:t>Implementation evidence required</w:t>
            </w:r>
          </w:p>
        </w:tc>
      </w:tr>
      <w:tr>
        <w:tc>
          <w:tcPr>
            <w:tcW w:type="dxa" w:w="2600"/>
            <w:vAlign w:val="center"/>
            <w:tcMar>
              <w:top w:w="90" w:type="dxa"/>
              <w:start w:w="120" w:type="dxa"/>
              <w:bottom w:w="90" w:type="dxa"/>
              <w:end w:w="120" w:type="dxa"/>
            </w:tcMar>
            <w:shd w:fill="EEF4FB" w:val="clear"/>
          </w:tcPr>
          <w:p>
            <w:pPr>
              <w:spacing w:before="0" w:after="0" w:line="240" w:lineRule="auto"/>
              <w:jc w:val="left"/>
            </w:pPr>
            <w:r>
              <w:t>4.1 Organisational context</w:t>
            </w:r>
          </w:p>
        </w:tc>
        <w:tc>
          <w:tcPr>
            <w:tcW w:type="dxa" w:w="2500"/>
            <w:vAlign w:val="center"/>
            <w:tcMar>
              <w:top w:w="90" w:type="dxa"/>
              <w:start w:w="120" w:type="dxa"/>
              <w:bottom w:w="90" w:type="dxa"/>
              <w:end w:w="120" w:type="dxa"/>
            </w:tcMar>
          </w:tcPr>
          <w:p>
            <w:pPr>
              <w:spacing w:before="0" w:after="0" w:line="240" w:lineRule="auto"/>
              <w:jc w:val="left"/>
            </w:pPr>
            <w:r>
              <w:t xml:space="preserve">Sections 6 and 10</w:t>
            </w:r>
          </w:p>
        </w:tc>
        <w:tc>
          <w:tcPr>
            <w:tcW w:type="dxa" w:w="4500"/>
            <w:vAlign w:val="center"/>
            <w:tcMar>
              <w:top w:w="90" w:type="dxa"/>
              <w:start w:w="120" w:type="dxa"/>
              <w:bottom w:w="90" w:type="dxa"/>
              <w:end w:w="120" w:type="dxa"/>
            </w:tcMar>
          </w:tcPr>
          <w:p>
            <w:pPr>
              <w:spacing w:before="0" w:after="0" w:line="240" w:lineRule="auto"/>
              <w:jc w:val="left"/>
            </w:pPr>
            <w:r>
              <w:t>Approved context analysis and evidence of review.</w:t>
            </w:r>
          </w:p>
        </w:tc>
      </w:tr>
      <w:tr>
        <w:tc>
          <w:tcPr>
            <w:tcW w:type="dxa" w:w="2600"/>
            <w:vAlign w:val="center"/>
            <w:tcMar>
              <w:top w:w="90" w:type="dxa"/>
              <w:start w:w="120" w:type="dxa"/>
              <w:bottom w:w="90" w:type="dxa"/>
              <w:end w:w="120" w:type="dxa"/>
            </w:tcMar>
            <w:shd w:fill="EEF4FB" w:val="clear"/>
          </w:tcPr>
          <w:p>
            <w:pPr>
              <w:spacing w:before="0" w:after="0" w:line="240" w:lineRule="auto"/>
              <w:jc w:val="left"/>
            </w:pPr>
            <w:r>
              <w:t>4.2 Interested parties</w:t>
            </w:r>
          </w:p>
        </w:tc>
        <w:tc>
          <w:tcPr>
            <w:tcW w:type="dxa" w:w="2500"/>
            <w:vAlign w:val="center"/>
            <w:tcMar>
              <w:top w:w="90" w:type="dxa"/>
              <w:start w:w="120" w:type="dxa"/>
              <w:bottom w:w="90" w:type="dxa"/>
              <w:end w:w="120" w:type="dxa"/>
            </w:tcMar>
            <w:shd w:fill="F8FBFF" w:val="clear"/>
          </w:tcPr>
          <w:p>
            <w:pPr>
              <w:spacing w:before="0" w:after="0" w:line="240" w:lineRule="auto"/>
              <w:jc w:val="left"/>
            </w:pPr>
            <w:r>
              <w:t>Sections 7 and 8</w:t>
            </w:r>
          </w:p>
        </w:tc>
        <w:tc>
          <w:tcPr>
            <w:tcW w:type="dxa" w:w="4500"/>
            <w:vAlign w:val="center"/>
            <w:tcMar>
              <w:top w:w="90" w:type="dxa"/>
              <w:start w:w="120" w:type="dxa"/>
              <w:bottom w:w="90" w:type="dxa"/>
              <w:end w:w="120" w:type="dxa"/>
            </w:tcMar>
            <w:shd w:fill="F8FBFF" w:val="clear"/>
          </w:tcPr>
          <w:p>
            <w:pPr>
              <w:spacing w:before="0" w:after="0" w:line="240" w:lineRule="auto"/>
              <w:jc w:val="left"/>
            </w:pPr>
            <w:r>
              <w:t>Validated requirements, owners and maintained obligations.</w:t>
            </w:r>
          </w:p>
        </w:tc>
      </w:tr>
      <w:tr>
        <w:tc>
          <w:tcPr>
            <w:tcW w:type="dxa" w:w="2600"/>
            <w:vAlign w:val="center"/>
            <w:tcMar>
              <w:top w:w="90" w:type="dxa"/>
              <w:start w:w="120" w:type="dxa"/>
              <w:bottom w:w="90" w:type="dxa"/>
              <w:end w:w="120" w:type="dxa"/>
            </w:tcMar>
            <w:shd w:fill="EEF4FB" w:val="clear"/>
          </w:tcPr>
          <w:p>
            <w:pPr>
              <w:spacing w:before="0" w:after="0" w:line="240" w:lineRule="auto"/>
              <w:jc w:val="left"/>
            </w:pPr>
            <w:r>
              <w:t>4.3 AIMS scope</w:t>
            </w:r>
          </w:p>
        </w:tc>
        <w:tc>
          <w:tcPr>
            <w:tcW w:type="dxa" w:w="2500"/>
            <w:vAlign w:val="center"/>
            <w:tcMar>
              <w:top w:w="90" w:type="dxa"/>
              <w:start w:w="120" w:type="dxa"/>
              <w:bottom w:w="90" w:type="dxa"/>
              <w:end w:w="120" w:type="dxa"/>
            </w:tcMar>
          </w:tcPr>
          <w:p>
            <w:pPr>
              <w:spacing w:before="0" w:after="0" w:line="240" w:lineRule="auto"/>
              <w:jc w:val="left"/>
            </w:pPr>
            <w:r>
              <w:t>Sections 2 to 5</w:t>
            </w:r>
          </w:p>
        </w:tc>
        <w:tc>
          <w:tcPr>
            <w:tcW w:type="dxa" w:w="4500"/>
            <w:vAlign w:val="center"/>
            <w:tcMar>
              <w:top w:w="90" w:type="dxa"/>
              <w:start w:w="120" w:type="dxa"/>
              <w:bottom w:w="90" w:type="dxa"/>
              <w:end w:w="120" w:type="dxa"/>
            </w:tcMar>
          </w:tcPr>
          <w:p>
            <w:pPr>
              <w:spacing w:before="0" w:after="0" w:line="240" w:lineRule="auto"/>
              <w:jc w:val="left"/>
            </w:pPr>
            <w:r>
              <w:t>Approved scope statement and justified exclusions.</w:t>
            </w:r>
          </w:p>
        </w:tc>
      </w:tr>
      <w:tr>
        <w:tc>
          <w:tcPr>
            <w:tcW w:type="dxa" w:w="2600"/>
            <w:vAlign w:val="center"/>
            <w:tcMar>
              <w:top w:w="90" w:type="dxa"/>
              <w:start w:w="120" w:type="dxa"/>
              <w:bottom w:w="90" w:type="dxa"/>
              <w:end w:w="120" w:type="dxa"/>
            </w:tcMar>
            <w:shd w:fill="EEF4FB" w:val="clear"/>
          </w:tcPr>
          <w:p>
            <w:pPr>
              <w:spacing w:before="0" w:after="0" w:line="240" w:lineRule="auto"/>
              <w:jc w:val="left"/>
            </w:pPr>
            <w:r>
              <w:t>4.4 AIMS</w:t>
            </w:r>
          </w:p>
        </w:tc>
        <w:tc>
          <w:tcPr>
            <w:tcW w:type="dxa" w:w="2500"/>
            <w:vAlign w:val="center"/>
            <w:tcMar>
              <w:top w:w="90" w:type="dxa"/>
              <w:start w:w="120" w:type="dxa"/>
              <w:bottom w:w="90" w:type="dxa"/>
              <w:end w:w="120" w:type="dxa"/>
            </w:tcMar>
            <w:shd w:fill="F8FBFF" w:val="clear"/>
          </w:tcPr>
          <w:p>
            <w:pPr>
              <w:spacing w:before="0" w:after="0" w:line="240" w:lineRule="auto"/>
              <w:jc w:val="left"/>
            </w:pPr>
            <w:r>
              <w:t xml:space="preserve">Sections 1, 8, 9 and 10</w:t>
            </w:r>
          </w:p>
        </w:tc>
        <w:tc>
          <w:tcPr>
            <w:tcW w:type="dxa" w:w="4500"/>
            <w:vAlign w:val="center"/>
            <w:tcMar>
              <w:top w:w="90" w:type="dxa"/>
              <w:start w:w="120" w:type="dxa"/>
              <w:bottom w:w="90" w:type="dxa"/>
              <w:end w:w="120" w:type="dxa"/>
            </w:tcMar>
            <w:shd w:fill="F8FBFF" w:val="clear"/>
          </w:tcPr>
          <w:p>
            <w:pPr>
              <w:spacing w:before="0" w:after="0" w:line="240" w:lineRule="auto"/>
              <w:jc w:val="left"/>
            </w:pPr>
            <w:r>
              <w:t>Approved processes operating with records, performance evaluation and improvement.</w:t>
            </w:r>
          </w:p>
        </w:tc>
      </w:tr>
    </w:tbl>
    <w:p>
      <w:pPr>
        <w:spacing w:before="0" w:after="40" w:line="240" w:lineRule="auto"/>
      </w:pPr>
    </w:p>
    <w:p>
      <w:pPr>
        <w:keepNext w:val="0"/>
        <w:spacing w:before="0" w:after="0" w:line="252" w:lineRule="auto"/>
      </w:pPr>
      <w:r>
        <w:t>Design alignment does not establish conformity. Conformity depends on formal adoption, implementation, maintained documented information and evidence that the AIMS operates effectively.</w:t>
      </w:r>
    </w:p>
    <w:p>
      <w:r>
        <w:br w:type="page"/>
      </w:r>
    </w:p>
    <w:p>
      <w:pPr>
        <w:spacing w:before="160" w:after="160"/>
      </w:pPr>
      <w:r>
        <w:rPr>
          <w:b/>
          <w:color w:val="1F4E79"/>
          <w:sz w:val="32"/>
        </w:rPr>
        <w:t>PROPOSED INTEGRATION ADDITIONS — REVIEW REQUIRED</w:t>
      </w:r>
    </w:p>
    <w:p>
      <w:pPr/>
      <w:r>
        <w:t>Proposed context use in AIMS scope</w:t>
      </w:r>
    </w:p>
    <w:p>
      <w:pPr/>
      <w:r/>
      <w:r>
        <w:rPr>
          <w:b/>
        </w:rPr>
        <w:t xml:space="preserve">Operational granularity — </w:t>
      </w:r>
      <w:r>
        <w:t xml:space="preserve">maintain one AIR-ID per governed system and a stable UC-ID for every materially distinct use/outcome. Map AIMS impacts, interested parties, risk treatment, controls and monitoring to the applicable UC-ID(s) while retaining shared system evidence by reference. AIMS scope or a system status is not approval of any use.</w:t>
      </w:r>
    </w:p>
    <w:p>
      <w:pPr/>
      <w:r>
        <w:t xml:space="preserve">The proposed AIG-INV-05 map may inform system/capability context and source references within AIMS scope analysis. It does not set AIMS scope by itself, establish applicability or conformity, or count as risk/impact evidence. Confirm owners and boundaries from authoritative records and current AIG-INV-04 status; cite any actual gate decision through AIG-DEC-03/minutes and AIG-DEC-04 Event separately.</w:t>
      </w:r>
    </w:p>
    <w:p>
      <w:r>
        <w:rPr>
          <w:b/>
          <w:color w:val="9C0006"/>
        </w:rPr>
        <w:t xml:space="preserve">NOT APPROVED. </w:t>
      </w:r>
      <w:r>
        <w:t xml:space="preserve">Additive review annex only; original paragraphs and tables above are retained. These proposals do not record live facts, completed actions, delegated authority, Council adoption or approval. Until an approved migration, the current Register and Gate Log practice remains authoritative; the AIG-INV-04/AIG-DEC-04 joins below are proposed design only.</w:t>
      </w:r>
    </w:p>
    <w:p>
      <w:pPr>
        <w:spacing w:before="160" w:after="60"/>
      </w:pPr>
      <w:r>
        <w:rPr>
          <w:b/>
          <w:color w:val="1F4E79"/>
          <w:sz w:val="24"/>
        </w:rPr>
        <w:t>Purpose and boundary</w:t>
      </w:r>
    </w:p>
    <w:p>
      <w:pPr>
        <w:keepLines/>
        <w:spacing w:after="120"/>
      </w:pPr>
      <w:r>
        <w:t>Retain the proposed Council-wide boundary, lifecycle coverage, exclusions and requirement that the AIMS is an enabling management layer, not a new Service Owner submission route. When the Council later approves scope, use one permanent AIR-ID per system as the common reference; do not create a parallel AIMS system register or narrow inclusion merely because a service is supplier-hosted, embedded, pilot-stage or not yet authorised.</w:t>
      </w:r>
    </w:p>
    <w:p>
      <w:pPr>
        <w:spacing w:before="160" w:after="60"/>
      </w:pPr>
      <w:r>
        <w:rPr>
          <w:b/>
          <w:color w:val="1F4E79"/>
          <w:sz w:val="24"/>
        </w:rPr>
        <w:t>AIG-INV-04 identity and scope mapping</w:t>
      </w:r>
    </w:p>
    <w:p>
      <w:pPr>
        <w:keepLines/>
        <w:spacing w:after="120"/>
      </w:pPr>
      <w:r>
        <w:t>For each in-scope case, the AIG-INV-04 AI Register worksheet is the proposed system-level identity/current-state source (AIR-ID, name, purpose/boundary, Service Owner and lifecycle/approval state). Use the proposed AIG-INV-05 System map, Use cases, Capabilities, Components and Relationships sheets only as descriptive relationship references where appropriate. These proposed map objects are not evidence of legal entity boundaries, system operation, ownership or approved scope. Confirm scope completeness through an approved discovery and reconciliation process before making completeness claims.</w:t>
      </w:r>
    </w:p>
    <w:p>
      <w:pPr>
        <w:spacing w:before="160" w:after="60"/>
      </w:pPr>
      <w:r>
        <w:rPr>
          <w:b/>
          <w:color w:val="1F4E79"/>
          <w:sz w:val="24"/>
        </w:rPr>
        <w:t>AIG-DEC-04 decision and condition trail</w:t>
      </w:r>
    </w:p>
    <w:p>
      <w:pPr>
        <w:keepLines/>
        <w:spacing w:after="120"/>
      </w:pPr>
      <w:r>
        <w:t xml:space="preserve">Use the proposed AIG-DEC-04 Gate Plan for a planned review forum/trigger, Gate Events for a dated actual event, and Gate Conditions for an individual condition. A plan is not approval and an event ID does not replace the authorised decision. Link the substantive decision to AIG-DEC-03 or native authorised minutes, and link versioned supporting records through the AIG-INV-04 Evidence Index. Until an approved migration, the current Register and Gate Log practice remains authoritative; do not populate proposed IDs as real events before then.</w:t>
      </w:r>
    </w:p>
    <w:p>
      <w:pPr>
        <w:spacing w:before="160" w:after="60"/>
      </w:pPr>
      <w:r>
        <w:rPr>
          <w:b/>
          <w:color w:val="1F4E79"/>
          <w:sz w:val="24"/>
        </w:rPr>
        <w:t>Boundary review triggers</w:t>
      </w:r>
    </w:p>
    <w:p>
      <w:pPr>
        <w:keepLines/>
        <w:spacing w:after="120"/>
      </w:pPr>
      <w:r>
        <w:t xml:space="preserve">When an AIG-AIMS-01 scope/context trigger (service, delivery partner, technology, law, interested party, incident or control failure) arises, retain its authoritative change/evidence source, assess affected AIR-IDs, and record actual gate decisions only when made. If scope, role, exclusion or exception changes, preserve rationale, legal/risk review, approval authority, effective date and review trigger in the source record; do not let a gate condition or register status silently amend AIMS scope.</w:t>
      </w:r>
    </w:p>
    <w:p>
      <w:pPr>
        <w:spacing w:before="160" w:after="60"/>
      </w:pPr>
      <w:r>
        <w:rPr>
          <w:b/>
          <w:color w:val="1F4E79"/>
          <w:sz w:val="24"/>
        </w:rPr>
        <w:t>Decision and crosswalk discipline</w:t>
      </w:r>
    </w:p>
    <w:p>
      <w:pPr>
        <w:keepLines/>
        <w:spacing w:after="120"/>
      </w:pPr>
      <w:r>
        <w:t>Use AIG-AIMS-01 for organisational boundary/interested parties; AIG-AIMS-05 for validated requirements; AIG-INV-04/AIG-DEC-04 for proposed system/event/evidence joins. Applicable requirements must still be validated by Legal/DPO/specialists at AIMS and relevant system level. The existence of a source reference, generic requirement or populated identifier is not evidence that the referenced control has been implemented.</w:t>
      </w:r>
    </w:p>
    <w:p>
      <w:pPr>
        <w:spacing w:before="160" w:after="60"/>
      </w:pPr>
      <w:r>
        <w:rPr>
          <w:b/>
          <w:color w:val="1F4E79"/>
          <w:sz w:val="24"/>
        </w:rPr>
        <w:t>Proposed validation before adoption</w:t>
      </w:r>
    </w:p>
    <w:p>
      <w:pPr>
        <w:keepLines/>
        <w:spacing w:after="120"/>
      </w:pPr>
      <w:r>
        <w:t>Confirm Council legal/management boundaries, senior accountable owner, approval body, current constitutional delegations, relevant entities and service interfaces, and justified exclusions. Reconcile the scope statement/table entries against the final AIG-INV-04 field definitions and AIG-DEC-04 event/condition contract; confirm record retention and approved evidence repositories. Do not claim formal Council approval or adoption.</w:t>
      </w:r>
    </w:p>
    <w:p>
      <w:r>
        <w:t>AIMS scope and suite changes after adoption — separate authority gap</w:t>
      </w:r>
    </w:p>
    <w:p>
      <w:r>
        <w:t>POST-ADOPTION CHANGE AUTHORITY GAP. Section 11 names the AI Governance Lead as document owner, but leaves the senior accountable owner and approval authority to be confirmed. Ownership of this AIMS scope record, approval of its initial adoption and authority to approve later controlled changes to the wider governance suite are distinct. Before adoption, confirm which existing delegated person or forum may approve later suite/AIMS scope amendments and where its authority, decision, version/effective date, specialist consultation and change impact on other AIMS records will be recorded. This draft does not confer that power on the document owner, AI Assurance Board or any per-system gate forum.</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REQ-044 — Council AI Governance Playbook — proposed edition/version and currency to be owner-validated</w:t>
            </w:r>
          </w:p>
        </w:tc>
        <w:tc>
          <w:tcPr>
            <w:tcW w:type="dxa" w:w="3213"/>
          </w:tcPr>
          <w:p>
            <w:r>
              <w:t>Proposed Council suite edition and controlled adoption remain unconfirmed.</w:t>
            </w:r>
          </w:p>
        </w:tc>
        <w:tc>
          <w:tcPr>
            <w:tcW w:type="dxa" w:w="3213"/>
          </w:tcPr>
          <w:p>
            <w:r>
              <w:t>Internal controlled suite — 52 purpose-grouped artefacts (see AIG-GOV-03)</w:t>
            </w:r>
          </w:p>
        </w:tc>
      </w:tr>
    </w:tbl>
    <w:sectPr>
      <w:footerReference w:type="default" r:id="rId7"/>
      <w:headerReference w:type="default" r:id="rId9"/>
      <w:headerReference w:type="first" r:id="rId10"/>
      <w:headerReference w:type="even" r:id="rId11"/>
      <w:footerReference w:type="first"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AIG-AIMS-01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7" w:color="DCE3EA"/>
      </w:pBdr>
      <w:spacing w:after="0"/>
      <w:jc w:val="right"/>
    </w:pPr>
    <w:r>
      <w:rPr>
        <w:rFonts w:ascii="Arial" w:hAnsi="Arial"/>
        <w:color w:val="536072"/>
        <w:sz w:val="17"/>
      </w:rPr>
      <w:t>The Council — AIMS Scope, Context and Interested Parties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Calibri"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Governance working draft</dc:creator>
  <cp:lastModifiedBy>AI Governance working draft</cp:lastModifiedBy>
  <cp:revision>1</cp:revision>
  <dcterms:created xsi:type="dcterms:W3CDTF">2026-08-06T10:29:14.419Z</dcterms:created>
  <dcterms:modified xsi:type="dcterms:W3CDTF">2026-10-01T12:00:00Z</dcterms:modified>
  <dc:title>AIG-AIMS-01 AIMS Scope, Context and Interested Parties</dc:title>
  <dc:subject>Proposed grouped-ID suite; not approved</dc:subject>
  <dc:identifier/>
  <cp:version>1.5 draft</cp:version>
  <cp:keywords>Proposed grouped-ID suite; not approved</cp:keywords>
  <dc:description>Proposed grouped-ID suite; not approved</dc:description>
  <cp:contentStatus>Draft for Council review</cp:contentStatus>
</cp:coreProperties>
</file>

<file path=docProps/custom.xml><?xml version="1.0" encoding="utf-8"?>
<Properties xmlns="http://schemas.openxmlformats.org/officeDocument/2006/custom-properties" xmlns:vt="http://schemas.openxmlformats.org/officeDocument/2006/docPropsVTypes"/>
</file>