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after="20"/>
      </w:pPr>
      <w:r>
        <w:t>The Council  ·  AI GOVERNANCE</w:t>
      </w:r>
    </w:p>
    <w:p>
      <w:pPr>
        <w:spacing w:after="40"/>
      </w:pPr>
      <w:r>
        <w:t>AIMS Clause-Level Crosswalk</w:t>
      </w:r>
    </w:p>
    <w:p>
      <w:pPr>
        <w:spacing w:after="60"/>
      </w:pPr>
      <w:r>
        <w:t>ISO/IEC 42001:2023 and NIST AI Risk Management Framework (AI RMF 1.0; NIST AI 100-1, January 2023) — voluntary alignment with The Council toolkit</w:t>
      </w:r>
    </w:p>
    <w:p>
      <w:pPr>
        <w:pBdr>
          <w:bottom w:val="single" w:color="122C47" w:sz="18" w:space="6"/>
        </w:pBdr>
        <w:spacing w:after="200"/>
      </w:pPr>
      <w:r>
        <w:t>AIG-AIMS-12  ·  v1.5 draft  ·  Draft for Council review  ·  OFFICIAL</w:t>
      </w:r>
    </w:p>
    <w:p>
      <w:pPr>
        <w:pBdr>
          <w:bottom w:val="single" w:color="C8AB36" w:sz="12" w:space="4"/>
        </w:pBdr>
        <w:spacing w:after="100" w:before="160"/>
      </w:pPr>
      <w:r>
        <w:t>Document control</w:t>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2600"/>
        <w:gridCol w:w="6760"/>
      </w:tblGrid>
      <w:tr>
        <w:trPr>
          <w:tblHeader/>
        </w:trPr>
        <w:tc>
          <w:tcPr>
            <w:tcW w:type="dxa" w:w="2600"/>
            <w:shd w:fill="122C47" w:color="auto" w:val="clear"/>
            <w:tcMar>
              <w:top w:type="dxa" w:w="50"/>
              <w:left w:type="dxa" w:w="90"/>
              <w:bottom w:type="dxa" w:w="50"/>
              <w:right w:type="dxa" w:w="90"/>
            </w:tcMar>
          </w:tcPr>
          <w:p>
            <w:r>
              <w:rPr>
                <w:rFonts w:ascii="Arial" w:hAnsi="Arial" w:eastAsia="Arial" w:cs="Arial"/>
                <w:b/>
                <w:bCs/>
                <w:color w:val="FFFFFF"/>
                <w:sz w:val="20"/>
                <w:szCs w:val="20"/>
              </w:rPr>
              <w:t>Field</w:t>
            </w:r>
          </w:p>
        </w:tc>
        <w:tc>
          <w:tcPr>
            <w:tcW w:type="dxa" w:w="6760"/>
            <w:shd w:fill="122C47" w:color="auto" w:val="clear"/>
            <w:tcMar>
              <w:top w:type="dxa" w:w="50"/>
              <w:left w:type="dxa" w:w="90"/>
              <w:bottom w:type="dxa" w:w="50"/>
              <w:right w:type="dxa" w:w="90"/>
            </w:tcMar>
          </w:tcPr>
          <w:p>
            <w:r>
              <w:rPr>
                <w:rFonts w:ascii="Arial" w:hAnsi="Arial" w:eastAsia="Arial" w:cs="Arial"/>
                <w:color w:val="FFFFFF"/>
                <w:sz w:val="20"/>
                <w:szCs w:val="20"/>
              </w:rPr>
              <w:t>Controlled value</w:t>
            </w:r>
          </w:p>
        </w:tc>
      </w:tr>
      <w:tr>
        <w:tc>
          <w:tcPr>
            <w:tcW w:type="dxa" w:w="2600"/>
            <w:shd w:fill="FFFFFF" w:color="auto" w:val="clear"/>
            <w:tcMar>
              <w:top w:type="dxa" w:w="46"/>
              <w:left w:type="dxa" w:w="90"/>
              <w:bottom w:type="dxa" w:w="46"/>
              <w:right w:type="dxa" w:w="90"/>
            </w:tcMar>
          </w:tcPr>
          <w:p>
            <w:r>
              <w:t>Document ID</w:t>
            </w:r>
          </w:p>
        </w:tc>
        <w:tc>
          <w:tcPr>
            <w:tcW w:type="dxa" w:w="6760"/>
            <w:shd w:fill="FFFFFF" w:color="auto" w:val="clear"/>
            <w:tcMar>
              <w:top w:type="dxa" w:w="46"/>
              <w:left w:type="dxa" w:w="90"/>
              <w:bottom w:type="dxa" w:w="46"/>
              <w:right w:type="dxa" w:w="90"/>
            </w:tcMar>
          </w:tcPr>
          <w:p>
            <w:r>
              <w:t>AIG-AIMS-12</w:t>
            </w:r>
          </w:p>
        </w:tc>
      </w:tr>
      <w:tr>
        <w:tc>
          <w:tcPr>
            <w:tcW w:type="dxa" w:w="2600"/>
            <w:shd w:fill="F2F0EA" w:color="auto" w:val="clear"/>
            <w:tcMar>
              <w:top w:type="dxa" w:w="46"/>
              <w:left w:type="dxa" w:w="90"/>
              <w:bottom w:type="dxa" w:w="46"/>
              <w:right w:type="dxa" w:w="90"/>
            </w:tcMar>
          </w:tcPr>
          <w:p>
            <w:r>
              <w:t>Title</w:t>
            </w:r>
          </w:p>
        </w:tc>
        <w:tc>
          <w:tcPr>
            <w:tcW w:type="dxa" w:w="6760"/>
            <w:shd w:fill="F2F0EA" w:color="auto" w:val="clear"/>
            <w:tcMar>
              <w:top w:type="dxa" w:w="46"/>
              <w:left w:type="dxa" w:w="90"/>
              <w:bottom w:type="dxa" w:w="46"/>
              <w:right w:type="dxa" w:w="90"/>
            </w:tcMar>
          </w:tcPr>
          <w:p>
            <w:r>
              <w:t>AIMS Clause-Level Crosswalk (ISO/IEC 42001, NIST AI RMF and the Council toolkit)</w:t>
            </w:r>
          </w:p>
        </w:tc>
      </w:tr>
      <w:tr>
        <w:tc>
          <w:tcPr>
            <w:tcW w:type="dxa" w:w="2600"/>
            <w:shd w:fill="FFFFFF" w:color="auto" w:val="clear"/>
            <w:tcMar>
              <w:top w:type="dxa" w:w="46"/>
              <w:left w:type="dxa" w:w="90"/>
              <w:bottom w:type="dxa" w:w="46"/>
              <w:right w:type="dxa" w:w="90"/>
            </w:tcMar>
          </w:tcPr>
          <w:p>
            <w:r>
              <w:t>Version</w:t>
            </w:r>
          </w:p>
        </w:tc>
        <w:tc>
          <w:tcPr>
            <w:tcW w:type="dxa" w:w="6760"/>
            <w:shd w:fill="FFFFFF" w:color="auto" w:val="clear"/>
            <w:tcMar>
              <w:top w:type="dxa" w:w="46"/>
              <w:left w:type="dxa" w:w="90"/>
              <w:bottom w:type="dxa" w:w="46"/>
              <w:right w:type="dxa" w:w="90"/>
            </w:tcMar>
          </w:tcPr>
          <w:p>
            <w:r>
              <w:t>1.5 draft</w:t>
            </w:r>
          </w:p>
        </w:tc>
      </w:tr>
      <w:tr>
        <w:tc>
          <w:tcPr>
            <w:tcW w:type="dxa" w:w="2600"/>
            <w:shd w:fill="F2F0EA" w:color="auto" w:val="clear"/>
            <w:tcMar>
              <w:top w:type="dxa" w:w="46"/>
              <w:left w:type="dxa" w:w="90"/>
              <w:bottom w:type="dxa" w:w="46"/>
              <w:right w:type="dxa" w:w="90"/>
            </w:tcMar>
          </w:tcPr>
          <w:p>
            <w:r>
              <w:t>Status</w:t>
            </w:r>
          </w:p>
        </w:tc>
        <w:tc>
          <w:tcPr>
            <w:tcW w:type="dxa" w:w="6760"/>
            <w:shd w:fill="F2F0EA" w:color="auto" w:val="clear"/>
            <w:tcMar>
              <w:top w:type="dxa" w:w="46"/>
              <w:left w:type="dxa" w:w="90"/>
              <w:bottom w:type="dxa" w:w="46"/>
              <w:right w:type="dxa" w:w="90"/>
            </w:tcMar>
          </w:tcPr>
          <w:p>
            <w:r>
              <w:t>Draft for Council review</w:t>
            </w:r>
          </w:p>
        </w:tc>
      </w:tr>
      <w:tr>
        <w:tc>
          <w:tcPr>
            <w:tcW w:type="dxa" w:w="2600"/>
            <w:shd w:fill="FFFFFF" w:color="auto" w:val="clear"/>
            <w:tcMar>
              <w:top w:type="dxa" w:w="46"/>
              <w:left w:type="dxa" w:w="90"/>
              <w:bottom w:type="dxa" w:w="46"/>
              <w:right w:type="dxa" w:w="90"/>
            </w:tcMar>
          </w:tcPr>
          <w:p>
            <w:r>
              <w:t>Document owner</w:t>
            </w:r>
          </w:p>
        </w:tc>
        <w:tc>
          <w:tcPr>
            <w:tcW w:type="dxa" w:w="6760"/>
            <w:shd w:fill="FFFFFF" w:color="auto" w:val="clear"/>
            <w:tcMar>
              <w:top w:type="dxa" w:w="46"/>
              <w:left w:type="dxa" w:w="90"/>
              <w:bottom w:type="dxa" w:w="46"/>
              <w:right w:type="dxa" w:w="90"/>
            </w:tcMar>
          </w:tcPr>
          <w:p>
            <w:r>
              <w:t>AI Governance Lead</w:t>
            </w:r>
          </w:p>
        </w:tc>
      </w:tr>
      <w:tr>
        <w:tc>
          <w:tcPr>
            <w:tcW w:type="dxa" w:w="2600"/>
            <w:shd w:fill="F2F0EA" w:color="auto" w:val="clear"/>
            <w:tcMar>
              <w:top w:type="dxa" w:w="46"/>
              <w:left w:type="dxa" w:w="90"/>
              <w:bottom w:type="dxa" w:w="46"/>
              <w:right w:type="dxa" w:w="90"/>
            </w:tcMar>
          </w:tcPr>
          <w:p>
            <w:r>
              <w:t>Approving body</w:t>
            </w:r>
          </w:p>
        </w:tc>
        <w:tc>
          <w:tcPr>
            <w:tcW w:type="dxa" w:w="6760"/>
            <w:shd w:fill="F2F0EA" w:color="auto" w:val="clear"/>
            <w:tcMar>
              <w:top w:type="dxa" w:w="46"/>
              <w:left w:type="dxa" w:w="90"/>
              <w:bottom w:type="dxa" w:w="46"/>
              <w:right w:type="dxa" w:w="90"/>
            </w:tcMar>
          </w:tcPr>
          <w:p>
            <w:r>
              <w:t>Pending — competent Council authority under confirmed Constitution / Scheme of Delegation; AI Assurance Board provides assurance and is not presumed to hold approval authority.</w:t>
            </w:r>
          </w:p>
        </w:tc>
      </w:tr>
      <w:tr>
        <w:tc>
          <w:tcPr>
            <w:tcW w:type="dxa" w:w="2600"/>
            <w:shd w:fill="FFFFFF" w:color="auto" w:val="clear"/>
            <w:tcMar>
              <w:top w:type="dxa" w:w="46"/>
              <w:left w:type="dxa" w:w="90"/>
              <w:bottom w:type="dxa" w:w="46"/>
              <w:right w:type="dxa" w:w="90"/>
            </w:tcMar>
          </w:tcPr>
          <w:p>
            <w:r>
              <w:t>Approval date</w:t>
            </w:r>
          </w:p>
        </w:tc>
        <w:tc>
          <w:tcPr>
            <w:tcW w:type="dxa" w:w="6760"/>
            <w:shd w:fill="FFFFFF" w:color="auto" w:val="clear"/>
            <w:tcMar>
              <w:top w:type="dxa" w:w="46"/>
              <w:left w:type="dxa" w:w="90"/>
              <w:bottom w:type="dxa" w:w="46"/>
              <w:right w:type="dxa" w:w="90"/>
            </w:tcMar>
          </w:tcPr>
          <w:p>
            <w:r>
              <w:t>Not yet approved</w:t>
            </w:r>
          </w:p>
        </w:tc>
      </w:tr>
      <w:tr>
        <w:tc>
          <w:tcPr>
            <w:tcW w:type="dxa" w:w="2600"/>
            <w:shd w:fill="F2F0EA" w:color="auto" w:val="clear"/>
            <w:tcMar>
              <w:top w:type="dxa" w:w="46"/>
              <w:left w:type="dxa" w:w="90"/>
              <w:bottom w:type="dxa" w:w="46"/>
              <w:right w:type="dxa" w:w="90"/>
            </w:tcMar>
          </w:tcPr>
          <w:p>
            <w:r>
              <w:t>Effective date</w:t>
            </w:r>
          </w:p>
        </w:tc>
        <w:tc>
          <w:tcPr>
            <w:tcW w:type="dxa" w:w="6760"/>
            <w:shd w:fill="F2F0EA" w:color="auto" w:val="clear"/>
            <w:tcMar>
              <w:top w:type="dxa" w:w="46"/>
              <w:left w:type="dxa" w:w="90"/>
              <w:bottom w:type="dxa" w:w="46"/>
              <w:right w:type="dxa" w:w="90"/>
            </w:tcMar>
          </w:tcPr>
          <w:p>
            <w:r>
              <w:t>Not yet effective</w:t>
            </w:r>
          </w:p>
        </w:tc>
      </w:tr>
      <w:tr>
        <w:tc>
          <w:tcPr>
            <w:tcW w:type="dxa" w:w="2600"/>
            <w:shd w:fill="FFFFFF" w:color="auto" w:val="clear"/>
            <w:tcMar>
              <w:top w:type="dxa" w:w="46"/>
              <w:left w:type="dxa" w:w="90"/>
              <w:bottom w:type="dxa" w:w="46"/>
              <w:right w:type="dxa" w:w="90"/>
            </w:tcMar>
          </w:tcPr>
          <w:p>
            <w:r>
              <w:t>Next review date</w:t>
            </w:r>
          </w:p>
        </w:tc>
        <w:tc>
          <w:tcPr>
            <w:tcW w:type="dxa" w:w="6760"/>
            <w:shd w:fill="FFFFFF" w:color="auto" w:val="clear"/>
            <w:tcMar>
              <w:top w:type="dxa" w:w="46"/>
              <w:left w:type="dxa" w:w="90"/>
              <w:bottom w:type="dxa" w:w="46"/>
              <w:right w:type="dxa" w:w="90"/>
            </w:tcMar>
          </w:tcPr>
          <w:p>
            <w:r>
              <w:t>To be set on approval</w:t>
            </w:r>
          </w:p>
        </w:tc>
      </w:tr>
      <w:tr>
        <w:tc>
          <w:tcPr>
            <w:tcW w:type="dxa" w:w="2600"/>
            <w:shd w:fill="F2F0EA" w:color="auto" w:val="clear"/>
            <w:tcMar>
              <w:top w:type="dxa" w:w="46"/>
              <w:left w:type="dxa" w:w="90"/>
              <w:bottom w:type="dxa" w:w="46"/>
              <w:right w:type="dxa" w:w="90"/>
            </w:tcMar>
          </w:tcPr>
          <w:p>
            <w:r>
              <w:t>Classification</w:t>
            </w:r>
          </w:p>
        </w:tc>
        <w:tc>
          <w:tcPr>
            <w:tcW w:type="dxa" w:w="6760"/>
            <w:shd w:fill="F2F0EA" w:color="auto" w:val="clear"/>
            <w:tcMar>
              <w:top w:type="dxa" w:w="46"/>
              <w:left w:type="dxa" w:w="90"/>
              <w:bottom w:type="dxa" w:w="46"/>
              <w:right w:type="dxa" w:w="90"/>
            </w:tcMar>
          </w:tcPr>
          <w:p>
            <w:r>
              <w:t>OFFICIAL</w:t>
            </w:r>
          </w:p>
        </w:tc>
      </w:tr>
      <w:tr>
        <w:tc>
          <w:tcPr>
            <w:tcW w:type="dxa" w:w="2600"/>
            <w:shd w:fill="FFFFFF" w:color="auto" w:val="clear"/>
            <w:tcMar>
              <w:top w:type="dxa" w:w="46"/>
              <w:left w:type="dxa" w:w="90"/>
              <w:bottom w:type="dxa" w:w="46"/>
              <w:right w:type="dxa" w:w="90"/>
            </w:tcMar>
          </w:tcPr>
          <w:p>
            <w:r>
              <w:t>Companion to</w:t>
            </w:r>
          </w:p>
        </w:tc>
        <w:tc>
          <w:tcPr>
            <w:tcW w:type="dxa" w:w="6760"/>
            <w:shd w:fill="FFFFFF" w:color="auto" w:val="clear"/>
            <w:tcMar>
              <w:top w:type="dxa" w:w="46"/>
              <w:left w:type="dxa" w:w="90"/>
              <w:bottom w:type="dxa" w:w="46"/>
              <w:right w:type="dxa" w:w="90"/>
            </w:tcMar>
          </w:tcPr>
          <w:p>
            <w:r>
              <w:t>Appendix D (Framework Alignment Mapping); AIG-AIMS-06 (Clause Conformity Register)</w:t>
            </w:r>
          </w:p>
        </w:tc>
      </w:tr>
      <w:tr>
        <w:tc>
          <w:tcPr>
            <w:tcW w:type="dxa" w:w="2600"/>
            <w:shd w:fill="FFFFFF" w:color="auto" w:val="clear"/>
            <w:tcMar>
              <w:top w:type="dxa" w:w="46"/>
              <w:left w:type="dxa" w:w="90"/>
              <w:bottom w:type="dxa" w:w="46"/>
              <w:right w:type="dxa" w:w="90"/>
            </w:tcMar>
          </w:tcPr>
          <w:p>
            <w:r>
              <w:t xml:space="preserve">Change history</w:t>
            </w:r>
          </w:p>
        </w:tc>
        <w:tc>
          <w:tcPr>
            <w:tcW w:type="dxa" w:w="6760"/>
            <w:shd w:fill="FFFFFF" w:color="auto" w:val="clear"/>
            <w:tcMar>
              <w:top w:type="dxa" w:w="46"/>
              <w:left w:type="dxa" w:w="90"/>
              <w:bottom w:type="dxa" w:w="46"/>
              <w:right w:type="dxa" w:w="90"/>
            </w:tcMar>
          </w:tcPr>
          <w:p>
            <w:r>
              <w:t xml:space="preserve">1.1 draft, 29 September 2026: QA remediation — applied findings QA-075, QA-083, QA-086, QA-158 (see QA change log). Legacy numbering references removed.</w:t>
            </w:r>
          </w:p>
          <w:p>
            <w:r>
              <w:t xml:space="preserve">1.2 draft, 30 September 2026: v3.9.1: standards cross-reference note updated to the 54-entry requirement inventory (AIG-AIMS-05 REQ-054, Civil Contingencies Act 2004, added).</w:t>
            </w:r>
          </w:p>
          <w:p>
            <w:r>
              <w:t xml:space="preserve">1.3 draft, 1 October 2026: v3.9.3: standards cross-reference note cites the 55-entry requirement inventory (AIG-AIMS-05 REQ-055, NIST AI 600-1 Generative AI Profile, added).</w:t>
            </w:r>
          </w:p>
          <w:p>
            <w:r>
              <w:t>1.4 draft, 2 October 2026: v3.9.5: standards cross-reference note cites the 56-entry requirement inventory (AIG-AIMS-05 REQ-056, SI 2026/425 ICO statutory code of practice on AI and automated decision-making, added). Proposed — for Council confirmation.</w:t>
            </w:r>
          </w:p>
          <w:p>
            <w:r>
              <w:t>1.5 draft, 12 October 2026: v3.9.10: standards cross-reference note cites the 58-entry requirement inventory (AIG-AIMS-05 REQ-057 DAMA-DMBOK and REQ-058 ISO/IEC 5259, added as voluntary data governance references). Proposed — for Council confirmation.</w:t>
            </w:r>
          </w:p>
        </w:tc>
      </w:tr>
    </w:tbl>
    <w:p>
      <w:pPr>
        <w:spacing w:after="120" w:before="180"/>
      </w:pPr>
      <w:r>
        <w:t>[PROPOSED EDIT — OWNER VALIDATION REQUIRED] A line-by-line design mapping of the AIMS Clause Conformity Register (AIG-AIMS-06). Each ISO/IEC 42001 clause is mapped to a corresponding NIST AI RMF 1.0 function and Council artefact for review; the mapping supports alignment only and does not demonstrate ISO conformity or NIST conformity. NIST AI RMF 1.0 (NIST AI 100-1, January 2023) is voluntary. Appendix D of the Playbook carries the clause-group summary and points here for sub-clause detail.</w:t>
      </w:r>
    </w:p>
    <w:p>
      <w:pPr>
        <w:pBdr>
          <w:bottom w:val="single" w:color="C8AB36" w:sz="12" w:space="4"/>
        </w:pBdr>
        <w:spacing w:after="100" w:before="160"/>
      </w:pPr>
      <w:r>
        <w:t>Clause crosswalk</w:t>
      </w:r>
    </w:p>
    <w:p>
      <w:pPr>
        <w:pBdr>
          <w:bottom w:val="single" w:color="C8AB36" w:sz="12" w:space="4"/>
        </w:pBdr>
        <w:spacing w:after="100" w:before="160"/>
      </w:pPr>
      <w:r/>
      <w:r>
        <w:rPr>
          <w:b/>
        </w:rPr>
        <w:t xml:space="preserve">Applicability key — </w:t>
      </w:r>
      <w:r>
        <w:t xml:space="preserve">retain AIR-ID for the system and identify UC-ID(s) for each materially distinct applicable use. Crosswalk shared clauses and evidence by reference, but record use-specific applicability, gap/risk and decision evidence separately. Clause coverage or an AIMS status is not a UC-ID approval.</w:t>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1760"/>
        <w:gridCol w:w="3160"/>
        <w:gridCol w:w="2680"/>
        <w:gridCol w:w="1760"/>
      </w:tblGrid>
      <w:tr>
        <w:trPr>
          <w:tblHeader/>
        </w:trPr>
        <w:tc>
          <w:tcPr>
            <w:tcW w:type="dxa" w:w="1760"/>
            <w:shd w:fill="122C47" w:color="auto" w:val="clear"/>
            <w:tcMar>
              <w:top w:type="dxa" w:w="50"/>
              <w:left w:type="dxa" w:w="90"/>
              <w:bottom w:type="dxa" w:w="50"/>
              <w:right w:type="dxa" w:w="90"/>
            </w:tcMar>
          </w:tcPr>
          <w:p>
            <w:r>
              <w:rPr>
                <w:rFonts w:ascii="Arial" w:hAnsi="Arial" w:eastAsia="Arial" w:cs="Arial"/>
                <w:b/>
                <w:bCs/>
                <w:color w:val="FFFFFF"/>
                <w:sz w:val="17"/>
                <w:szCs w:val="17"/>
              </w:rPr>
              <w:t>ISO/IEC 42001 clause</w:t>
            </w:r>
          </w:p>
        </w:tc>
        <w:tc>
          <w:tcPr>
            <w:tcW w:type="dxa" w:w="3160"/>
            <w:shd w:fill="122C47" w:color="auto" w:val="clear"/>
            <w:tcMar>
              <w:top w:type="dxa" w:w="50"/>
              <w:left w:type="dxa" w:w="90"/>
              <w:bottom w:type="dxa" w:w="50"/>
              <w:right w:type="dxa" w:w="90"/>
            </w:tcMar>
          </w:tcPr>
          <w:p>
            <w:r>
              <w:rPr>
                <w:rFonts w:ascii="Arial" w:hAnsi="Arial" w:eastAsia="Arial" w:cs="Arial"/>
                <w:b/>
                <w:bCs/>
                <w:color w:val="FFFFFF"/>
                <w:sz w:val="17"/>
                <w:szCs w:val="17"/>
              </w:rPr>
              <w:t>What the clause requires (working summary)</w:t>
            </w:r>
          </w:p>
        </w:tc>
        <w:tc>
          <w:tcPr>
            <w:tcW w:type="dxa" w:w="2680"/>
            <w:shd w:fill="122C47" w:color="auto" w:val="clear"/>
            <w:tcMar>
              <w:top w:type="dxa" w:w="50"/>
              <w:left w:type="dxa" w:w="90"/>
              <w:bottom w:type="dxa" w:w="50"/>
              <w:right w:type="dxa" w:w="90"/>
            </w:tcMar>
          </w:tcPr>
          <w:p>
            <w:r>
              <w:rPr>
                <w:rFonts w:ascii="Arial" w:hAnsi="Arial" w:eastAsia="Arial" w:cs="Arial"/>
                <w:b/>
                <w:bCs/>
                <w:color w:val="FFFFFF"/>
                <w:sz w:val="17"/>
                <w:szCs w:val="17"/>
              </w:rPr>
              <w:t>NIST AI RMF correspondence</w:t>
            </w:r>
          </w:p>
        </w:tc>
        <w:tc>
          <w:tcPr>
            <w:tcW w:type="dxa" w:w="1760"/>
            <w:shd w:fill="122C47" w:color="auto" w:val="clear"/>
            <w:tcMar>
              <w:top w:type="dxa" w:w="50"/>
              <w:left w:type="dxa" w:w="90"/>
              <w:bottom w:type="dxa" w:w="50"/>
              <w:right w:type="dxa" w:w="90"/>
            </w:tcMar>
          </w:tcPr>
          <w:p>
            <w:r>
              <w:rPr>
                <w:rFonts w:ascii="Arial" w:hAnsi="Arial" w:eastAsia="Arial" w:cs="Arial"/>
                <w:b/>
                <w:bCs/>
                <w:color w:val="FFFFFF"/>
              </w:rPr>
              <w:t>the Council toolkit evidence</w:t>
            </w:r>
          </w:p>
        </w:tc>
      </w:tr>
      <w:tr>
        <w:tc>
          <w:tcPr>
            <w:tcW w:type="dxa" w:w="1760"/>
            <w:shd w:fill="FFFFFF" w:color="auto" w:val="clear"/>
            <w:tcMar>
              <w:top w:type="dxa" w:w="46"/>
              <w:left w:type="dxa" w:w="90"/>
              <w:bottom w:type="dxa" w:w="46"/>
              <w:right w:type="dxa" w:w="90"/>
            </w:tcMar>
          </w:tcPr>
          <w:p>
            <w:r>
              <w:t xml:space="preserve">4.1 Understanding the organization and its context</w:t>
            </w:r>
          </w:p>
        </w:tc>
        <w:tc>
          <w:tcPr>
            <w:tcW w:type="dxa" w:w="3160"/>
            <w:shd w:fill="FFFFFF" w:color="auto" w:val="clear"/>
            <w:tcMar>
              <w:top w:type="dxa" w:w="46"/>
              <w:left w:type="dxa" w:w="90"/>
              <w:bottom w:type="dxa" w:w="46"/>
              <w:right w:type="dxa" w:w="90"/>
            </w:tcMar>
          </w:tcPr>
          <w:p>
            <w:r>
              <w:t>Determine internal and external issues relevant to the AIMS and its outcomes.</w:t>
            </w:r>
          </w:p>
        </w:tc>
        <w:tc>
          <w:tcPr>
            <w:tcW w:type="dxa" w:w="2680"/>
            <w:shd w:fill="FFFFFF" w:color="auto" w:val="clear"/>
            <w:tcMar>
              <w:top w:type="dxa" w:w="46"/>
              <w:left w:type="dxa" w:w="90"/>
              <w:bottom w:type="dxa" w:w="46"/>
              <w:right w:type="dxa" w:w="90"/>
            </w:tcMar>
          </w:tcPr>
          <w:p>
            <w:r>
              <w:t>MAP — establish and understand context</w:t>
            </w:r>
          </w:p>
        </w:tc>
        <w:tc>
          <w:tcPr>
            <w:tcW w:type="dxa" w:w="1760"/>
            <w:shd w:fill="FFFFFF" w:color="auto" w:val="clear"/>
            <w:tcMar>
              <w:top w:type="dxa" w:w="46"/>
              <w:left w:type="dxa" w:w="90"/>
              <w:bottom w:type="dxa" w:w="46"/>
              <w:right w:type="dxa" w:w="90"/>
            </w:tcMar>
          </w:tcPr>
          <w:p>
            <w:r>
              <w:t>AIG-AIMS-01</w:t>
            </w:r>
          </w:p>
        </w:tc>
      </w:tr>
      <w:tr>
        <w:tc>
          <w:tcPr>
            <w:tcW w:type="dxa" w:w="1760"/>
            <w:shd w:fill="F2F0EA" w:color="auto" w:val="clear"/>
            <w:tcMar>
              <w:top w:type="dxa" w:w="46"/>
              <w:left w:type="dxa" w:w="90"/>
              <w:bottom w:type="dxa" w:w="46"/>
              <w:right w:type="dxa" w:w="90"/>
            </w:tcMar>
          </w:tcPr>
          <w:p>
            <w:r>
              <w:t xml:space="preserve">4.2 Understanding the needs and expectations of interested parties</w:t>
            </w:r>
          </w:p>
        </w:tc>
        <w:tc>
          <w:tcPr>
            <w:tcW w:type="dxa" w:w="3160"/>
            <w:shd w:fill="F2F0EA" w:color="auto" w:val="clear"/>
            <w:tcMar>
              <w:top w:type="dxa" w:w="46"/>
              <w:left w:type="dxa" w:w="90"/>
              <w:bottom w:type="dxa" w:w="46"/>
              <w:right w:type="dxa" w:w="90"/>
            </w:tcMar>
          </w:tcPr>
          <w:p>
            <w:r>
              <w:t>Identify interested parties and their relevant requirements, including legal and other obligations.</w:t>
            </w:r>
          </w:p>
        </w:tc>
        <w:tc>
          <w:tcPr>
            <w:tcW w:type="dxa" w:w="2680"/>
            <w:shd w:fill="F2F0EA" w:color="auto" w:val="clear"/>
            <w:tcMar>
              <w:top w:type="dxa" w:w="46"/>
              <w:left w:type="dxa" w:w="90"/>
              <w:bottom w:type="dxa" w:w="46"/>
              <w:right w:type="dxa" w:w="90"/>
            </w:tcMar>
          </w:tcPr>
          <w:p>
            <w:r>
              <w:t>MAP — context; GOVERN — stakeholder engagement</w:t>
            </w:r>
          </w:p>
        </w:tc>
        <w:tc>
          <w:tcPr>
            <w:tcW w:type="dxa" w:w="1760"/>
            <w:shd w:fill="F2F0EA" w:color="auto" w:val="clear"/>
            <w:tcMar>
              <w:top w:type="dxa" w:w="46"/>
              <w:left w:type="dxa" w:w="90"/>
              <w:bottom w:type="dxa" w:w="46"/>
              <w:right w:type="dxa" w:w="90"/>
            </w:tcMar>
          </w:tcPr>
          <w:p>
            <w:r>
              <w:t>AIG-AIMS-01; AIG-AIMS-05</w:t>
            </w:r>
          </w:p>
        </w:tc>
      </w:tr>
      <w:tr>
        <w:tc>
          <w:tcPr>
            <w:tcW w:type="dxa" w:w="1760"/>
            <w:shd w:fill="FFFFFF" w:color="auto" w:val="clear"/>
            <w:tcMar>
              <w:top w:type="dxa" w:w="46"/>
              <w:left w:type="dxa" w:w="90"/>
              <w:bottom w:type="dxa" w:w="46"/>
              <w:right w:type="dxa" w:w="90"/>
            </w:tcMar>
          </w:tcPr>
          <w:p>
            <w:r>
              <w:t xml:space="preserve">4.3 Determining the scope of the AI management system</w:t>
            </w:r>
          </w:p>
        </w:tc>
        <w:tc>
          <w:tcPr>
            <w:tcW w:type="dxa" w:w="3160"/>
            <w:shd w:fill="FFFFFF" w:color="auto" w:val="clear"/>
            <w:tcMar>
              <w:top w:type="dxa" w:w="46"/>
              <w:left w:type="dxa" w:w="90"/>
              <w:bottom w:type="dxa" w:w="46"/>
              <w:right w:type="dxa" w:w="90"/>
            </w:tcMar>
          </w:tcPr>
          <w:p>
            <w:r>
              <w:t>Determine and document the boundaries and applicability of the AIMS.</w:t>
            </w:r>
          </w:p>
        </w:tc>
        <w:tc>
          <w:tcPr>
            <w:tcW w:type="dxa" w:w="2680"/>
            <w:shd w:fill="FFFFFF" w:color="auto" w:val="clear"/>
            <w:tcMar>
              <w:top w:type="dxa" w:w="46"/>
              <w:left w:type="dxa" w:w="90"/>
              <w:bottom w:type="dxa" w:w="46"/>
              <w:right w:type="dxa" w:w="90"/>
            </w:tcMar>
          </w:tcPr>
          <w:p>
            <w:r>
              <w:t>MAP — mission, context and scope</w:t>
            </w:r>
          </w:p>
        </w:tc>
        <w:tc>
          <w:tcPr>
            <w:tcW w:type="dxa" w:w="1760"/>
            <w:shd w:fill="FFFFFF" w:color="auto" w:val="clear"/>
            <w:tcMar>
              <w:top w:type="dxa" w:w="46"/>
              <w:left w:type="dxa" w:w="90"/>
              <w:bottom w:type="dxa" w:w="46"/>
              <w:right w:type="dxa" w:w="90"/>
            </w:tcMar>
          </w:tcPr>
          <w:p>
            <w:r>
              <w:t>AIG-AIMS-01</w:t>
            </w:r>
          </w:p>
        </w:tc>
      </w:tr>
      <w:tr>
        <w:tc>
          <w:tcPr>
            <w:tcW w:type="dxa" w:w="1760"/>
            <w:shd w:fill="F2F0EA" w:color="auto" w:val="clear"/>
            <w:tcMar>
              <w:top w:type="dxa" w:w="46"/>
              <w:left w:type="dxa" w:w="90"/>
              <w:bottom w:type="dxa" w:w="46"/>
              <w:right w:type="dxa" w:w="90"/>
            </w:tcMar>
          </w:tcPr>
          <w:p>
            <w:r>
              <w:t>4.4 AI management system</w:t>
            </w:r>
          </w:p>
        </w:tc>
        <w:tc>
          <w:tcPr>
            <w:tcW w:type="dxa" w:w="3160"/>
            <w:shd w:fill="F2F0EA" w:color="auto" w:val="clear"/>
            <w:tcMar>
              <w:top w:type="dxa" w:w="46"/>
              <w:left w:type="dxa" w:w="90"/>
              <w:bottom w:type="dxa" w:w="46"/>
              <w:right w:type="dxa" w:w="90"/>
            </w:tcMar>
          </w:tcPr>
          <w:p>
            <w:r>
              <w:t>Establish, implement, maintain and continually improve the AIMS.</w:t>
            </w:r>
          </w:p>
        </w:tc>
        <w:tc>
          <w:tcPr>
            <w:tcW w:type="dxa" w:w="2680"/>
            <w:shd w:fill="F2F0EA" w:color="auto" w:val="clear"/>
            <w:tcMar>
              <w:top w:type="dxa" w:w="46"/>
              <w:left w:type="dxa" w:w="90"/>
              <w:bottom w:type="dxa" w:w="46"/>
              <w:right w:type="dxa" w:w="90"/>
            </w:tcMar>
          </w:tcPr>
          <w:p>
            <w:r>
              <w:t>GOVERN — governance structures and processes in place</w:t>
            </w:r>
          </w:p>
        </w:tc>
        <w:tc>
          <w:tcPr>
            <w:tcW w:type="dxa" w:w="1760"/>
            <w:shd w:fill="F2F0EA" w:color="auto" w:val="clear"/>
            <w:tcMar>
              <w:top w:type="dxa" w:w="46"/>
              <w:left w:type="dxa" w:w="90"/>
              <w:bottom w:type="dxa" w:w="46"/>
              <w:right w:type="dxa" w:w="90"/>
            </w:tcMar>
          </w:tcPr>
          <w:p>
            <w:r>
              <w:t xml:space="preserve">AIG-GOV-02; all 52 artefacts listed in AIG-GOV-03</w:t>
            </w:r>
          </w:p>
        </w:tc>
      </w:tr>
      <w:tr>
        <w:tc>
          <w:tcPr>
            <w:tcW w:type="dxa" w:w="1760"/>
            <w:shd w:fill="FFFFFF" w:color="auto" w:val="clear"/>
            <w:tcMar>
              <w:top w:type="dxa" w:w="46"/>
              <w:left w:type="dxa" w:w="90"/>
              <w:bottom w:type="dxa" w:w="46"/>
              <w:right w:type="dxa" w:w="90"/>
            </w:tcMar>
          </w:tcPr>
          <w:p>
            <w:r>
              <w:t>5.1 Leadership and commitment</w:t>
            </w:r>
          </w:p>
        </w:tc>
        <w:tc>
          <w:tcPr>
            <w:tcW w:type="dxa" w:w="3160"/>
            <w:shd w:fill="FFFFFF" w:color="auto" w:val="clear"/>
            <w:tcMar>
              <w:top w:type="dxa" w:w="46"/>
              <w:left w:type="dxa" w:w="90"/>
              <w:bottom w:type="dxa" w:w="46"/>
              <w:right w:type="dxa" w:w="90"/>
            </w:tcMar>
          </w:tcPr>
          <w:p>
            <w:r>
              <w:t>Top management demonstrates leadership and commitment to the AIMS.</w:t>
            </w:r>
          </w:p>
        </w:tc>
        <w:tc>
          <w:tcPr>
            <w:tcW w:type="dxa" w:w="2680"/>
            <w:shd w:fill="FFFFFF" w:color="auto" w:val="clear"/>
            <w:tcMar>
              <w:top w:type="dxa" w:w="46"/>
              <w:left w:type="dxa" w:w="90"/>
              <w:bottom w:type="dxa" w:w="46"/>
              <w:right w:type="dxa" w:w="90"/>
            </w:tcMar>
          </w:tcPr>
          <w:p>
            <w:r>
              <w:t>GOVERN — leadership and accountability</w:t>
            </w:r>
          </w:p>
        </w:tc>
        <w:tc>
          <w:tcPr>
            <w:tcW w:type="dxa" w:w="1760"/>
            <w:shd w:fill="FFFFFF" w:color="auto" w:val="clear"/>
            <w:tcMar>
              <w:top w:type="dxa" w:w="46"/>
              <w:left w:type="dxa" w:w="90"/>
              <w:bottom w:type="dxa" w:w="46"/>
              <w:right w:type="dxa" w:w="90"/>
            </w:tcMar>
          </w:tcPr>
          <w:p>
            <w:r>
              <w:t>AIG-GOV-04; AIG-GOV-06; PB Ch.5</w:t>
            </w:r>
          </w:p>
        </w:tc>
      </w:tr>
      <w:tr>
        <w:tc>
          <w:tcPr>
            <w:tcW w:type="dxa" w:w="1760"/>
            <w:shd w:fill="F2F0EA" w:color="auto" w:val="clear"/>
            <w:tcMar>
              <w:top w:type="dxa" w:w="46"/>
              <w:left w:type="dxa" w:w="90"/>
              <w:bottom w:type="dxa" w:w="46"/>
              <w:right w:type="dxa" w:w="90"/>
            </w:tcMar>
          </w:tcPr>
          <w:p>
            <w:r>
              <w:t>5.2 AI policy</w:t>
            </w:r>
          </w:p>
        </w:tc>
        <w:tc>
          <w:tcPr>
            <w:tcW w:type="dxa" w:w="3160"/>
            <w:shd w:fill="F2F0EA" w:color="auto" w:val="clear"/>
            <w:tcMar>
              <w:top w:type="dxa" w:w="46"/>
              <w:left w:type="dxa" w:w="90"/>
              <w:bottom w:type="dxa" w:w="46"/>
              <w:right w:type="dxa" w:w="90"/>
            </w:tcMar>
          </w:tcPr>
          <w:p>
            <w:r>
              <w:t>Establish a documented AI policy appropriate to purpose, framing objectives and commitments.</w:t>
            </w:r>
          </w:p>
        </w:tc>
        <w:tc>
          <w:tcPr>
            <w:tcW w:type="dxa" w:w="2680"/>
            <w:shd w:fill="F2F0EA" w:color="auto" w:val="clear"/>
            <w:tcMar>
              <w:top w:type="dxa" w:w="46"/>
              <w:left w:type="dxa" w:w="90"/>
              <w:bottom w:type="dxa" w:w="46"/>
              <w:right w:type="dxa" w:w="90"/>
            </w:tcMar>
          </w:tcPr>
          <w:p>
            <w:r>
              <w:t>GOVERN — policies and principles</w:t>
            </w:r>
          </w:p>
        </w:tc>
        <w:tc>
          <w:tcPr>
            <w:tcW w:type="dxa" w:w="1760"/>
            <w:shd w:fill="F2F0EA" w:color="auto" w:val="clear"/>
            <w:tcMar>
              <w:top w:type="dxa" w:w="46"/>
              <w:left w:type="dxa" w:w="90"/>
              <w:bottom w:type="dxa" w:w="46"/>
              <w:right w:type="dxa" w:w="90"/>
            </w:tcMar>
          </w:tcPr>
          <w:p>
            <w:r>
              <w:t>AIG-GOV-05; PB Ch.5</w:t>
            </w:r>
          </w:p>
        </w:tc>
      </w:tr>
      <w:tr>
        <w:tc>
          <w:tcPr>
            <w:tcW w:type="dxa" w:w="1760"/>
            <w:shd w:fill="FFFFFF" w:color="auto" w:val="clear"/>
            <w:tcMar>
              <w:top w:type="dxa" w:w="46"/>
              <w:left w:type="dxa" w:w="90"/>
              <w:bottom w:type="dxa" w:w="46"/>
              <w:right w:type="dxa" w:w="90"/>
            </w:tcMar>
          </w:tcPr>
          <w:p>
            <w:r>
              <w:t>5.3 Roles, responsibilities and authorities</w:t>
            </w:r>
          </w:p>
        </w:tc>
        <w:tc>
          <w:tcPr>
            <w:tcW w:type="dxa" w:w="3160"/>
            <w:shd w:fill="FFFFFF" w:color="auto" w:val="clear"/>
            <w:tcMar>
              <w:top w:type="dxa" w:w="46"/>
              <w:left w:type="dxa" w:w="90"/>
              <w:bottom w:type="dxa" w:w="46"/>
              <w:right w:type="dxa" w:w="90"/>
            </w:tcMar>
          </w:tcPr>
          <w:p>
            <w:r>
              <w:t>Assign and communicate AIMS roles, responsibilities and authorities.</w:t>
            </w:r>
          </w:p>
        </w:tc>
        <w:tc>
          <w:tcPr>
            <w:tcW w:type="dxa" w:w="2680"/>
            <w:shd w:fill="FFFFFF" w:color="auto" w:val="clear"/>
            <w:tcMar>
              <w:top w:type="dxa" w:w="46"/>
              <w:left w:type="dxa" w:w="90"/>
              <w:bottom w:type="dxa" w:w="46"/>
              <w:right w:type="dxa" w:w="90"/>
            </w:tcMar>
          </w:tcPr>
          <w:p>
            <w:r>
              <w:t>GOVERN — roles, responsibilities and accountability</w:t>
            </w:r>
          </w:p>
        </w:tc>
        <w:tc>
          <w:tcPr>
            <w:tcW w:type="dxa" w:w="1760"/>
            <w:shd w:fill="FFFFFF" w:color="auto" w:val="clear"/>
            <w:tcMar>
              <w:top w:type="dxa" w:w="46"/>
              <w:left w:type="dxa" w:w="90"/>
              <w:bottom w:type="dxa" w:w="46"/>
              <w:right w:type="dxa" w:w="90"/>
            </w:tcMar>
          </w:tcPr>
          <w:p>
            <w:r>
              <w:t>AIG-AIMS-04; AIG-GOV-06</w:t>
            </w:r>
          </w:p>
        </w:tc>
      </w:tr>
      <w:tr>
        <w:tc>
          <w:tcPr>
            <w:tcW w:type="dxa" w:w="1760"/>
            <w:shd w:fill="F2F0EA" w:color="auto" w:val="clear"/>
            <w:tcMar>
              <w:top w:type="dxa" w:w="46"/>
              <w:left w:type="dxa" w:w="90"/>
              <w:bottom w:type="dxa" w:w="46"/>
              <w:right w:type="dxa" w:w="90"/>
            </w:tcMar>
          </w:tcPr>
          <w:p>
            <w:r>
              <w:t xml:space="preserve">6.1.1 Actions to address risks and opportunities — general</w:t>
            </w:r>
          </w:p>
        </w:tc>
        <w:tc>
          <w:tcPr>
            <w:tcW w:type="dxa" w:w="3160"/>
            <w:shd w:fill="F2F0EA" w:color="auto" w:val="clear"/>
            <w:tcMar>
              <w:top w:type="dxa" w:w="46"/>
              <w:left w:type="dxa" w:w="90"/>
              <w:bottom w:type="dxa" w:w="46"/>
              <w:right w:type="dxa" w:w="90"/>
            </w:tcMar>
          </w:tcPr>
          <w:p>
            <w:r>
              <w:t>Plan actions to address AIMS risks and opportunities.</w:t>
            </w:r>
          </w:p>
        </w:tc>
        <w:tc>
          <w:tcPr>
            <w:tcW w:type="dxa" w:w="2680"/>
            <w:shd w:fill="F2F0EA" w:color="auto" w:val="clear"/>
            <w:tcMar>
              <w:top w:type="dxa" w:w="46"/>
              <w:left w:type="dxa" w:w="90"/>
              <w:bottom w:type="dxa" w:w="46"/>
              <w:right w:type="dxa" w:w="90"/>
            </w:tcMar>
          </w:tcPr>
          <w:p>
            <w:r>
              <w:t>GOVERN / MAP — risk and opportunity framing</w:t>
            </w:r>
          </w:p>
        </w:tc>
        <w:tc>
          <w:tcPr>
            <w:tcW w:type="dxa" w:w="1760"/>
            <w:shd w:fill="F2F0EA" w:color="auto" w:val="clear"/>
            <w:tcMar>
              <w:top w:type="dxa" w:w="46"/>
              <w:left w:type="dxa" w:w="90"/>
              <w:bottom w:type="dxa" w:w="46"/>
              <w:right w:type="dxa" w:w="90"/>
            </w:tcMar>
          </w:tcPr>
          <w:p>
            <w:r>
              <w:t>AIG-AIMS-03</w:t>
            </w:r>
          </w:p>
        </w:tc>
      </w:tr>
      <w:tr>
        <w:tc>
          <w:tcPr>
            <w:tcW w:type="dxa" w:w="1760"/>
            <w:shd w:fill="FFFFFF" w:color="auto" w:val="clear"/>
            <w:tcMar>
              <w:top w:type="dxa" w:w="46"/>
              <w:left w:type="dxa" w:w="90"/>
              <w:bottom w:type="dxa" w:w="46"/>
              <w:right w:type="dxa" w:w="90"/>
            </w:tcMar>
          </w:tcPr>
          <w:p>
            <w:r>
              <w:t>6.1.2 AI risk assessment</w:t>
            </w:r>
          </w:p>
        </w:tc>
        <w:tc>
          <w:tcPr>
            <w:tcW w:type="dxa" w:w="3160"/>
            <w:shd w:fill="FFFFFF" w:color="auto" w:val="clear"/>
            <w:tcMar>
              <w:top w:type="dxa" w:w="46"/>
              <w:left w:type="dxa" w:w="90"/>
              <w:bottom w:type="dxa" w:w="46"/>
              <w:right w:type="dxa" w:w="90"/>
            </w:tcMar>
          </w:tcPr>
          <w:p>
            <w:r>
              <w:t>Define and apply a repeatable AI risk assessment process and criteria.</w:t>
            </w:r>
          </w:p>
        </w:tc>
        <w:tc>
          <w:tcPr>
            <w:tcW w:type="dxa" w:w="2680"/>
            <w:shd w:fill="FFFFFF" w:color="auto" w:val="clear"/>
            <w:tcMar>
              <w:top w:type="dxa" w:w="46"/>
              <w:left w:type="dxa" w:w="90"/>
              <w:bottom w:type="dxa" w:w="46"/>
              <w:right w:type="dxa" w:w="90"/>
            </w:tcMar>
          </w:tcPr>
          <w:p>
            <w:r>
              <w:t>MAP — risk identification; MEASURE — analysis</w:t>
            </w:r>
          </w:p>
        </w:tc>
        <w:tc>
          <w:tcPr>
            <w:tcW w:type="dxa" w:w="1760"/>
            <w:shd w:fill="FFFFFF" w:color="auto" w:val="clear"/>
            <w:tcMar>
              <w:top w:type="dxa" w:w="46"/>
              <w:left w:type="dxa" w:w="90"/>
              <w:bottom w:type="dxa" w:w="46"/>
              <w:right w:type="dxa" w:w="90"/>
            </w:tcMar>
          </w:tcPr>
          <w:p>
            <w:r>
              <w:t>PB §4.4; AIG-ASS-02, AIG-ASS-01</w:t>
            </w:r>
          </w:p>
        </w:tc>
      </w:tr>
      <w:tr>
        <w:tc>
          <w:tcPr>
            <w:tcW w:type="dxa" w:w="1760"/>
            <w:shd w:fill="F2F0EA" w:color="auto" w:val="clear"/>
            <w:tcMar>
              <w:top w:type="dxa" w:w="46"/>
              <w:left w:type="dxa" w:w="90"/>
              <w:bottom w:type="dxa" w:w="46"/>
              <w:right w:type="dxa" w:w="90"/>
            </w:tcMar>
          </w:tcPr>
          <w:p>
            <w:r>
              <w:t>6.1.3 AI risk treatment</w:t>
            </w:r>
          </w:p>
        </w:tc>
        <w:tc>
          <w:tcPr>
            <w:tcW w:type="dxa" w:w="3160"/>
            <w:shd w:fill="F2F0EA" w:color="auto" w:val="clear"/>
            <w:tcMar>
              <w:top w:type="dxa" w:w="46"/>
              <w:left w:type="dxa" w:w="90"/>
              <w:bottom w:type="dxa" w:w="46"/>
              <w:right w:type="dxa" w:w="90"/>
            </w:tcMar>
          </w:tcPr>
          <w:p>
            <w:r>
              <w:t>Determine risk treatment and produce a Statement of Applicability.</w:t>
            </w:r>
          </w:p>
        </w:tc>
        <w:tc>
          <w:tcPr>
            <w:tcW w:type="dxa" w:w="2680"/>
            <w:shd w:fill="F2F0EA" w:color="auto" w:val="clear"/>
            <w:tcMar>
              <w:top w:type="dxa" w:w="46"/>
              <w:left w:type="dxa" w:w="90"/>
              <w:bottom w:type="dxa" w:w="46"/>
              <w:right w:type="dxa" w:w="90"/>
            </w:tcMar>
          </w:tcPr>
          <w:p>
            <w:r>
              <w:t>MANAGE — risks prioritised, treated and tracked</w:t>
            </w:r>
          </w:p>
        </w:tc>
        <w:tc>
          <w:tcPr>
            <w:tcW w:type="dxa" w:w="1760"/>
            <w:shd w:fill="F2F0EA" w:color="auto" w:val="clear"/>
            <w:tcMar>
              <w:top w:type="dxa" w:w="46"/>
              <w:left w:type="dxa" w:w="90"/>
              <w:bottom w:type="dxa" w:w="46"/>
              <w:right w:type="dxa" w:w="90"/>
            </w:tcMar>
          </w:tcPr>
          <w:p>
            <w:r>
              <w:t>AIG-AIMS-03; AIG-AIMS-02</w:t>
            </w:r>
          </w:p>
        </w:tc>
      </w:tr>
      <w:tr>
        <w:tc>
          <w:tcPr>
            <w:tcW w:type="dxa" w:w="1760"/>
            <w:shd w:fill="FFFFFF" w:color="auto" w:val="clear"/>
            <w:tcMar>
              <w:top w:type="dxa" w:w="46"/>
              <w:left w:type="dxa" w:w="90"/>
              <w:bottom w:type="dxa" w:w="46"/>
              <w:right w:type="dxa" w:w="90"/>
            </w:tcMar>
          </w:tcPr>
          <w:p>
            <w:r>
              <w:t>6.1.4 AI system impact assessment</w:t>
            </w:r>
          </w:p>
        </w:tc>
        <w:tc>
          <w:tcPr>
            <w:tcW w:type="dxa" w:w="3160"/>
            <w:shd w:fill="FFFFFF" w:color="auto" w:val="clear"/>
            <w:tcMar>
              <w:top w:type="dxa" w:w="46"/>
              <w:left w:type="dxa" w:w="90"/>
              <w:bottom w:type="dxa" w:w="46"/>
              <w:right w:type="dxa" w:w="90"/>
            </w:tcMar>
          </w:tcPr>
          <w:p>
            <w:r>
              <w:t>Assess impacts of AI systems on individuals, groups and society.</w:t>
            </w:r>
          </w:p>
        </w:tc>
        <w:tc>
          <w:tcPr>
            <w:tcW w:type="dxa" w:w="2680"/>
            <w:shd w:fill="FFFFFF" w:color="auto" w:val="clear"/>
            <w:tcMar>
              <w:top w:type="dxa" w:w="46"/>
              <w:left w:type="dxa" w:w="90"/>
              <w:bottom w:type="dxa" w:w="46"/>
              <w:right w:type="dxa" w:w="90"/>
            </w:tcMar>
          </w:tcPr>
          <w:p>
            <w:r>
              <w:t>MAP — impacts to individuals, groups and society characterised</w:t>
            </w:r>
          </w:p>
        </w:tc>
        <w:tc>
          <w:tcPr>
            <w:tcW w:type="dxa" w:w="1760"/>
            <w:shd w:fill="FFFFFF" w:color="auto" w:val="clear"/>
            <w:tcMar>
              <w:top w:type="dxa" w:w="46"/>
              <w:left w:type="dxa" w:w="90"/>
              <w:bottom w:type="dxa" w:w="46"/>
              <w:right w:type="dxa" w:w="90"/>
            </w:tcMar>
          </w:tcPr>
          <w:p>
            <w:r>
              <w:t>AIG-AIMS-11; AIG-ASS-05, AIG-ASS-06, AIG-ASS-07, AIG-ASS-04</w:t>
            </w:r>
          </w:p>
        </w:tc>
      </w:tr>
      <w:tr>
        <w:tc>
          <w:tcPr>
            <w:tcW w:type="dxa" w:w="1760"/>
            <w:shd w:fill="F2F0EA" w:color="auto" w:val="clear"/>
            <w:tcMar>
              <w:top w:type="dxa" w:w="46"/>
              <w:left w:type="dxa" w:w="90"/>
              <w:bottom w:type="dxa" w:w="46"/>
              <w:right w:type="dxa" w:w="90"/>
            </w:tcMar>
          </w:tcPr>
          <w:p>
            <w:r>
              <w:t xml:space="preserve">6.2 AI objectives and planning to achieve them</w:t>
            </w:r>
          </w:p>
        </w:tc>
        <w:tc>
          <w:tcPr>
            <w:tcW w:type="dxa" w:w="3160"/>
            <w:shd w:fill="F2F0EA" w:color="auto" w:val="clear"/>
            <w:tcMar>
              <w:top w:type="dxa" w:w="46"/>
              <w:left w:type="dxa" w:w="90"/>
              <w:bottom w:type="dxa" w:w="46"/>
              <w:right w:type="dxa" w:w="90"/>
            </w:tcMar>
          </w:tcPr>
          <w:p>
            <w:r>
              <w:t>Establish measurable AI objectives and plans to achieve them.</w:t>
            </w:r>
          </w:p>
        </w:tc>
        <w:tc>
          <w:tcPr>
            <w:tcW w:type="dxa" w:w="2680"/>
            <w:shd w:fill="F2F0EA" w:color="auto" w:val="clear"/>
            <w:tcMar>
              <w:top w:type="dxa" w:w="46"/>
              <w:left w:type="dxa" w:w="90"/>
              <w:bottom w:type="dxa" w:w="46"/>
              <w:right w:type="dxa" w:w="90"/>
            </w:tcMar>
          </w:tcPr>
          <w:p>
            <w:r>
              <w:t>GOVERN — objectives aligned to principles</w:t>
            </w:r>
          </w:p>
        </w:tc>
        <w:tc>
          <w:tcPr>
            <w:tcW w:type="dxa" w:w="1760"/>
            <w:shd w:fill="F2F0EA" w:color="auto" w:val="clear"/>
            <w:tcMar>
              <w:top w:type="dxa" w:w="46"/>
              <w:left w:type="dxa" w:w="90"/>
              <w:bottom w:type="dxa" w:w="46"/>
              <w:right w:type="dxa" w:w="90"/>
            </w:tcMar>
          </w:tcPr>
          <w:p>
            <w:r>
              <w:t>AIG-AIMS-03</w:t>
            </w:r>
          </w:p>
        </w:tc>
      </w:tr>
      <w:tr>
        <w:tc>
          <w:tcPr>
            <w:tcW w:type="dxa" w:w="1760"/>
            <w:shd w:fill="F2F0EA" w:color="auto" w:val="clear"/>
            <w:tcMar>
              <w:top w:type="dxa" w:w="46"/>
              <w:left w:type="dxa" w:w="90"/>
              <w:bottom w:type="dxa" w:w="46"/>
              <w:right w:type="dxa" w:w="90"/>
            </w:tcMar>
          </w:tcPr>
          <w:p>
            <w:r>
              <w:t xml:space="preserve">6.3 Planning of changes</w:t>
            </w:r>
          </w:p>
        </w:tc>
        <w:tc>
          <w:tcPr>
            <w:tcW w:type="dxa" w:w="3160"/>
            <w:shd w:fill="F2F0EA" w:color="auto" w:val="clear"/>
            <w:tcMar>
              <w:top w:type="dxa" w:w="46"/>
              <w:left w:type="dxa" w:w="90"/>
              <w:bottom w:type="dxa" w:w="46"/>
              <w:right w:type="dxa" w:w="90"/>
            </w:tcMar>
          </w:tcPr>
          <w:p>
            <w:r>
              <w:t xml:space="preserve">Carry out changes to the AIMS in a planned manner.</w:t>
            </w:r>
          </w:p>
        </w:tc>
        <w:tc>
          <w:tcPr>
            <w:tcW w:type="dxa" w:w="2680"/>
            <w:shd w:fill="F2F0EA" w:color="auto" w:val="clear"/>
            <w:tcMar>
              <w:top w:type="dxa" w:w="46"/>
              <w:left w:type="dxa" w:w="90"/>
              <w:bottom w:type="dxa" w:w="46"/>
              <w:right w:type="dxa" w:w="90"/>
            </w:tcMar>
          </w:tcPr>
          <w:p>
            <w:r>
              <w:t xml:space="preserve">GOVERN — policies, processes and change management</w:t>
            </w:r>
          </w:p>
        </w:tc>
        <w:tc>
          <w:tcPr>
            <w:tcW w:type="dxa" w:w="1760"/>
            <w:shd w:fill="F2F0EA" w:color="auto" w:val="clear"/>
            <w:tcMar>
              <w:top w:type="dxa" w:w="46"/>
              <w:left w:type="dxa" w:w="90"/>
              <w:bottom w:type="dxa" w:w="46"/>
              <w:right w:type="dxa" w:w="90"/>
            </w:tcMar>
          </w:tcPr>
          <w:p>
            <w:r>
              <w:t xml:space="preserve">AIG-AIMS-01 §10; AIG-AIMS-05 (Change Register); AIG-AIMS-03</w:t>
            </w:r>
          </w:p>
        </w:tc>
      </w:tr>
      <w:tr>
        <w:tc>
          <w:tcPr>
            <w:tcW w:type="dxa" w:w="1760"/>
            <w:shd w:fill="FFFFFF" w:color="auto" w:val="clear"/>
            <w:tcMar>
              <w:top w:type="dxa" w:w="46"/>
              <w:left w:type="dxa" w:w="90"/>
              <w:bottom w:type="dxa" w:w="46"/>
              <w:right w:type="dxa" w:w="90"/>
            </w:tcMar>
          </w:tcPr>
          <w:p>
            <w:r>
              <w:t>7.1 Resources</w:t>
            </w:r>
          </w:p>
        </w:tc>
        <w:tc>
          <w:tcPr>
            <w:tcW w:type="dxa" w:w="3160"/>
            <w:shd w:fill="FFFFFF" w:color="auto" w:val="clear"/>
            <w:tcMar>
              <w:top w:type="dxa" w:w="46"/>
              <w:left w:type="dxa" w:w="90"/>
              <w:bottom w:type="dxa" w:w="46"/>
              <w:right w:type="dxa" w:w="90"/>
            </w:tcMar>
          </w:tcPr>
          <w:p>
            <w:r>
              <w:t>Determine and provide the resources needed for the AIMS.</w:t>
            </w:r>
          </w:p>
        </w:tc>
        <w:tc>
          <w:tcPr>
            <w:tcW w:type="dxa" w:w="2680"/>
            <w:shd w:fill="FFFFFF" w:color="auto" w:val="clear"/>
            <w:tcMar>
              <w:top w:type="dxa" w:w="46"/>
              <w:left w:type="dxa" w:w="90"/>
              <w:bottom w:type="dxa" w:w="46"/>
              <w:right w:type="dxa" w:w="90"/>
            </w:tcMar>
          </w:tcPr>
          <w:p>
            <w:r>
              <w:t>GOVERN — resourcing of the AI function</w:t>
            </w:r>
          </w:p>
        </w:tc>
        <w:tc>
          <w:tcPr>
            <w:tcW w:type="dxa" w:w="1760"/>
            <w:shd w:fill="FFFFFF" w:color="auto" w:val="clear"/>
            <w:tcMar>
              <w:top w:type="dxa" w:w="46"/>
              <w:left w:type="dxa" w:w="90"/>
              <w:bottom w:type="dxa" w:w="46"/>
              <w:right w:type="dxa" w:w="90"/>
            </w:tcMar>
          </w:tcPr>
          <w:p>
            <w:r>
              <w:t>AIG-AIMS-04; AIG-AIMS-03</w:t>
            </w:r>
          </w:p>
        </w:tc>
      </w:tr>
      <w:tr>
        <w:tc>
          <w:tcPr>
            <w:tcW w:type="dxa" w:w="1760"/>
            <w:shd w:fill="F2F0EA" w:color="auto" w:val="clear"/>
            <w:tcMar>
              <w:top w:type="dxa" w:w="46"/>
              <w:left w:type="dxa" w:w="90"/>
              <w:bottom w:type="dxa" w:w="46"/>
              <w:right w:type="dxa" w:w="90"/>
            </w:tcMar>
          </w:tcPr>
          <w:p>
            <w:r>
              <w:t>7.2 Competence</w:t>
            </w:r>
          </w:p>
        </w:tc>
        <w:tc>
          <w:tcPr>
            <w:tcW w:type="dxa" w:w="3160"/>
            <w:shd w:fill="F2F0EA" w:color="auto" w:val="clear"/>
            <w:tcMar>
              <w:top w:type="dxa" w:w="46"/>
              <w:left w:type="dxa" w:w="90"/>
              <w:bottom w:type="dxa" w:w="46"/>
              <w:right w:type="dxa" w:w="90"/>
            </w:tcMar>
          </w:tcPr>
          <w:p>
            <w:r>
              <w:t>Determine and ensure the necessary competence.</w:t>
            </w:r>
          </w:p>
        </w:tc>
        <w:tc>
          <w:tcPr>
            <w:tcW w:type="dxa" w:w="2680"/>
            <w:shd w:fill="F2F0EA" w:color="auto" w:val="clear"/>
            <w:tcMar>
              <w:top w:type="dxa" w:w="46"/>
              <w:left w:type="dxa" w:w="90"/>
              <w:bottom w:type="dxa" w:w="46"/>
              <w:right w:type="dxa" w:w="90"/>
            </w:tcMar>
          </w:tcPr>
          <w:p>
            <w:r>
              <w:t>GOVERN — workforce competence</w:t>
            </w:r>
          </w:p>
        </w:tc>
        <w:tc>
          <w:tcPr>
            <w:tcW w:type="dxa" w:w="1760"/>
            <w:shd w:fill="F2F0EA" w:color="auto" w:val="clear"/>
            <w:tcMar>
              <w:top w:type="dxa" w:w="46"/>
              <w:left w:type="dxa" w:w="90"/>
              <w:bottom w:type="dxa" w:w="46"/>
              <w:right w:type="dxa" w:w="90"/>
            </w:tcMar>
          </w:tcPr>
          <w:p>
            <w:r>
              <w:t>AIG-AIMS-04</w:t>
            </w:r>
          </w:p>
        </w:tc>
      </w:tr>
      <w:tr>
        <w:tc>
          <w:tcPr>
            <w:tcW w:type="dxa" w:w="1760"/>
            <w:shd w:fill="FFFFFF" w:color="auto" w:val="clear"/>
            <w:tcMar>
              <w:top w:type="dxa" w:w="46"/>
              <w:left w:type="dxa" w:w="90"/>
              <w:bottom w:type="dxa" w:w="46"/>
              <w:right w:type="dxa" w:w="90"/>
            </w:tcMar>
          </w:tcPr>
          <w:p>
            <w:r>
              <w:t>7.3 Awareness</w:t>
            </w:r>
          </w:p>
        </w:tc>
        <w:tc>
          <w:tcPr>
            <w:tcW w:type="dxa" w:w="3160"/>
            <w:shd w:fill="FFFFFF" w:color="auto" w:val="clear"/>
            <w:tcMar>
              <w:top w:type="dxa" w:w="46"/>
              <w:left w:type="dxa" w:w="90"/>
              <w:bottom w:type="dxa" w:w="46"/>
              <w:right w:type="dxa" w:w="90"/>
            </w:tcMar>
          </w:tcPr>
          <w:p>
            <w:r>
              <w:t>Ensure persons are aware of the policy and their contribution.</w:t>
            </w:r>
          </w:p>
        </w:tc>
        <w:tc>
          <w:tcPr>
            <w:tcW w:type="dxa" w:w="2680"/>
            <w:shd w:fill="FFFFFF" w:color="auto" w:val="clear"/>
            <w:tcMar>
              <w:top w:type="dxa" w:w="46"/>
              <w:left w:type="dxa" w:w="90"/>
              <w:bottom w:type="dxa" w:w="46"/>
              <w:right w:type="dxa" w:w="90"/>
            </w:tcMar>
          </w:tcPr>
          <w:p>
            <w:r>
              <w:t>GOVERN — culture and awareness</w:t>
            </w:r>
          </w:p>
        </w:tc>
        <w:tc>
          <w:tcPr>
            <w:tcW w:type="dxa" w:w="1760"/>
            <w:shd w:fill="FFFFFF" w:color="auto" w:val="clear"/>
            <w:tcMar>
              <w:top w:type="dxa" w:w="46"/>
              <w:left w:type="dxa" w:w="90"/>
              <w:bottom w:type="dxa" w:w="46"/>
              <w:right w:type="dxa" w:w="90"/>
            </w:tcMar>
          </w:tcPr>
          <w:p>
            <w:r>
              <w:t>AIG-AIMS-04; AIG-INV-01</w:t>
            </w:r>
          </w:p>
        </w:tc>
      </w:tr>
      <w:tr>
        <w:tc>
          <w:tcPr>
            <w:tcW w:type="dxa" w:w="1760"/>
            <w:shd w:fill="F2F0EA" w:color="auto" w:val="clear"/>
            <w:tcMar>
              <w:top w:type="dxa" w:w="46"/>
              <w:left w:type="dxa" w:w="90"/>
              <w:bottom w:type="dxa" w:w="46"/>
              <w:right w:type="dxa" w:w="90"/>
            </w:tcMar>
          </w:tcPr>
          <w:p>
            <w:r>
              <w:t>7.4 Communication</w:t>
            </w:r>
          </w:p>
        </w:tc>
        <w:tc>
          <w:tcPr>
            <w:tcW w:type="dxa" w:w="3160"/>
            <w:shd w:fill="F2F0EA" w:color="auto" w:val="clear"/>
            <w:tcMar>
              <w:top w:type="dxa" w:w="46"/>
              <w:left w:type="dxa" w:w="90"/>
              <w:bottom w:type="dxa" w:w="46"/>
              <w:right w:type="dxa" w:w="90"/>
            </w:tcMar>
          </w:tcPr>
          <w:p>
            <w:r>
              <w:t>Determine internal and external communications relevant to the AIMS.</w:t>
            </w:r>
          </w:p>
        </w:tc>
        <w:tc>
          <w:tcPr>
            <w:tcW w:type="dxa" w:w="2680"/>
            <w:shd w:fill="F2F0EA" w:color="auto" w:val="clear"/>
            <w:tcMar>
              <w:top w:type="dxa" w:w="46"/>
              <w:left w:type="dxa" w:w="90"/>
              <w:bottom w:type="dxa" w:w="46"/>
              <w:right w:type="dxa" w:w="90"/>
            </w:tcMar>
          </w:tcPr>
          <w:p>
            <w:r>
              <w:t>GOVERN — communication and engagement</w:t>
            </w:r>
          </w:p>
        </w:tc>
        <w:tc>
          <w:tcPr>
            <w:tcW w:type="dxa" w:w="1760"/>
            <w:shd w:fill="F2F0EA" w:color="auto" w:val="clear"/>
            <w:tcMar>
              <w:top w:type="dxa" w:w="46"/>
              <w:left w:type="dxa" w:w="90"/>
              <w:bottom w:type="dxa" w:w="46"/>
              <w:right w:type="dxa" w:w="90"/>
            </w:tcMar>
          </w:tcPr>
          <w:p>
            <w:r>
              <w:t>AIG-AIMS-04</w:t>
            </w:r>
          </w:p>
        </w:tc>
      </w:tr>
      <w:tr>
        <w:tc>
          <w:tcPr>
            <w:tcW w:type="dxa" w:w="1760"/>
            <w:shd w:fill="FFFFFF" w:color="auto" w:val="clear"/>
            <w:tcMar>
              <w:top w:type="dxa" w:w="46"/>
              <w:left w:type="dxa" w:w="90"/>
              <w:bottom w:type="dxa" w:w="46"/>
              <w:right w:type="dxa" w:w="90"/>
            </w:tcMar>
          </w:tcPr>
          <w:p>
            <w:r>
              <w:t>7.5 Documented information</w:t>
            </w:r>
          </w:p>
        </w:tc>
        <w:tc>
          <w:tcPr>
            <w:tcW w:type="dxa" w:w="3160"/>
            <w:shd w:fill="FFFFFF" w:color="auto" w:val="clear"/>
            <w:tcMar>
              <w:top w:type="dxa" w:w="46"/>
              <w:left w:type="dxa" w:w="90"/>
              <w:bottom w:type="dxa" w:w="46"/>
              <w:right w:type="dxa" w:w="90"/>
            </w:tcMar>
          </w:tcPr>
          <w:p>
            <w:r>
              <w:t>Create, update and control documented information.</w:t>
            </w:r>
          </w:p>
        </w:tc>
        <w:tc>
          <w:tcPr>
            <w:tcW w:type="dxa" w:w="2680"/>
            <w:shd w:fill="FFFFFF" w:color="auto" w:val="clear"/>
            <w:tcMar>
              <w:top w:type="dxa" w:w="46"/>
              <w:left w:type="dxa" w:w="90"/>
              <w:bottom w:type="dxa" w:w="46"/>
              <w:right w:type="dxa" w:w="90"/>
            </w:tcMar>
          </w:tcPr>
          <w:p>
            <w:r>
              <w:t>GOVERN — documentation and record-keeping</w:t>
            </w:r>
          </w:p>
        </w:tc>
        <w:tc>
          <w:tcPr>
            <w:tcW w:type="dxa" w:w="1760"/>
            <w:shd w:fill="FFFFFF" w:color="auto" w:val="clear"/>
            <w:tcMar>
              <w:top w:type="dxa" w:w="46"/>
              <w:left w:type="dxa" w:w="90"/>
              <w:bottom w:type="dxa" w:w="46"/>
              <w:right w:type="dxa" w:w="90"/>
            </w:tcMar>
          </w:tcPr>
          <w:p>
            <w:r>
              <w:t>AIG-GOV-01, AIG-GOV-03, AIG-INV-04/AIG-DEC-04 Evidence Index, AIG-DEC-03/approved minutes, AIG-AIMS-05 and AIG-AIMS-13; verify versions, retention and completed records (proposed design mapping only)</w:t>
            </w:r>
          </w:p>
        </w:tc>
      </w:tr>
      <w:tr>
        <w:tc>
          <w:tcPr>
            <w:tcW w:type="dxa" w:w="1760"/>
            <w:shd w:fill="F2F0EA" w:color="auto" w:val="clear"/>
            <w:tcMar>
              <w:top w:type="dxa" w:w="46"/>
              <w:left w:type="dxa" w:w="90"/>
              <w:bottom w:type="dxa" w:w="46"/>
              <w:right w:type="dxa" w:w="90"/>
            </w:tcMar>
          </w:tcPr>
          <w:p>
            <w:r>
              <w:t>8.1 Operational planning and control</w:t>
            </w:r>
          </w:p>
        </w:tc>
        <w:tc>
          <w:tcPr>
            <w:tcW w:type="dxa" w:w="3160"/>
            <w:shd w:fill="F2F0EA" w:color="auto" w:val="clear"/>
            <w:tcMar>
              <w:top w:type="dxa" w:w="46"/>
              <w:left w:type="dxa" w:w="90"/>
              <w:bottom w:type="dxa" w:w="46"/>
              <w:right w:type="dxa" w:w="90"/>
            </w:tcMar>
          </w:tcPr>
          <w:p>
            <w:r>
              <w:t>Plan, implement and control the processes needed for AI.</w:t>
            </w:r>
          </w:p>
        </w:tc>
        <w:tc>
          <w:tcPr>
            <w:tcW w:type="dxa" w:w="2680"/>
            <w:shd w:fill="F2F0EA" w:color="auto" w:val="clear"/>
            <w:tcMar>
              <w:top w:type="dxa" w:w="46"/>
              <w:left w:type="dxa" w:w="90"/>
              <w:bottom w:type="dxa" w:w="46"/>
              <w:right w:type="dxa" w:w="90"/>
            </w:tcMar>
          </w:tcPr>
          <w:p>
            <w:r>
              <w:t>MANAGE — operational planning and control</w:t>
            </w:r>
          </w:p>
        </w:tc>
        <w:tc>
          <w:tcPr>
            <w:tcW w:type="dxa" w:w="1760"/>
            <w:shd w:fill="F2F0EA" w:color="auto" w:val="clear"/>
            <w:tcMar>
              <w:top w:type="dxa" w:w="46"/>
              <w:left w:type="dxa" w:w="90"/>
              <w:bottom w:type="dxa" w:w="46"/>
              <w:right w:type="dxa" w:w="90"/>
            </w:tcMar>
          </w:tcPr>
          <w:p>
            <w:r>
              <w:t>PB Ch.3–6; AIG-ASS-03, AIG-OPS-01</w:t>
            </w:r>
          </w:p>
        </w:tc>
      </w:tr>
      <w:tr>
        <w:tc>
          <w:tcPr>
            <w:tcW w:type="dxa" w:w="1760"/>
            <w:shd w:fill="FFFFFF" w:color="auto" w:val="clear"/>
            <w:tcMar>
              <w:top w:type="dxa" w:w="46"/>
              <w:left w:type="dxa" w:w="90"/>
              <w:bottom w:type="dxa" w:w="46"/>
              <w:right w:type="dxa" w:w="90"/>
            </w:tcMar>
          </w:tcPr>
          <w:p>
            <w:r>
              <w:t xml:space="preserve">8.2 AI risk assessment</w:t>
            </w:r>
          </w:p>
        </w:tc>
        <w:tc>
          <w:tcPr>
            <w:tcW w:type="dxa" w:w="3160"/>
            <w:shd w:fill="FFFFFF" w:color="auto" w:val="clear"/>
            <w:tcMar>
              <w:top w:type="dxa" w:w="46"/>
              <w:left w:type="dxa" w:w="90"/>
              <w:bottom w:type="dxa" w:w="46"/>
              <w:right w:type="dxa" w:w="90"/>
            </w:tcMar>
          </w:tcPr>
          <w:p>
            <w:r>
              <w:t>Perform AI risk assessments at planned intervals and on change.</w:t>
            </w:r>
          </w:p>
        </w:tc>
        <w:tc>
          <w:tcPr>
            <w:tcW w:type="dxa" w:w="2680"/>
            <w:shd w:fill="FFFFFF" w:color="auto" w:val="clear"/>
            <w:tcMar>
              <w:top w:type="dxa" w:w="46"/>
              <w:left w:type="dxa" w:w="90"/>
              <w:bottom w:type="dxa" w:w="46"/>
              <w:right w:type="dxa" w:w="90"/>
            </w:tcMar>
          </w:tcPr>
          <w:p>
            <w:r>
              <w:t>MAP / MEASURE — operational risk assessment</w:t>
            </w:r>
          </w:p>
        </w:tc>
        <w:tc>
          <w:tcPr>
            <w:tcW w:type="dxa" w:w="1760"/>
            <w:shd w:fill="FFFFFF" w:color="auto" w:val="clear"/>
            <w:tcMar>
              <w:top w:type="dxa" w:w="46"/>
              <w:left w:type="dxa" w:w="90"/>
              <w:bottom w:type="dxa" w:w="46"/>
              <w:right w:type="dxa" w:w="90"/>
            </w:tcMar>
          </w:tcPr>
          <w:p>
            <w:r>
              <w:t>AIG-ASS-02, AIG-INV-04</w:t>
            </w:r>
          </w:p>
        </w:tc>
      </w:tr>
      <w:tr>
        <w:tc>
          <w:tcPr>
            <w:tcW w:type="dxa" w:w="1760"/>
            <w:shd w:fill="F2F0EA" w:color="auto" w:val="clear"/>
            <w:tcMar>
              <w:top w:type="dxa" w:w="46"/>
              <w:left w:type="dxa" w:w="90"/>
              <w:bottom w:type="dxa" w:w="46"/>
              <w:right w:type="dxa" w:w="90"/>
            </w:tcMar>
          </w:tcPr>
          <w:p>
            <w:r>
              <w:t xml:space="preserve">8.3 AI risk treatment</w:t>
            </w:r>
          </w:p>
        </w:tc>
        <w:tc>
          <w:tcPr>
            <w:tcW w:type="dxa" w:w="3160"/>
            <w:shd w:fill="F2F0EA" w:color="auto" w:val="clear"/>
            <w:tcMar>
              <w:top w:type="dxa" w:w="46"/>
              <w:left w:type="dxa" w:w="90"/>
              <w:bottom w:type="dxa" w:w="46"/>
              <w:right w:type="dxa" w:w="90"/>
            </w:tcMar>
          </w:tcPr>
          <w:p>
            <w:r>
              <w:t>Implement risk treatment and record the decisions.</w:t>
            </w:r>
          </w:p>
        </w:tc>
        <w:tc>
          <w:tcPr>
            <w:tcW w:type="dxa" w:w="2680"/>
            <w:shd w:fill="F2F0EA" w:color="auto" w:val="clear"/>
            <w:tcMar>
              <w:top w:type="dxa" w:w="46"/>
              <w:left w:type="dxa" w:w="90"/>
              <w:bottom w:type="dxa" w:w="46"/>
              <w:right w:type="dxa" w:w="90"/>
            </w:tcMar>
          </w:tcPr>
          <w:p>
            <w:r>
              <w:t>MANAGE — operational risk treatment</w:t>
            </w:r>
          </w:p>
        </w:tc>
        <w:tc>
          <w:tcPr>
            <w:tcW w:type="dxa" w:w="1760"/>
            <w:shd w:fill="F2F0EA" w:color="auto" w:val="clear"/>
            <w:tcMar>
              <w:top w:type="dxa" w:w="46"/>
              <w:left w:type="dxa" w:w="90"/>
              <w:bottom w:type="dxa" w:w="46"/>
              <w:right w:type="dxa" w:w="90"/>
            </w:tcMar>
          </w:tcPr>
          <w:p>
            <w:r>
              <w:t>AIG-AIMS-02, AIG-DEC-03</w:t>
            </w:r>
          </w:p>
        </w:tc>
      </w:tr>
      <w:tr>
        <w:tc>
          <w:tcPr>
            <w:tcW w:type="dxa" w:w="1760"/>
            <w:shd w:fill="FFFFFF" w:color="auto" w:val="clear"/>
            <w:tcMar>
              <w:top w:type="dxa" w:w="46"/>
              <w:left w:type="dxa" w:w="90"/>
              <w:bottom w:type="dxa" w:w="46"/>
              <w:right w:type="dxa" w:w="90"/>
            </w:tcMar>
          </w:tcPr>
          <w:p>
            <w:r>
              <w:t xml:space="preserve">8.4 AI system impact assessment</w:t>
            </w:r>
          </w:p>
        </w:tc>
        <w:tc>
          <w:tcPr>
            <w:tcW w:type="dxa" w:w="3160"/>
            <w:shd w:fill="FFFFFF" w:color="auto" w:val="clear"/>
            <w:tcMar>
              <w:top w:type="dxa" w:w="46"/>
              <w:left w:type="dxa" w:w="90"/>
              <w:bottom w:type="dxa" w:w="46"/>
              <w:right w:type="dxa" w:w="90"/>
            </w:tcMar>
          </w:tcPr>
          <w:p>
            <w:r>
              <w:t>Perform impact assessments at planned intervals and on change.</w:t>
            </w:r>
          </w:p>
        </w:tc>
        <w:tc>
          <w:tcPr>
            <w:tcW w:type="dxa" w:w="2680"/>
            <w:shd w:fill="FFFFFF" w:color="auto" w:val="clear"/>
            <w:tcMar>
              <w:top w:type="dxa" w:w="46"/>
              <w:left w:type="dxa" w:w="90"/>
              <w:bottom w:type="dxa" w:w="46"/>
              <w:right w:type="dxa" w:w="90"/>
            </w:tcMar>
          </w:tcPr>
          <w:p>
            <w:r>
              <w:t>MAP / MEASURE — operational impact assessment</w:t>
            </w:r>
          </w:p>
        </w:tc>
        <w:tc>
          <w:tcPr>
            <w:tcW w:type="dxa" w:w="1760"/>
            <w:shd w:fill="FFFFFF" w:color="auto" w:val="clear"/>
            <w:tcMar>
              <w:top w:type="dxa" w:w="46"/>
              <w:left w:type="dxa" w:w="90"/>
              <w:bottom w:type="dxa" w:w="46"/>
              <w:right w:type="dxa" w:w="90"/>
            </w:tcMar>
          </w:tcPr>
          <w:p>
            <w:r>
              <w:t>AIG-ASS-05, AIG-ASS-06, AIG-ASS-07, AIG-ASS-04</w:t>
            </w:r>
          </w:p>
        </w:tc>
      </w:tr>
      <w:tr>
        <w:tc>
          <w:tcPr>
            <w:tcW w:type="dxa" w:w="1760"/>
            <w:shd w:fill="F2F0EA" w:color="auto" w:val="clear"/>
            <w:tcMar>
              <w:top w:type="dxa" w:w="46"/>
              <w:left w:type="dxa" w:w="90"/>
              <w:bottom w:type="dxa" w:w="46"/>
              <w:right w:type="dxa" w:w="90"/>
            </w:tcMar>
          </w:tcPr>
          <w:p>
            <w:r>
              <w:t>9.1 Monitoring, measurement, analysis and evaluation</w:t>
            </w:r>
          </w:p>
        </w:tc>
        <w:tc>
          <w:tcPr>
            <w:tcW w:type="dxa" w:w="3160"/>
            <w:shd w:fill="F2F0EA" w:color="auto" w:val="clear"/>
            <w:tcMar>
              <w:top w:type="dxa" w:w="46"/>
              <w:left w:type="dxa" w:w="90"/>
              <w:bottom w:type="dxa" w:w="46"/>
              <w:right w:type="dxa" w:w="90"/>
            </w:tcMar>
          </w:tcPr>
          <w:p>
            <w:r>
              <w:t>Determine what, how and when to monitor, and evaluate results.</w:t>
            </w:r>
          </w:p>
        </w:tc>
        <w:tc>
          <w:tcPr>
            <w:tcW w:type="dxa" w:w="2680"/>
            <w:shd w:fill="F2F0EA" w:color="auto" w:val="clear"/>
            <w:tcMar>
              <w:top w:type="dxa" w:w="46"/>
              <w:left w:type="dxa" w:w="90"/>
              <w:bottom w:type="dxa" w:w="46"/>
              <w:right w:type="dxa" w:w="90"/>
            </w:tcMar>
          </w:tcPr>
          <w:p>
            <w:r>
              <w:t>MEASURE — monitoring, measurement and evaluation</w:t>
            </w:r>
          </w:p>
        </w:tc>
        <w:tc>
          <w:tcPr>
            <w:tcW w:type="dxa" w:w="1760"/>
            <w:shd w:fill="F2F0EA" w:color="auto" w:val="clear"/>
            <w:tcMar>
              <w:top w:type="dxa" w:w="46"/>
              <w:left w:type="dxa" w:w="90"/>
              <w:bottom w:type="dxa" w:w="46"/>
              <w:right w:type="dxa" w:w="90"/>
            </w:tcMar>
          </w:tcPr>
          <w:p>
            <w:r>
              <w:t xml:space="preserve">AIG-AIMS-10; PB §6.4, §6.6; AIG-OPS-06, AIG-OPS-05</w:t>
            </w:r>
          </w:p>
        </w:tc>
      </w:tr>
      <w:tr>
        <w:tc>
          <w:tcPr>
            <w:tcW w:type="dxa" w:w="1760"/>
            <w:shd w:fill="FFFFFF" w:color="auto" w:val="clear"/>
            <w:tcMar>
              <w:top w:type="dxa" w:w="46"/>
              <w:left w:type="dxa" w:w="90"/>
              <w:bottom w:type="dxa" w:w="46"/>
              <w:right w:type="dxa" w:w="90"/>
            </w:tcMar>
          </w:tcPr>
          <w:p>
            <w:r>
              <w:t>9.2 Internal audit</w:t>
            </w:r>
          </w:p>
        </w:tc>
        <w:tc>
          <w:tcPr>
            <w:tcW w:type="dxa" w:w="3160"/>
            <w:shd w:fill="FFFFFF" w:color="auto" w:val="clear"/>
            <w:tcMar>
              <w:top w:type="dxa" w:w="46"/>
              <w:left w:type="dxa" w:w="90"/>
              <w:bottom w:type="dxa" w:w="46"/>
              <w:right w:type="dxa" w:w="90"/>
            </w:tcMar>
          </w:tcPr>
          <w:p>
            <w:r>
              <w:t>Run a planned internal audit programme and report results.</w:t>
            </w:r>
          </w:p>
        </w:tc>
        <w:tc>
          <w:tcPr>
            <w:tcW w:type="dxa" w:w="2680"/>
            <w:shd w:fill="FFFFFF" w:color="auto" w:val="clear"/>
            <w:tcMar>
              <w:top w:type="dxa" w:w="46"/>
              <w:left w:type="dxa" w:w="90"/>
              <w:bottom w:type="dxa" w:w="46"/>
              <w:right w:type="dxa" w:w="90"/>
            </w:tcMar>
          </w:tcPr>
          <w:p>
            <w:r>
              <w:t>MEASURE / GOVERN — independent assurance</w:t>
            </w:r>
          </w:p>
        </w:tc>
        <w:tc>
          <w:tcPr>
            <w:tcW w:type="dxa" w:w="1760"/>
            <w:shd w:fill="FFFFFF" w:color="auto" w:val="clear"/>
            <w:tcMar>
              <w:top w:type="dxa" w:w="46"/>
              <w:left w:type="dxa" w:w="90"/>
              <w:bottom w:type="dxa" w:w="46"/>
              <w:right w:type="dxa" w:w="90"/>
            </w:tcMar>
          </w:tcPr>
          <w:p>
            <w:r>
              <w:t>AIG-AIMS-07; PB §6.7</w:t>
            </w:r>
          </w:p>
        </w:tc>
      </w:tr>
      <w:tr>
        <w:tc>
          <w:tcPr>
            <w:tcW w:type="dxa" w:w="1760"/>
            <w:shd w:fill="F2F0EA" w:color="auto" w:val="clear"/>
            <w:tcMar>
              <w:top w:type="dxa" w:w="46"/>
              <w:left w:type="dxa" w:w="90"/>
              <w:bottom w:type="dxa" w:w="46"/>
              <w:right w:type="dxa" w:w="90"/>
            </w:tcMar>
          </w:tcPr>
          <w:p>
            <w:r>
              <w:t>9.3 Management review</w:t>
            </w:r>
          </w:p>
        </w:tc>
        <w:tc>
          <w:tcPr>
            <w:tcW w:type="dxa" w:w="3160"/>
            <w:shd w:fill="F2F0EA" w:color="auto" w:val="clear"/>
            <w:tcMar>
              <w:top w:type="dxa" w:w="46"/>
              <w:left w:type="dxa" w:w="90"/>
              <w:bottom w:type="dxa" w:w="46"/>
              <w:right w:type="dxa" w:w="90"/>
            </w:tcMar>
          </w:tcPr>
          <w:p>
            <w:r>
              <w:t>Top management reviews the AIMS at planned intervals.</w:t>
            </w:r>
          </w:p>
        </w:tc>
        <w:tc>
          <w:tcPr>
            <w:tcW w:type="dxa" w:w="2680"/>
            <w:shd w:fill="F2F0EA" w:color="auto" w:val="clear"/>
            <w:tcMar>
              <w:top w:type="dxa" w:w="46"/>
              <w:left w:type="dxa" w:w="90"/>
              <w:bottom w:type="dxa" w:w="46"/>
              <w:right w:type="dxa" w:w="90"/>
            </w:tcMar>
          </w:tcPr>
          <w:p>
            <w:r>
              <w:t>GOVERN / MANAGE — management review and oversight</w:t>
            </w:r>
          </w:p>
        </w:tc>
        <w:tc>
          <w:tcPr>
            <w:tcW w:type="dxa" w:w="1760"/>
            <w:shd w:fill="F2F0EA" w:color="auto" w:val="clear"/>
            <w:tcMar>
              <w:top w:type="dxa" w:w="46"/>
              <w:left w:type="dxa" w:w="90"/>
              <w:bottom w:type="dxa" w:w="46"/>
              <w:right w:type="dxa" w:w="90"/>
            </w:tcMar>
          </w:tcPr>
          <w:p>
            <w:r>
              <w:t>AIG-AIMS-09</w:t>
            </w:r>
          </w:p>
        </w:tc>
      </w:tr>
      <w:tr>
        <w:tc>
          <w:tcPr>
            <w:tcW w:type="dxa" w:w="1760"/>
            <w:shd w:fill="FFFFFF" w:color="auto" w:val="clear"/>
            <w:tcMar>
              <w:top w:type="dxa" w:w="46"/>
              <w:left w:type="dxa" w:w="90"/>
              <w:bottom w:type="dxa" w:w="46"/>
              <w:right w:type="dxa" w:w="90"/>
            </w:tcMar>
          </w:tcPr>
          <w:p>
            <w:r>
              <w:t>10.1 Continual improvement</w:t>
            </w:r>
          </w:p>
        </w:tc>
        <w:tc>
          <w:tcPr>
            <w:tcW w:type="dxa" w:w="3160"/>
            <w:shd w:fill="FFFFFF" w:color="auto" w:val="clear"/>
            <w:tcMar>
              <w:top w:type="dxa" w:w="46"/>
              <w:left w:type="dxa" w:w="90"/>
              <w:bottom w:type="dxa" w:w="46"/>
              <w:right w:type="dxa" w:w="90"/>
            </w:tcMar>
          </w:tcPr>
          <w:p>
            <w:r>
              <w:t>Continually improve the suitability and effectiveness of the AIMS.</w:t>
            </w:r>
          </w:p>
        </w:tc>
        <w:tc>
          <w:tcPr>
            <w:tcW w:type="dxa" w:w="2680"/>
            <w:shd w:fill="FFFFFF" w:color="auto" w:val="clear"/>
            <w:tcMar>
              <w:top w:type="dxa" w:w="46"/>
              <w:left w:type="dxa" w:w="90"/>
              <w:bottom w:type="dxa" w:w="46"/>
              <w:right w:type="dxa" w:w="90"/>
            </w:tcMar>
          </w:tcPr>
          <w:p>
            <w:r>
              <w:t>MANAGE — continual improvement</w:t>
            </w:r>
          </w:p>
        </w:tc>
        <w:tc>
          <w:tcPr>
            <w:tcW w:type="dxa" w:w="1760"/>
            <w:shd w:fill="FFFFFF" w:color="auto" w:val="clear"/>
            <w:tcMar>
              <w:top w:type="dxa" w:w="46"/>
              <w:left w:type="dxa" w:w="90"/>
              <w:bottom w:type="dxa" w:w="46"/>
              <w:right w:type="dxa" w:w="90"/>
            </w:tcMar>
          </w:tcPr>
          <w:p>
            <w:r>
              <w:t>AIG-AIMS-03</w:t>
            </w:r>
          </w:p>
        </w:tc>
      </w:tr>
      <w:tr>
        <w:tc>
          <w:tcPr>
            <w:tcW w:type="dxa" w:w="1760"/>
            <w:shd w:fill="F2F0EA" w:color="auto" w:val="clear"/>
            <w:tcMar>
              <w:top w:type="dxa" w:w="46"/>
              <w:left w:type="dxa" w:w="90"/>
              <w:bottom w:type="dxa" w:w="46"/>
              <w:right w:type="dxa" w:w="90"/>
            </w:tcMar>
          </w:tcPr>
          <w:p>
            <w:r>
              <w:t>10.2 Nonconformity and corrective action</w:t>
            </w:r>
          </w:p>
        </w:tc>
        <w:tc>
          <w:tcPr>
            <w:tcW w:type="dxa" w:w="3160"/>
            <w:shd w:fill="F2F0EA" w:color="auto" w:val="clear"/>
            <w:tcMar>
              <w:top w:type="dxa" w:w="46"/>
              <w:left w:type="dxa" w:w="90"/>
              <w:bottom w:type="dxa" w:w="46"/>
              <w:right w:type="dxa" w:w="90"/>
            </w:tcMar>
          </w:tcPr>
          <w:p>
            <w:r>
              <w:t>React to nonconformity, correct it and prevent recurrence.</w:t>
            </w:r>
          </w:p>
        </w:tc>
        <w:tc>
          <w:tcPr>
            <w:tcW w:type="dxa" w:w="2680"/>
            <w:shd w:fill="F2F0EA" w:color="auto" w:val="clear"/>
            <w:tcMar>
              <w:top w:type="dxa" w:w="46"/>
              <w:left w:type="dxa" w:w="90"/>
              <w:bottom w:type="dxa" w:w="46"/>
              <w:right w:type="dxa" w:w="90"/>
            </w:tcMar>
          </w:tcPr>
          <w:p>
            <w:r>
              <w:t>MANAGE — respond to and correct nonconformity / incidents</w:t>
            </w:r>
          </w:p>
        </w:tc>
        <w:tc>
          <w:tcPr>
            <w:tcW w:type="dxa" w:w="1760"/>
            <w:shd w:fill="F2F0EA" w:color="auto" w:val="clear"/>
            <w:tcMar>
              <w:top w:type="dxa" w:w="46"/>
              <w:left w:type="dxa" w:w="90"/>
              <w:bottom w:type="dxa" w:w="46"/>
              <w:right w:type="dxa" w:w="90"/>
            </w:tcMar>
          </w:tcPr>
          <w:p>
            <w:r>
              <w:t>AIG-AIMS-08; PB §6.8</w:t>
            </w:r>
          </w:p>
        </w:tc>
      </w:tr>
    </w:tbl>
    <w:p>
      <w:pPr>
        <w:pBdr>
          <w:bottom w:val="single" w:color="C8AB36" w:sz="12" w:space="4"/>
        </w:pBdr>
        <w:spacing w:after="100" w:before="160"/>
      </w:pPr>
      <w:r>
        <w:t>Notes</w:t>
      </w:r>
    </w:p>
    <w:p>
      <w:pPr>
        <w:spacing w:after="120"/>
      </w:pPr>
      <w:r>
        <w:t xml:space="preserve">Clause summaries and evidence references are taken from the Council's own Clause Conformity Register (AIG-AIMS-06); ISO/IEC 42001 clause text is not reproduced; clause titles follow the published standard (which uses “-ize” spelling) and must be validated against the Council’s licensed copy, while explanatory text uses UK spelling. The NIST AI RMF column is a voluntary function-level alignment (Govern, Map, Measure, Manage), not a claim of NIST conformity, and is to be validated against the NIST AI RMF-to-ISO/IEC 42001 crosswalk. NIST AI Risk Management Framework (AI RMF 1.0; NIST AI 100-1, January 2023) is voluntary. This artefact is a draft design mapping and is not evidence of clause operation or verified conformity.</w:t>
      </w:r>
    </w:p>
    <w:p>
      <w:r>
        <w:br w:type="page"/>
      </w:r>
    </w:p>
    <w:p>
      <w:pPr>
        <w:spacing w:before="160" w:after="160"/>
      </w:pPr>
      <w:r>
        <w:rPr>
          <w:b/>
          <w:color w:val="1F4E79"/>
          <w:sz w:val="32"/>
        </w:rPr>
        <w:t>PROPOSED INTEGRATION ADDITIONS — REVIEW REQUIRED</w:t>
      </w:r>
    </w:p>
    <w:p>
      <w:pPr/>
      <w:r>
        <w:t>Proposed map boundary in clause crosswalk</w:t>
      </w:r>
    </w:p>
    <w:p>
      <w:pPr/>
      <w:r>
        <w:t>AIG-INV-05 may be cited as a descriptive source pointer when explaining a system or capability relationship; it is not a conformity assessment, control implementation record, or source of evidence for any ISO/IEC 42001 clause. Any claim of conformity must be supported by the relevant controlled records, documented sources, owner review and audit evidence.</w:t>
      </w:r>
    </w:p>
    <w:p>
      <w:r>
        <w:rPr>
          <w:b/>
          <w:color w:val="9C0006"/>
        </w:rPr>
        <w:t xml:space="preserve">NOT APPROVED. </w:t>
      </w:r>
      <w:r>
        <w:t xml:space="preserve">Additive review annex only; original paragraphs and tables above are retained. These proposals do not record live facts, completed actions, delegated authority, Council adoption or approval. Until an approved migration, the current Register and Gate Log practice remains authoritative; the AIG-INV-04/AIG-DEC-04 joins below are proposed design only.</w:t>
      </w:r>
    </w:p>
    <w:p>
      <w:pPr>
        <w:spacing w:before="160" w:after="60"/>
      </w:pPr>
      <w:r>
        <w:rPr>
          <w:b/>
          <w:color w:val="1F4E79"/>
          <w:sz w:val="24"/>
        </w:rPr>
        <w:t>Crosswalk status</w:t>
      </w:r>
    </w:p>
    <w:p>
      <w:pPr>
        <w:keepLines/>
        <w:spacing w:after="120"/>
      </w:pPr>
      <w:r>
        <w:t>This artefact remains a design crosswalk derived from AIG-AIMS-06. Preserve its clause-to-NIST function and Council artefact mapping as a working proposal; it neither reproduces licensed ISO text nor evidences Council conformity, adoption, implementation or NIST conformity. NIST AI RMF 1.0 alignment is voluntary and requires owner validation.</w:t>
      </w:r>
    </w:p>
    <w:p>
      <w:pPr>
        <w:spacing w:before="160" w:after="60"/>
      </w:pPr>
      <w:r>
        <w:rPr>
          <w:b/>
          <w:color w:val="1F4E79"/>
          <w:sz w:val="24"/>
        </w:rPr>
        <w:t>Clause-level record ownership</w:t>
      </w:r>
    </w:p>
    <w:p>
      <w:pPr>
        <w:keepLines/>
        <w:spacing w:after="120"/>
      </w:pPr>
      <w:r>
        <w:t>Keep ISO clause and NIST AI RMF 1.0 function mapping at AIMS level in this crosswalk and AIG-AIMS-06. The NIST framework is voluntary; describe the mapping as alignment, not conformity. Use cited artefacts as design references; do not duplicate decisions, register rows, assessments or evidence. Validate terminology and external-framework correspondence against authoritative/licensed sources and document proposed changes through controlled review.</w:t>
      </w:r>
    </w:p>
    <w:p>
      <w:pPr>
        <w:spacing w:before="160" w:after="60"/>
      </w:pPr>
      <w:r>
        <w:rPr>
          <w:b/>
          <w:color w:val="1F4E79"/>
          <w:sz w:val="24"/>
        </w:rPr>
        <w:t>Proposed AIG-INV-04 system join</w:t>
      </w:r>
    </w:p>
    <w:p>
      <w:pPr>
        <w:keepLines/>
        <w:spacing w:after="120"/>
      </w:pPr>
      <w:r>
        <w:t>Where clause evidence concerns a system instance, use its permanent AIR-ID in proposed AIG-INV-04 AI Register worksheet and point to relevant Assessment summary worksheet/Evidence Index entries and authoritative source records. The clause crosswalk remains the index, not the evidence itself. Distinguish system evidence from AIMS-level scope, policy, roles, audit, review and resource records that may have no AIR-ID.</w:t>
      </w:r>
    </w:p>
    <w:p>
      <w:pPr>
        <w:spacing w:before="160" w:after="60"/>
      </w:pPr>
      <w:r>
        <w:rPr>
          <w:b/>
          <w:color w:val="1F4E79"/>
          <w:sz w:val="24"/>
        </w:rPr>
        <w:t>Proposed AIG-DEC-04 lifecycle join</w:t>
      </w:r>
    </w:p>
    <w:p>
      <w:pPr>
        <w:keepLines/>
        <w:spacing w:after="120"/>
      </w:pPr>
      <w:r>
        <w:t xml:space="preserve">For actual decisions, record AIR-ID and the expressly covered UC-ID(s), with a distinct outcome and scope per use. Use AIG-DEC-04 Gate Plan only as planned work, Gate Events as dated event history, and Gate Conditions as individual obligations.</w:t>
      </w:r>
    </w:p>
    <w:p>
      <w:pPr>
        <w:spacing w:before="160" w:after="60"/>
      </w:pPr>
      <w:r>
        <w:rPr>
          <w:b/>
          <w:color w:val="1F4E79"/>
          <w:sz w:val="24"/>
        </w:rPr>
        <w:t>Clauses 4–10 evidence route</w:t>
      </w:r>
    </w:p>
    <w:p>
      <w:pPr>
        <w:keepLines/>
        <w:spacing w:after="120"/>
      </w:pPr>
      <w:r>
        <w:t xml:space="preserve">Use AIG-AIMS-01/AIG-AIMS-05 for validated scope/context/requirements; AIG-GOV-04/AIG-GOV-05 for leadership/policy adoption evidence; AIG-AIMS-02/AIG-AIMS-03 for SoA, objectives, risk and treatment; AIG-AIMS-04 for appointments/competence/communications; AIG-AIMS-07–AIG-AIMS-10 for actual audit, corrective action, review and monitoring. Link system application through AIR-ID and real event/evidence references as applicable. Crosswalk citations and generic source templates are not implemented controls.</w:t>
      </w:r>
    </w:p>
    <w:p>
      <w:pPr>
        <w:spacing w:before="160" w:after="60"/>
      </w:pPr>
      <w:r>
        <w:rPr>
          <w:b/>
          <w:color w:val="1F4E79"/>
          <w:sz w:val="24"/>
        </w:rPr>
        <w:t>Reconciliation / open checks</w:t>
      </w:r>
    </w:p>
    <w:p>
      <w:pPr>
        <w:keepLines/>
        <w:spacing w:after="120"/>
      </w:pPr>
      <w:r>
        <w:t xml:space="preserve">Reconcile clause evidence references with the current suite, including monitoring, audit, AIG-INV-04/AIG-DEC-04 proposed joins, and AIG-OPS-02 where applicable; this avoids stale catalogue boundaries from earlier numbering schemes. Verify the licensed clause mappings and NIST function-level correspondence, identify missing/obsolete evidence and retain owner/review dates. No clause becomes implemented/evidenced/effective without operational records and competent verification.</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REQ-041 — ISO/IEC 23894:2023 AI — Guidance on risk management</w:t>
            </w:r>
          </w:p>
        </w:tc>
        <w:tc>
          <w:tcPr>
            <w:tcW w:type="dxa" w:w="3213"/>
          </w:tcPr>
          <w:p>
            <w:r>
              <w:t>Voluntary risk-management guidance; proposed alignment, not statutory conformity.</w:t>
            </w:r>
          </w:p>
        </w:tc>
        <w:tc>
          <w:tcPr>
            <w:tcW w:type="dxa" w:w="3213"/>
          </w:tcPr>
          <w:p>
            <w:r>
              <w:t>https://www.iso.org/standard/77304.html</w:t>
            </w:r>
          </w:p>
        </w:tc>
      </w:tr>
      <w:tr>
        <w:tc>
          <w:tcPr>
            <w:tcW w:type="dxa" w:w="3213"/>
          </w:tcPr>
          <w:p>
            <w:r>
              <w:t>NIST-AI-100-1 — NIST AI Risk Management Framework 1.0 (NIST AI 100-1, January 2023)</w:t>
            </w:r>
          </w:p>
        </w:tc>
        <w:tc>
          <w:tcPr>
            <w:tcW w:type="dxa" w:w="3213"/>
          </w:tcPr>
          <w:p>
            <w:r>
              <w:t>Voluntary alignment reference; not certification or statutory conformity</w:t>
            </w:r>
          </w:p>
        </w:tc>
        <w:tc>
          <w:tcPr>
            <w:tcW w:type="dxa" w:w="3213"/>
          </w:tcPr>
          <w:p>
            <w:r>
              <w:t>https://www.nist.gov/publications/artificial-intelligence-risk-management-framework-ai-rmf-10</w:t>
            </w:r>
          </w:p>
        </w:tc>
      </w:tr>
    </w:tbl>
    <w:sectPr>
      <w:headerReference w:type="default" r:id="rId101"/>
      <w:footerReference w:type="default" r:id="rId100"/>
      <w:footerReference w:type="first" r:id="rId100"/>
      <w:footerReference w:type="even" r:id="rId100"/>
      <w:headerReference w:type="first" r:id="rId8"/>
      <w:headerReference w:type="even"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AIG-AIMS-12  ·  v1.5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4" w:space="7" w:color="DCE3EA"/>
      </w:pBdr>
      <w:spacing w:after="0"/>
      <w:jc w:val="right"/>
    </w:pPr>
    <w:r>
      <w:rPr>
        <w:rFonts w:ascii="Arial" w:hAnsi="Arial"/>
        <w:color w:val="536072"/>
        <w:sz w:val="17"/>
      </w:rPr>
      <w:t>The Council — AIMS Clause-Level Crosswalk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footer" Target="footer1.xml"/><Relationship Id="rId101"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AIG-AIMS-12 AIMS Clause-Level Crosswalk</dc:title>
  <dc:creator>AI Governance working draft</dc:creator>
  <cp:lastModifiedBy>AI Governance working draft</cp:lastModifiedBy>
  <cp:revision>1</cp:revision>
  <dcterms:created xsi:type="dcterms:W3CDTF">2026-08-30T16:09:34.842Z</dcterms:created>
  <dcterms:modified xsi:type="dcterms:W3CDTF">2026-08-30T16:09:34.842Z</dcterms:modified>
  <cp:version>1.4 draft</cp:version>
</cp:coreProperties>
</file>

<file path=docProps/custom.xml><?xml version="1.0" encoding="utf-8"?>
<Properties xmlns="http://schemas.openxmlformats.org/officeDocument/2006/custom-properties" xmlns:vt="http://schemas.openxmlformats.org/officeDocument/2006/docPropsVTypes"/>
</file>