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14="http://schemas.microsoft.com/office/word/2010/wordprocessingDrawing" xmlns:w15="http://schemas.microsoft.com/office/word/2012/wordml" xmlns:w14="http://schemas.microsoft.com/office/word/2010/wordml" xmlns:mc="http://schemas.openxmlformats.org/markup-compatibility/2006" xmlns:r="http://schemas.openxmlformats.org/officeDocument/2006/relationships" xmlns:w="http://schemas.openxmlformats.org/wordprocessingml/2006/main" mc:Ignorable="w14 w15 wp14">
  <w:body>
    <w:p>
      <w:pPr>
        <w:pStyle w:val="Heading1"/>
        <w:spacing w:after="30" w:before="0"/>
      </w:pPr>
      <w:r>
        <w:t>Equality Impact Assessment</w:t>
      </w:r>
    </w:p>
    <w:p>
      <w:pPr>
        <w:pBdr>
          <w:bottom w:val="single" w:color="C9A442" w:sz="18" w:space="6"/>
        </w:pBdr>
        <w:spacing w:after="60" w:before="0"/>
      </w:pPr>
      <w:r>
        <w:t>The Council  ·  AI Governance Playbook (Level 5 document, §4.6.2)</w:t>
      </w:r>
    </w:p>
    <w:p>
      <w:pPr>
        <w:spacing w:after="120" w:before="120"/>
      </w:pPr>
      <w:r>
        <w:t>An EIA assesses how an AI system may affect people sharing protected characteristics before it is approved for deployment.</w:t>
      </w:r>
    </w:p>
    <w:p>
      <w:pPr>
        <w:spacing w:after="40" w:before="40" w:line="264"/>
      </w:pPr>
      <w:r>
        <w:t xml:space="preserve">Required for all High and Critical risk AI systems and recommended for Medium risk systems where outputs may affect people sharing protected characteristics. Completed by the Service Owner in consultation with the Equalities lead, who provides quality assurance and confirms the assessment before governance approval (Playbook §4.6.2). The assessment records due regard under section 149 of the Equality Act 2010, addressing the three Public Sector Equality Duty aims: eliminate discrimination, harassment and victimisation; advance equality of opportunity; and foster good relations. Any socio-economic analysis is recorded separately: socio-economic disadvantage is not a protected characteristic, and the analysis supplements rather than replaces the section 149 assessment. In England, the socio-economic duty in section 1 of the Equality Act 2010 is not in force, so the analysis is a voluntary local consideration; in Wales (section 1, in force from 31 March 2021) and in Scotland (the Fairer Scotland Duty) the socio-economic duty is statutory. Legal Services to confirm the position for the adopting council.</w:t>
      </w:r>
    </w:p>
    <w:p>
      <w:pPr/>
      <w:r>
        <w:rPr>
          <w:b/>
        </w:rPr>
        <w:t xml:space="preserve">PROPOSED — legal review only; draft clarification, not an adopted or live Council policy change. </w:t>
      </w:r>
      <w:r>
        <w:t>For every AI use, regardless of AGPI tier, carry out and record case-level screening of whether the Council’s functions and the proposed use may affect equality relating to protected characteristics; record the groups/characteristics considered, evidence, differential effects, uncertainty, and a reasoned conclusion on any further assessment. Where relevant, record how the decision-maker had due regard to all three section 149 aims. Section 149 is a statutory due-regard duty, not a statutory mandate for this template, a particular risk score, or a completed EIA in every case. The High/Critical full-template rule (and any additional internal threshold) is a separate proposed Council governance control; it neither defines nor discharges the statutory duty. Official text: https://www.legislation.gov.uk/ukpga/2010/15/section/149</w:t>
      </w:r>
    </w:p>
    <w:p>
      <w:pPr>
        <w:spacing w:after="120" w:before="0"/>
      </w:pPr>
      <w:r>
        <w:rPr>
          <w:sz w:val="4"/>
          <w:szCs w:val="4"/>
        </w:rPr>
      </w:r>
    </w:p>
    <w:tbl>
      <w:tblPr>
        <w:tblW w:type="dxa" w:w="9638"/>
        <w:tblBorders>
          <w:top w:val="none"/>
          <w:left w:val="none"/>
          <w:bottom w:val="none"/>
          <w:right w:val="none"/>
          <w:insideH w:val="none"/>
          <w:insideV w:val="none"/>
        </w:tblBorders>
        <w:tblCaption w:val="Equality Impact Assessment: 1. System and Submission Details"/>
        <w:tblDescription w:val="Section heading for 1. System and Submission Detail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1.</w:t>
            </w:r>
            <w:r>
              <w:rPr>
                <w:rFonts w:ascii="Arial" w:hAnsi="Arial" w:eastAsia="Arial" w:cs="Arial"/>
                <w:b/>
                <w:bCs/>
                <w:color w:val="FFFFFF"/>
                <w:sz w:val="22"/>
                <w:szCs w:val="22"/>
              </w:rPr>
              <w:t xml:space="preserve">  System and Submission Details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Equality Impact Assessment: System / model name"/>
        <w:tblDescription w:val="Form table with 6 rows and 2 columns, beginning with System / model nam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System identity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System identity (name, owner, service area): held once in the AI Register (AIG-INV-04) under this AIR-ID; do not re-key here.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UC-ID / impact scope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Purpose/affected groups; AGPI priority ___; risk tier ___.</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AIR-ID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AIR-XXXX</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Equalities lead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 started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pPr>
        <w:spacing w:after="30" w:before="40" w:line="264"/>
      </w:pPr>
      <w:r/>
      <w:r>
        <w:rPr>
          <w:b/>
        </w:rPr>
        <w:t xml:space="preserve">Use-specific impact — </w:t>
      </w:r>
      <w:r>
        <w:t xml:space="preserve">identify the UC-ID, outcome, decision/action and affected groups. Assess impacts and mitigations per materially distinct use/population; evidence may be reused only with stated applicability. This assessment does not approve use.</w:t>
      </w:r>
    </w:p>
    <w:p>
      <w:pPr>
        <w:spacing w:after="140" w:before="0"/>
      </w:pPr>
      <w:r>
        <w:rPr>
          <w:sz w:val="4"/>
          <w:szCs w:val="4"/>
        </w:rPr>
      </w:r>
    </w:p>
    <w:tbl>
      <w:tblPr>
        <w:tblW w:type="dxa" w:w="9638"/>
        <w:tblBorders>
          <w:top w:val="none"/>
          <w:left w:val="none"/>
          <w:bottom w:val="none"/>
          <w:right w:val="none"/>
          <w:insideH w:val="none"/>
          <w:insideV w:val="none"/>
        </w:tblBorders>
        <w:tblCaption w:val="Equality Impact Assessment: 2. Purpose and Affected Groups"/>
        <w:tblDescription w:val="Section heading for 2. Purpose and Affected Group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2.</w:t>
            </w:r>
            <w:r>
              <w:rPr>
                <w:rFonts w:ascii="Arial" w:hAnsi="Arial" w:eastAsia="Arial" w:cs="Arial"/>
                <w:b/>
                <w:bCs/>
                <w:color w:val="FFFFFF"/>
                <w:sz w:val="22"/>
                <w:szCs w:val="22"/>
              </w:rPr>
              <w:t xml:space="preserve">  Purpose and Affected Groups</w:t>
            </w:r>
          </w:p>
        </w:tc>
      </w:tr>
    </w:tbl>
    <w:p>
      <w:pPr>
        <w:spacing w:after="60" w:before="0"/>
      </w:pPr>
      <w:r>
        <w:rPr>
          <w:sz w:val="4"/>
          <w:szCs w:val="4"/>
        </w:rPr>
      </w:r>
    </w:p>
    <w:p>
      <w:pPr>
        <w:spacing w:after="30" w:before="40" w:line="264"/>
      </w:pPr>
      <w:r>
        <w:t>What does the system do, and whose outcomes could it influence (residents, staff, specific service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Equality Impact Assessment: response area 4"/>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Equality Impact Assessment: 3. Impact by Protected Characteristic"/>
        <w:tblDescription w:val="Section heading for 3. Impact by Protected Characteristic."/>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3.</w:t>
            </w:r>
            <w:r>
              <w:rPr>
                <w:rFonts w:ascii="Arial" w:hAnsi="Arial" w:eastAsia="Arial" w:cs="Arial"/>
                <w:b/>
                <w:bCs/>
                <w:color w:val="FFFFFF"/>
                <w:sz w:val="22"/>
                <w:szCs w:val="22"/>
              </w:rPr>
              <w:t xml:space="preserve">  Impact by Protected Characteristic</w:t>
            </w:r>
          </w:p>
        </w:tc>
      </w:tr>
    </w:tbl>
    <w:p>
      <w:pPr>
        <w:spacing w:after="60" w:before="0"/>
      </w:pPr>
      <w:r>
        <w:rPr>
          <w:sz w:val="4"/>
          <w:szCs w:val="4"/>
        </w:rPr>
      </w:r>
    </w:p>
    <w:p>
      <w:pPr>
        <w:spacing w:after="40" w:before="40" w:line="264"/>
      </w:pPr>
      <w:r>
        <w:t>For each characteristic, note any potential differential impact (positive, negative or neutral) and the evidence considered.</w:t>
      </w:r>
    </w:p>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Equality Impact Assessment: Protected characteristic | Potential differential impact &amp; evidence"/>
        <w:tblDescription w:val="Form table with 11 rows and 2 columns, beginning with Protected characteristic | Potential differential impact &amp; evidence. The first row is identified as the table header."/>
      </w:tblPr>
      <w:tblGrid>
        <w:gridCol w:w="3000"/>
        <w:gridCol w:w="6638"/>
      </w:tblGrid>
      <w:tr>
        <w:trPr>
          <w:tblHeader w:val="true"/>
        </w:trPr>
        <w:tc>
          <w:tcPr>
            <w:tcW w:type="dxa" w:w="30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Protected characteristic</w:t>
            </w:r>
          </w:p>
        </w:tc>
        <w:tc>
          <w:tcPr>
            <w:tcW w:type="dxa" w:w="66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Potential differential impact &amp; evidence</w:t>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Age</w:t>
            </w:r>
          </w:p>
        </w:tc>
        <w:tc>
          <w:tcPr>
            <w:tcW w:type="dxa" w:w="6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Disability</w:t>
            </w:r>
          </w:p>
        </w:tc>
        <w:tc>
          <w:tcPr>
            <w:tcW w:type="dxa" w:w="6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Gender reassignment</w:t>
            </w:r>
          </w:p>
        </w:tc>
        <w:tc>
          <w:tcPr>
            <w:tcW w:type="dxa" w:w="6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Marriage &amp; civil partnership (relevant to s.149(1)(a) only; s.149(7))</w:t>
            </w:r>
          </w:p>
        </w:tc>
        <w:tc>
          <w:tcPr>
            <w:tcW w:type="dxa" w:w="6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Pregnancy &amp; maternity</w:t>
            </w:r>
          </w:p>
        </w:tc>
        <w:tc>
          <w:tcPr>
            <w:tcW w:type="dxa" w:w="6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Race</w:t>
            </w:r>
          </w:p>
        </w:tc>
        <w:tc>
          <w:tcPr>
            <w:tcW w:type="dxa" w:w="6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Religion or belief</w:t>
            </w:r>
          </w:p>
        </w:tc>
        <w:tc>
          <w:tcPr>
            <w:tcW w:type="dxa" w:w="6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Sex</w:t>
            </w:r>
          </w:p>
        </w:tc>
        <w:tc>
          <w:tcPr>
            <w:tcW w:type="dxa" w:w="6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Sexual orientation</w:t>
            </w:r>
          </w:p>
        </w:tc>
        <w:tc>
          <w:tcPr>
            <w:tcW w:type="dxa" w:w="6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r>
              <w:t xml:space="preserve">Socio-economic disadvantage and other compounding factors (not a protected characteristic; voluntary in England, statutory socio-economic duty in Wales and Scotland; Legal to confirm)</w:t>
            </w:r>
          </w:p>
        </w:tc>
        <w:tc>
          <w:tcPr>
            <w:tcW w:type="dxa" w:w="6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bl>
    <w:p>
      <w:pPr>
        <w:spacing w:after="140" w:before="0"/>
      </w:pPr>
      <w:r>
        <w:rPr>
          <w:sz w:val="4"/>
          <w:szCs w:val="4"/>
        </w:rPr>
      </w:r>
    </w:p>
    <w:tbl>
      <w:tblPr>
        <w:tblW w:type="dxa" w:w="9638"/>
        <w:tblBorders>
          <w:top w:val="none"/>
          <w:left w:val="none"/>
          <w:bottom w:val="none"/>
          <w:right w:val="none"/>
          <w:insideH w:val="none"/>
          <w:insideV w:val="none"/>
        </w:tblBorders>
        <w:tblCaption w:val="Equality Impact Assessment: 4. AI-Specific Equality Analysis"/>
        <w:tblDescription w:val="Section heading for 4. AI-Specific Equality Analysi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4.</w:t>
            </w:r>
            <w:r>
              <w:rPr>
                <w:rFonts w:ascii="Arial" w:hAnsi="Arial" w:eastAsia="Arial" w:cs="Arial"/>
                <w:b/>
                <w:bCs/>
                <w:color w:val="FFFFFF"/>
                <w:sz w:val="22"/>
                <w:szCs w:val="22"/>
              </w:rPr>
              <w:t xml:space="preserve">  AI-Specific Equality Analysis</w:t>
            </w:r>
          </w:p>
        </w:tc>
      </w:tr>
    </w:tbl>
    <w:p>
      <w:pPr>
        <w:spacing w:after="60" w:before="0"/>
      </w:pPr>
      <w:r>
        <w:rPr>
          <w:sz w:val="4"/>
          <w:szCs w:val="4"/>
        </w:rPr>
      </w:r>
    </w:p>
    <w:p>
      <w:pPr>
        <w:spacing w:after="30" w:before="40" w:line="264"/>
      </w:pPr>
      <w:r>
        <w:t>Training data: is it representative? What representational biases were found and how were they 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Equality Impact Assessment: response area 8"/>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Differential accuracy: how does performance vary across protected characteristic groups? Provide figures where available.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Equality Impact Assessment: response area 9"/>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Could the system create or widen disadvantage, or fail to advance equality of opportunity?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Equality Impact Assessment: response area 10"/>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Equality Impact Assessment: 5. Mitigation and Monitoring"/>
        <w:tblDescription w:val="Section heading for 5. Mitigation and Monitoring."/>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5.</w:t>
            </w:r>
            <w:r>
              <w:rPr>
                <w:rFonts w:ascii="Arial" w:hAnsi="Arial" w:eastAsia="Arial" w:cs="Arial"/>
                <w:b/>
                <w:bCs/>
                <w:color w:val="FFFFFF"/>
                <w:sz w:val="22"/>
                <w:szCs w:val="22"/>
              </w:rPr>
              <w:t xml:space="preserve">  Mitigation and Monitoring</w:t>
            </w:r>
          </w:p>
        </w:tc>
      </w:tr>
    </w:tbl>
    <w:p>
      <w:pPr>
        <w:spacing w:after="60" w:before="0"/>
      </w:pPr>
      <w:r>
        <w:rPr>
          <w:sz w:val="4"/>
          <w:szCs w:val="4"/>
        </w:rPr>
      </w:r>
    </w:p>
    <w:p>
      <w:pPr>
        <w:spacing w:after="30" w:before="40" w:line="264"/>
      </w:pPr>
      <w:r>
        <w:t>Measures to remove or reduce any negative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Equality Impact Assessment: response area 12"/>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Equality outcome monitoring: what will be measured after deployment, how often, and by whom?</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Equality Impact Assessment: response area 13"/>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Equality Impact Assessment: 6. Outcome and Equalities Sign-Off"/>
        <w:tblDescription w:val="Section heading for 6. Outcome and Equalities Sign-Off."/>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6.</w:t>
            </w:r>
            <w:r>
              <w:rPr>
                <w:rFonts w:ascii="Arial" w:hAnsi="Arial" w:eastAsia="Arial" w:cs="Arial"/>
                <w:b/>
                <w:bCs/>
                <w:color w:val="FFFFFF"/>
                <w:sz w:val="22"/>
                <w:szCs w:val="22"/>
              </w:rPr>
              <w:t xml:space="preserve">  Outcome and Equalities Sign-Off</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Equality Impact Assessment: Overall equality impact | No / Low / Medium / High negative impact"/>
        <w:tblDescription w:val="Form table with 2 rows and 2 columns, beginning with Overall equality impact | No / Low / Medium / High negative impact."/>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Overall equality impact</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No / Low / Medium / High negative impact</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Decision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Proceed / Proceed with mitigations / Do not proceed</w:t>
            </w:r>
          </w:p>
        </w:tc>
      </w:tr>
      <w:tr>
        <w:tc>
          <w:tcPr>
            <w:tcW w:type="dxa" w:w="3600"/>
            <w:shd w:fill="DCE6F1"/>
            <w:tcMar>
              <w:top w:w="90" w:type="dxa"/>
              <w:start w:w="90" w:type="dxa"/>
              <w:bottom w:w="90" w:type="dxa"/>
              <w:end w:w="90" w:type="dxa"/>
            </w:tcMar>
            <w:vAlign w:val="center"/>
          </w:tcPr>
          <w:p>
            <w:pPr>
              <w:spacing w:before="0" w:after="0" w:line="240" w:lineRule="auto"/>
              <w:jc w:val="left"/>
            </w:pPr>
            <w:r>
              <w:t>Section 149 PSED due-regard evidence</w:t>
            </w:r>
          </w:p>
        </w:tc>
        <w:tc>
          <w:tcPr>
            <w:tcW w:type="dxa" w:w="6038"/>
            <w:shd w:fill="FFF8E5"/>
            <w:tcMar>
              <w:top w:w="90" w:type="dxa"/>
              <w:start w:w="90" w:type="dxa"/>
              <w:bottom w:w="90" w:type="dxa"/>
              <w:end w:w="90" w:type="dxa"/>
            </w:tcMar>
            <w:vAlign w:val="center"/>
          </w:tcPr>
          <w:p>
            <w:pPr>
              <w:spacing w:before="0" w:after="0" w:line="240" w:lineRule="auto"/>
              <w:jc w:val="left"/>
            </w:pPr>
            <w:r>
              <w:t xml:space="preserve">Record how the proposed decision addressed each of the three statutory aims and cite the evidence considered. For marriage and civil partnership, only the first aim (s.149(1)(a)) applies (s.149(7)).</w:t>
            </w:r>
          </w:p>
        </w:tc>
      </w:tr>
      <w:tr>
        <w:tc>
          <w:tcPr>
            <w:tcW w:type="dxa" w:w="3600"/>
            <w:shd w:fill="DCE6F1"/>
            <w:tcMar>
              <w:top w:w="90" w:type="dxa"/>
              <w:start w:w="90" w:type="dxa"/>
              <w:bottom w:w="90" w:type="dxa"/>
              <w:end w:w="90" w:type="dxa"/>
            </w:tcMar>
            <w:vAlign w:val="center"/>
          </w:tcPr>
          <w:p>
            <w:pPr>
              <w:spacing w:before="0" w:after="0" w:line="240" w:lineRule="auto"/>
              <w:jc w:val="left"/>
            </w:pPr>
            <w:r>
              <w:t xml:space="preserve">Socio-economic analysis (voluntary in England; statutory in Wales and Scotland)</w:t>
            </w:r>
          </w:p>
        </w:tc>
        <w:tc>
          <w:tcPr>
            <w:tcW w:type="dxa" w:w="6038"/>
            <w:shd w:fill="FFF8E5"/>
            <w:tcMar>
              <w:top w:w="90" w:type="dxa"/>
              <w:start w:w="90" w:type="dxa"/>
              <w:bottom w:w="90" w:type="dxa"/>
              <w:end w:w="90" w:type="dxa"/>
            </w:tcMar>
            <w:vAlign w:val="center"/>
          </w:tcPr>
          <w:p>
            <w:pPr>
              <w:spacing w:before="0" w:after="0" w:line="240" w:lineRule="auto"/>
              <w:jc w:val="left"/>
            </w:pPr>
            <w:r>
              <w:t>Record separately from protected-characteristic findings; explain any local mitigations or monitoring.</w:t>
            </w:r>
          </w:p>
        </w:tc>
      </w:tr>
    </w:tbl>
    <w:p>
      <w:pPr>
        <w:spacing w:after="40" w:before="0"/>
      </w:pPr>
      <w:r>
        <w:rPr>
          <w:sz w:val="4"/>
          <w:szCs w:val="4"/>
        </w:rPr>
      </w:r>
    </w:p>
    <w:p>
      <w:pPr>
        <w:spacing w:after="80" w:before="40" w:line="264"/>
      </w:pPr>
      <w:r>
        <w:t>The Equalities lead confirms this assessment is satisfactory and that the Public Sector Equality Duty has been given due regard before governance approval is sought.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Equality Impact Assessment: Equalities lead name"/>
        <w:tblDescription w:val="Form table with 6 rows and 2 columns, beginning with Equalities lead nam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Equalities lead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Equalities lead 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Service Owner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Service Owner 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r/>
    </w:p>
    <w:p>
      <w:pPr>
        <w:pStyle w:val="Heading1"/>
        <w:keepNext/>
      </w:pPr>
      <w:r>
        <w:t>Document control</w:t>
      </w:r>
    </w:p>
    <w:p>
      <w:pPr>
        <w:spacing w:after="160"/>
      </w:pPr>
      <w:r>
        <w:t>Administrative control record. This artefact remains a working draft until formally approved.</w:t>
      </w:r>
    </w:p>
    <w:tbl>
      <w:tblPr>
        <w:tblW w:type="dxa" w:w="9638"/>
        <w:tblLook w:firstColumn="1" w:firstRow="1" w:lastColumn="0" w:lastRow="0" w:noHBand="0" w:noVBand="1" w:val="04A0"/>
        <w:tblInd w:w="0" w:type="dxa"/>
        <w:tblLayout w:type="fixed"/>
        <w:tblCaption w:val="AIG-ASS-06: document-control metadata"/>
        <w:tblDescription w:val="Controlled metadata table with two columns, Field and Controlled value. The first row is identified as the table header."/>
      </w:tblPr>
      <w:tblGrid>
        <w:gridCol w:w="2602"/>
        <w:gridCol w:w="7036"/>
      </w:tblGrid>
      <w:tr>
        <w:trPr>
          <w:cantSplit/>
          <w:tblHeader w:val="true"/>
        </w:trPr>
        <w:tc>
          <w:tcPr>
            <w:tcW w:type="dxa" w:w="260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0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ID</w:t>
            </w:r>
          </w:p>
        </w:tc>
        <w:tc>
          <w:tcPr>
            <w:tcW w:type="dxa" w:w="7036"/>
            <w:vAlign w:val="center"/>
            <w:tcMar>
              <w:top w:w="85" w:type="dxa"/>
              <w:start w:w="110" w:type="dxa"/>
              <w:bottom w:w="85" w:type="dxa"/>
              <w:end w:w="110" w:type="dxa"/>
            </w:tcMar>
          </w:tcPr>
          <w:p>
            <w:pPr>
              <w:spacing w:before="0" w:after="0" w:line="240" w:lineRule="auto"/>
            </w:pPr>
            <w:r>
              <w:t>AIG-ASS-06</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Version</w:t>
            </w:r>
          </w:p>
        </w:tc>
        <w:tc>
          <w:tcPr>
            <w:tcW w:type="dxa" w:w="7036"/>
            <w:vAlign w:val="center"/>
            <w:tcMar>
              <w:top w:w="85" w:type="dxa"/>
              <w:start w:w="110" w:type="dxa"/>
              <w:bottom w:w="85" w:type="dxa"/>
              <w:end w:w="110" w:type="dxa"/>
            </w:tcMar>
          </w:tcPr>
          <w:p>
            <w:r>
              <w:t>1.6 draft</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Status</w:t>
            </w:r>
          </w:p>
        </w:tc>
        <w:tc>
          <w:tcPr>
            <w:tcW w:type="dxa" w:w="7036"/>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owner</w:t>
            </w:r>
          </w:p>
        </w:tc>
        <w:tc>
          <w:tcPr>
            <w:tcW w:type="dxa" w:w="7036"/>
            <w:vAlign w:val="center"/>
            <w:tcMar>
              <w:top w:w="85" w:type="dxa"/>
              <w:start w:w="110" w:type="dxa"/>
              <w:bottom w:w="85" w:type="dxa"/>
              <w:end w:w="110" w:type="dxa"/>
            </w:tcMar>
          </w:tcPr>
          <w:p>
            <w:pPr>
              <w:spacing w:before="0" w:after="0" w:line="240" w:lineRule="auto"/>
            </w:pPr>
            <w:r>
              <w:t>Equalities Lead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Approving body</w:t>
            </w:r>
          </w:p>
        </w:tc>
        <w:tc>
          <w:tcPr>
            <w:tcW w:type="dxa" w:w="7036"/>
            <w:vAlign w:val="center"/>
            <w:tcMar>
              <w:top w:w="85" w:type="dxa"/>
              <w:start w:w="110" w:type="dxa"/>
              <w:bottom w:w="85" w:type="dxa"/>
              <w:end w:w="110" w:type="dxa"/>
            </w:tcMar>
          </w:tcPr>
          <w:p>
            <w:r>
              <w:t>Pending — competent Council authority under confirmed Constitution / Scheme of Delegation; AI Assurance Board provides assurance and is not presumed to hold approval authority.</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Approval date</w:t>
            </w:r>
          </w:p>
        </w:tc>
        <w:tc>
          <w:tcPr>
            <w:tcW w:type="dxa" w:w="7036"/>
            <w:vAlign w:val="center"/>
            <w:tcMar>
              <w:top w:w="85" w:type="dxa"/>
              <w:start w:w="110" w:type="dxa"/>
              <w:bottom w:w="85" w:type="dxa"/>
              <w:end w:w="110" w:type="dxa"/>
            </w:tcMar>
          </w:tcPr>
          <w:p>
            <w:pPr>
              <w:spacing w:before="0" w:after="0" w:line="240" w:lineRule="auto"/>
            </w:pPr>
            <w:r>
              <w:t>Not yet approved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Effective date</w:t>
            </w:r>
          </w:p>
        </w:tc>
        <w:tc>
          <w:tcPr>
            <w:tcW w:type="dxa" w:w="7036"/>
            <w:vAlign w:val="center"/>
            <w:tcMar>
              <w:top w:w="85" w:type="dxa"/>
              <w:start w:w="110" w:type="dxa"/>
              <w:bottom w:w="85" w:type="dxa"/>
              <w:end w:w="110" w:type="dxa"/>
            </w:tcMar>
          </w:tcPr>
          <w:p>
            <w:pPr>
              <w:spacing w:before="0" w:after="0" w:line="240" w:lineRule="auto"/>
            </w:pPr>
            <w:r>
              <w:t>Not yet effective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Next review date</w:t>
            </w:r>
          </w:p>
        </w:tc>
        <w:tc>
          <w:tcPr>
            <w:tcW w:type="dxa" w:w="7036"/>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Classification</w:t>
            </w:r>
          </w:p>
        </w:tc>
        <w:tc>
          <w:tcPr>
            <w:tcW w:type="dxa" w:w="7036"/>
            <w:vAlign w:val="center"/>
            <w:tcMar>
              <w:top w:w="85" w:type="dxa"/>
              <w:start w:w="110" w:type="dxa"/>
              <w:bottom w:w="85" w:type="dxa"/>
              <w:end w:w="110" w:type="dxa"/>
            </w:tcMar>
          </w:tcPr>
          <w:p>
            <w:pPr>
              <w:spacing w:before="0" w:after="0" w:line="240" w:lineRule="auto"/>
            </w:pPr>
            <w:r>
              <w:t>OFFICIAL</w:t>
            </w:r>
          </w:p>
        </w:tc>
      </w:tr>
    </w:tbl>
    <w:p>
      <w:pPr>
        <w:pStyle w:val="Heading2"/>
        <w:keepNext/>
        <w:spacing w:before="200" w:after="100"/>
      </w:pPr>
      <w:r>
        <w:t>Change history</w:t>
      </w:r>
    </w:p>
    <w:tbl>
      <w:tblPr>
        <w:tblW w:type="dxa" w:w="9638"/>
        <w:tblLook w:firstColumn="1" w:firstRow="1" w:lastColumn="0" w:lastRow="0" w:noHBand="0" w:noVBand="1" w:val="04A0"/>
        <w:tblInd w:w="0" w:type="dxa"/>
        <w:tblLayout w:type="fixed"/>
        <w:tblCaption w:val="AIG-ASS-06: change history"/>
        <w:tblDescription w:val="Change-history table with four columns: Version, Date, Change summary and Owner. The first row is identified as the table header."/>
      </w:tblPr>
      <w:tblGrid>
        <w:gridCol w:w="1349"/>
        <w:gridCol w:w="1734"/>
        <w:gridCol w:w="4819"/>
        <w:gridCol w:w="1736"/>
      </w:tblGrid>
      <w:tr>
        <w:trPr>
          <w:cantSplit/>
          <w:tblHeader w:val="true"/>
        </w:trPr>
        <w:tc>
          <w:tcPr>
            <w:tcW w:type="dxa" w:w="134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734"/>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481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7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349"/>
            <w:vAlign w:val="center"/>
            <w:tcMar>
              <w:top w:w="85" w:type="dxa"/>
              <w:start w:w="110" w:type="dxa"/>
              <w:bottom w:w="85" w:type="dxa"/>
              <w:end w:w="110" w:type="dxa"/>
            </w:tcMar>
          </w:tcPr>
          <w:p>
            <w:pPr>
              <w:spacing w:before="0" w:after="0" w:line="240" w:lineRule="auto"/>
            </w:pPr>
            <w:r>
              <w:t>1.0 draft</w:t>
            </w:r>
          </w:p>
        </w:tc>
        <w:tc>
          <w:tcPr>
            <w:tcW w:type="dxa" w:w="1734"/>
            <w:vAlign w:val="center"/>
            <w:tcMar>
              <w:top w:w="85" w:type="dxa"/>
              <w:start w:w="110" w:type="dxa"/>
              <w:bottom w:w="85" w:type="dxa"/>
              <w:end w:w="110" w:type="dxa"/>
            </w:tcMar>
          </w:tcPr>
          <w:p>
            <w:pPr>
              <w:spacing w:before="0" w:after="0" w:line="240" w:lineRule="auto"/>
            </w:pPr>
            <w:r>
              <w:t>6 August 2026</w:t>
            </w:r>
          </w:p>
        </w:tc>
        <w:tc>
          <w:tcPr>
            <w:tcW w:type="dxa" w:w="4819"/>
            <w:vAlign w:val="center"/>
            <w:tcMar>
              <w:top w:w="85" w:type="dxa"/>
              <w:start w:w="110" w:type="dxa"/>
              <w:bottom w:w="85" w:type="dxa"/>
              <w:end w:w="110" w:type="dxa"/>
            </w:tcMar>
          </w:tcPr>
          <w:p>
            <w:pPr>
              <w:spacing w:before="0" w:after="0" w:line="240" w:lineRule="auto"/>
            </w:pPr>
            <w:r>
              <w:t>Document-control baseline established following full-suite quality assurance; no substantive content change.</w:t>
            </w:r>
          </w:p>
        </w:tc>
        <w:tc>
          <w:tcPr>
            <w:tcW w:type="dxa" w:w="1736"/>
            <w:vAlign w:val="center"/>
            <w:tcMar>
              <w:top w:w="85" w:type="dxa"/>
              <w:start w:w="110" w:type="dxa"/>
              <w:bottom w:w="85" w:type="dxa"/>
              <w:end w:w="110" w:type="dxa"/>
            </w:tcMar>
          </w:tcPr>
          <w:p>
            <w:pPr>
              <w:spacing w:before="0" w:after="0" w:line="240" w:lineRule="auto"/>
            </w:pPr>
            <w:r>
              <w:t>Equalities Lead</w:t>
            </w:r>
          </w:p>
        </w:tc>
      </w:tr>
      <w:tr>
        <w:trPr>
          <w:cantSplit/>
        </w:trPr>
        <w:tc>
          <w:tcPr>
            <w:tcW w:type="dxa" w:w="1349"/>
            <w:vAlign w:val="center"/>
            <w:tcMar>
              <w:top w:w="85" w:type="dxa"/>
              <w:start w:w="110" w:type="dxa"/>
              <w:bottom w:w="85" w:type="dxa"/>
              <w:end w:w="110" w:type="dxa"/>
            </w:tcMar>
          </w:tcPr>
          <w:p>
            <w:r>
              <w:t>1.1 draft</w:t>
            </w:r>
          </w:p>
        </w:tc>
        <w:tc>
          <w:tcPr>
            <w:tcW w:type="dxa" w:w="1734"/>
            <w:vAlign w:val="center"/>
            <w:tcMar>
              <w:top w:w="85" w:type="dxa"/>
              <w:start w:w="110" w:type="dxa"/>
              <w:bottom w:w="85" w:type="dxa"/>
              <w:end w:w="110" w:type="dxa"/>
            </w:tcMar>
          </w:tcPr>
          <w:p>
            <w:r>
              <w:t>6 August 2026</w:t>
            </w:r>
          </w:p>
        </w:tc>
        <w:tc>
          <w:tcPr>
            <w:tcW w:type="dxa" w:w="4819"/>
            <w:vAlign w:val="center"/>
            <w:tcMar>
              <w:top w:w="85" w:type="dxa"/>
              <w:start w:w="110" w:type="dxa"/>
              <w:bottom w:w="85" w:type="dxa"/>
              <w:end w:w="110" w:type="dxa"/>
            </w:tcMar>
          </w:tcPr>
          <w:p>
            <w:r>
              <w:t>QA revision: clarified section 149 PSED analysis and separated voluntary socio-economic analysis.</w:t>
            </w:r>
          </w:p>
        </w:tc>
        <w:tc>
          <w:tcPr>
            <w:tcW w:type="dxa" w:w="1736"/>
            <w:vAlign w:val="center"/>
            <w:tcMar>
              <w:top w:w="85" w:type="dxa"/>
              <w:start w:w="110" w:type="dxa"/>
              <w:bottom w:w="85" w:type="dxa"/>
              <w:end w:w="110" w:type="dxa"/>
            </w:tcMar>
          </w:tcPr>
          <w:p>
            <w:r>
              <w:t>Equalities Lead</w:t>
            </w:r>
          </w:p>
        </w:tc>
      </w:tr>
      <w:tr>
        <w:trPr>
          <w:cantSplit/>
        </w:trPr>
        <w:tc>
          <w:tcPr>
            <w:tcW w:type="dxa" w:w="1349"/>
            <w:vAlign w:val="center"/>
            <w:tcMar>
              <w:top w:w="85" w:type="dxa"/>
              <w:start w:w="110" w:type="dxa"/>
              <w:bottom w:w="85" w:type="dxa"/>
              <w:end w:w="110" w:type="dxa"/>
            </w:tcMar>
          </w:tcPr>
          <w:p>
            <w:r>
              <w:t xml:space="preserve">1.2 draft</w:t>
            </w:r>
          </w:p>
        </w:tc>
        <w:tc>
          <w:tcPr>
            <w:tcW w:type="dxa" w:w="1734"/>
            <w:vAlign w:val="center"/>
            <w:tcMar>
              <w:top w:w="85" w:type="dxa"/>
              <w:start w:w="110" w:type="dxa"/>
              <w:bottom w:w="85" w:type="dxa"/>
              <w:end w:w="110" w:type="dxa"/>
            </w:tcMar>
          </w:tcPr>
          <w:p>
            <w:r>
              <w:t xml:space="preserve">29 September 2026</w:t>
            </w:r>
          </w:p>
        </w:tc>
        <w:tc>
          <w:tcPr>
            <w:tcW w:type="dxa" w:w="4819"/>
            <w:vAlign w:val="center"/>
            <w:tcMar>
              <w:top w:w="85" w:type="dxa"/>
              <w:start w:w="110" w:type="dxa"/>
              <w:bottom w:w="85" w:type="dxa"/>
              <w:end w:w="110" w:type="dxa"/>
            </w:tcMar>
          </w:tcPr>
          <w:p>
            <w:r>
              <w:t xml:space="preserve">QA remediation — applied findings QA-081, QA-165, QA-185, QA-200, QA-221 (see QA change log). Final tidy-up: self-referencing cross-reference removed from the standards row(s) REQ-008, REQ-035.</w:t>
            </w:r>
          </w:p>
        </w:tc>
        <w:tc>
          <w:tcPr>
            <w:tcW w:type="dxa" w:w="1736"/>
            <w:vAlign w:val="center"/>
            <w:tcMar>
              <w:top w:w="85" w:type="dxa"/>
              <w:start w:w="110" w:type="dxa"/>
              <w:bottom w:w="85" w:type="dxa"/>
              <w:end w:w="110" w:type="dxa"/>
            </w:tcMar>
          </w:tcPr>
          <w:p>
            <w:r>
              <w:t xml:space="preserve">Equalities Lead</w:t>
            </w:r>
          </w:p>
        </w:tc>
      </w:tr>
      <w:tr>
        <w:trPr>
          <w:cantSplit/>
        </w:trPr>
        <w:tc>
          <w:tcPr>
            <w:tcW w:type="dxa" w:w="1349"/>
            <w:vAlign w:val="center"/>
            <w:tcMar>
              <w:top w:w="85" w:type="dxa"/>
              <w:start w:w="110" w:type="dxa"/>
              <w:bottom w:w="85" w:type="dxa"/>
              <w:end w:w="110" w:type="dxa"/>
            </w:tcMar>
          </w:tcPr>
          <w:p>
            <w:r>
              <w:t xml:space="preserve">1.3 draft</w:t>
            </w:r>
          </w:p>
        </w:tc>
        <w:tc>
          <w:tcPr>
            <w:tcW w:type="dxa" w:w="1734"/>
            <w:vAlign w:val="center"/>
            <w:tcMar>
              <w:top w:w="85" w:type="dxa"/>
              <w:start w:w="110" w:type="dxa"/>
              <w:bottom w:w="85" w:type="dxa"/>
              <w:end w:w="110" w:type="dxa"/>
            </w:tcMar>
          </w:tcPr>
          <w:p>
            <w:r>
              <w:t xml:space="preserve">30 September 2026</w:t>
            </w:r>
          </w:p>
        </w:tc>
        <w:tc>
          <w:tcPr>
            <w:tcW w:type="dxa" w:w="4819"/>
            <w:vAlign w:val="center"/>
            <w:tcMar>
              <w:top w:w="85" w:type="dxa"/>
              <w:start w:w="110" w:type="dxa"/>
              <w:bottom w:w="85" w:type="dxa"/>
              <w:end w:w="110" w:type="dxa"/>
            </w:tcMar>
          </w:tcPr>
          <w:p>
            <w:r>
              <w:t xml:space="preserve">v3.9.1: standards cross-reference note updated to the 54-entry requirement inventory (AIG-AIMS-05 REQ-054, Civil Contingencies Act 2004, added).</w:t>
            </w:r>
          </w:p>
        </w:tc>
        <w:tc>
          <w:tcPr>
            <w:tcW w:type="dxa" w:w="1736"/>
            <w:vAlign w:val="center"/>
            <w:tcMar>
              <w:top w:w="85" w:type="dxa"/>
              <w:start w:w="110" w:type="dxa"/>
              <w:bottom w:w="85" w:type="dxa"/>
              <w:end w:w="110" w:type="dxa"/>
            </w:tcMar>
          </w:tcPr>
          <w:p>
            <w:r>
              <w:t xml:space="preserve">Equalities Lead</w:t>
            </w:r>
          </w:p>
        </w:tc>
      </w:tr>
      <w:tr>
        <w:trPr>
          <w:cantSplit/>
        </w:trPr>
        <w:tc>
          <w:tcPr>
            <w:tcW w:type="dxa" w:w="1349"/>
            <w:vAlign w:val="center"/>
            <w:tcMar>
              <w:top w:w="85" w:type="dxa"/>
              <w:start w:w="110" w:type="dxa"/>
              <w:bottom w:w="85" w:type="dxa"/>
              <w:end w:w="110" w:type="dxa"/>
            </w:tcMar>
          </w:tcPr>
          <w:p>
            <w:r>
              <w:t xml:space="preserve">1.4 draft</w:t>
            </w:r>
          </w:p>
        </w:tc>
        <w:tc>
          <w:tcPr>
            <w:tcW w:type="dxa" w:w="1734"/>
            <w:vAlign w:val="center"/>
            <w:tcMar>
              <w:top w:w="85" w:type="dxa"/>
              <w:start w:w="110" w:type="dxa"/>
              <w:bottom w:w="85" w:type="dxa"/>
              <w:end w:w="110" w:type="dxa"/>
            </w:tcMar>
          </w:tcPr>
          <w:p>
            <w:r>
              <w:t xml:space="preserve">1 October 2026</w:t>
            </w:r>
          </w:p>
        </w:tc>
        <w:tc>
          <w:tcPr>
            <w:tcW w:type="dxa" w:w="4819"/>
            <w:vAlign w:val="center"/>
            <w:tcMar>
              <w:top w:w="85" w:type="dxa"/>
              <w:start w:w="110" w:type="dxa"/>
              <w:bottom w:w="85" w:type="dxa"/>
              <w:end w:w="110" w:type="dxa"/>
            </w:tcMar>
          </w:tcPr>
          <w:p>
            <w:r>
              <w:t xml:space="preserve">v3.9.3: standards cross-reference note cites the 55-entry requirement inventory (AIG-AIMS-05 REQ-055, NIST AI 600-1 Generative AI Profile, added).</w:t>
            </w:r>
          </w:p>
        </w:tc>
        <w:tc>
          <w:tcPr>
            <w:tcW w:type="dxa" w:w="1736"/>
            <w:vAlign w:val="center"/>
            <w:tcMar>
              <w:top w:w="85" w:type="dxa"/>
              <w:start w:w="110" w:type="dxa"/>
              <w:bottom w:w="85" w:type="dxa"/>
              <w:end w:w="110" w:type="dxa"/>
            </w:tcMar>
          </w:tcPr>
          <w:p>
            <w:r>
              <w:t xml:space="preserve">Equalities Lead</w:t>
            </w:r>
          </w:p>
        </w:tc>
      </w:tr>
      <w:tr>
        <w:trPr>
          <w:cantSplit/>
        </w:trPr>
        <w:tc>
          <w:tcPr>
            <w:tcW w:type="dxa" w:w="1349"/>
            <w:vAlign w:val="center"/>
            <w:tcMar>
              <w:top w:w="85" w:type="dxa"/>
              <w:start w:w="110" w:type="dxa"/>
              <w:bottom w:w="85" w:type="dxa"/>
              <w:end w:w="110" w:type="dxa"/>
            </w:tcMar>
          </w:tcPr>
          <w:p>
            <w:r>
              <w:t>1.5 draft</w:t>
            </w:r>
          </w:p>
        </w:tc>
        <w:tc>
          <w:tcPr>
            <w:tcW w:type="dxa" w:w="1734"/>
            <w:vAlign w:val="center"/>
            <w:tcMar>
              <w:top w:w="85" w:type="dxa"/>
              <w:start w:w="110" w:type="dxa"/>
              <w:bottom w:w="85" w:type="dxa"/>
              <w:end w:w="110" w:type="dxa"/>
            </w:tcMar>
          </w:tcPr>
          <w:p>
            <w:r>
              <w:t>2 October 2026</w:t>
            </w:r>
          </w:p>
        </w:tc>
        <w:tc>
          <w:tcPr>
            <w:tcW w:type="dxa" w:w="4819"/>
            <w:vAlign w:val="center"/>
            <w:tcMar>
              <w:top w:w="85" w:type="dxa"/>
              <w:start w:w="110" w:type="dxa"/>
              <w:bottom w:w="85" w:type="dxa"/>
              <w:end w:w="110" w:type="dxa"/>
            </w:tcMar>
          </w:tcPr>
          <w:p>
            <w:r>
              <w:t>v3.9.5: standards cross-reference note cites the 56-entry requirement inventory (AIG-AIMS-05 REQ-056, SI 2026/425 ICO statutory code of practice on AI and automated decision-making, added). Proposed — for Council confirmation.</w:t>
            </w:r>
          </w:p>
        </w:tc>
        <w:tc>
          <w:tcPr>
            <w:tcW w:type="dxa" w:w="1736"/>
            <w:vAlign w:val="center"/>
            <w:tcMar>
              <w:top w:w="85" w:type="dxa"/>
              <w:start w:w="110" w:type="dxa"/>
              <w:bottom w:w="85" w:type="dxa"/>
              <w:end w:w="110" w:type="dxa"/>
            </w:tcMar>
          </w:tcPr>
          <w:p>
            <w:r>
              <w:t xml:space="preserve">Equalities Lead</w:t>
            </w:r>
          </w:p>
        </w:tc>
      </w:tr>
      <w:tr>
        <w:trPr>
          <w:cantSplit/>
        </w:trPr>
        <w:tc>
          <w:tcPr>
            <w:tcW w:type="dxa" w:w="1349"/>
            <w:vAlign w:val="center"/>
            <w:tcMar>
              <w:top w:w="85" w:type="dxa"/>
              <w:start w:w="110" w:type="dxa"/>
              <w:bottom w:w="85" w:type="dxa"/>
              <w:end w:w="110" w:type="dxa"/>
            </w:tcMar>
          </w:tcPr>
          <w:p>
            <w:r>
              <w:t>1.6 draft</w:t>
            </w:r>
          </w:p>
        </w:tc>
        <w:tc>
          <w:tcPr>
            <w:tcW w:type="dxa" w:w="1734"/>
            <w:vAlign w:val="center"/>
            <w:tcMar>
              <w:top w:w="85" w:type="dxa"/>
              <w:start w:w="110" w:type="dxa"/>
              <w:bottom w:w="85" w:type="dxa"/>
              <w:end w:w="110" w:type="dxa"/>
            </w:tcMar>
          </w:tcPr>
          <w:p>
            <w:r>
              <w:t>12 October 2026</w:t>
            </w:r>
          </w:p>
        </w:tc>
        <w:tc>
          <w:tcPr>
            <w:tcW w:type="dxa" w:w="4819"/>
            <w:vAlign w:val="center"/>
            <w:tcMar>
              <w:top w:w="85" w:type="dxa"/>
              <w:start w:w="110" w:type="dxa"/>
              <w:bottom w:w="85" w:type="dxa"/>
              <w:end w:w="110" w:type="dxa"/>
            </w:tcMar>
          </w:tcPr>
          <w:p>
            <w:r>
              <w:t>v3.9.10: standards cross-reference note cites the 58-entry requirement inventory (AIG-AIMS-05 REQ-057 DAMA-DMBOK and REQ-058 ISO/IEC 5259, added as voluntary data governance references). Proposed — for Council confirmation.</w:t>
            </w:r>
          </w:p>
        </w:tc>
        <w:tc>
          <w:tcPr>
            <w:tcW w:type="dxa" w:w="1736"/>
            <w:vAlign w:val="center"/>
            <w:tcMar>
              <w:top w:w="85" w:type="dxa"/>
              <w:start w:w="110" w:type="dxa"/>
              <w:bottom w:w="85" w:type="dxa"/>
              <w:end w:w="110" w:type="dxa"/>
            </w:tcMar>
          </w:tcPr>
          <w:p>
            <w:r>
              <w:t>Equalities Lead</w:t>
            </w:r>
          </w:p>
        </w:tc>
      </w:tr>
    </w:tbl>
    <w:p>
      <w:r>
        <w:br w:type="page"/>
      </w:r>
    </w:p>
    <w:p>
      <w:r>
        <w:rPr>
          <w:b/>
          <w:sz w:val="32"/>
        </w:rPr>
        <w:t>NOT APPROVED — PROPOSED INTEGRATION ANNEX</w:t>
      </w:r>
    </w:p>
    <w:p>
      <w:r>
        <w:rPr>
          <w:b/>
          <w:sz w:val="26"/>
        </w:rPr>
        <w:t>Integration annex — Equality assessment and evidence joins</w:t>
      </w:r>
    </w:p>
    <w:p>
      <w:r>
        <w:rPr>
          <w:b/>
        </w:rPr>
        <w:t>DRAFT FOR COUNCIL REVIEW • 25 September 2026 • Not approved for operational use</w:t>
      </w:r>
    </w:p>
    <w:p>
      <w:r>
        <w:rPr>
          <w:b/>
          <w:sz w:val="24"/>
        </w:rPr>
        <w:t>Native equality assessment</w:t>
      </w:r>
    </w:p>
    <w:p>
      <w:r>
        <w:t xml:space="preserve">This EIA remains the native analysis of protected-characteristic impacts, evidence, PSED due-regard reasoning, mitigation and the Equalities lead’s confirmation. Keep socio-economic analysis separate as the template requires. No impact level, due-regard conclusion, or legal applicability is supplied by this integration annex.</w:t>
      </w:r>
    </w:p>
    <w:p>
      <w:r>
        <w:rPr>
          <w:b/>
          <w:sz w:val="24"/>
        </w:rPr>
        <w:t>Evidence and decision references</w:t>
      </w:r>
    </w:p>
    <w:p>
      <w:r>
        <w:t xml:space="preserve">After registration, use the AIR-ID issued/maintained in AIG-INV-04; do not treat AIR-XXXX as an issued identifier. Cite evidence by proposed AIG-INV-04 Evidence Index Evidence ID plus source/version, observed or verification date, and controlled location, including limitations or gaps. An AIG-DEC-04 pointer must resolve only to a dated actual Gate Event or Condition (ID and date). The governance decision and any conditions belong in AIG-DEC-03 or authoritative forum minutes; AIG-DEC-04 can record a dated pointer but cannot substitute for or grant that decision.</w:t>
      </w:r>
    </w:p>
    <w:p>
      <w:r>
        <w:rPr>
          <w:b/>
          <w:sz w:val="24"/>
        </w:rPr>
        <w:t>Monitoring and reassessment</w:t>
      </w:r>
    </w:p>
    <w:p>
      <w:r>
        <w:t>Keep the EIA in its native source. Link AIG-OPS-02 for the agreed post-deployment measure, threshold, cadence and responsible reviewer; record observations and reassessment there without presuming a result. Revisit on material changes to service use, affected groups, supplier, model/version, data, or decision process; update AIG-INV-04 current state and cite only the corresponding dated AIG-DEC-04 event/condition.</w:t>
      </w:r>
    </w:p>
    <w:p>
      <w:r>
        <w:rPr>
          <w:b/>
          <w:sz w:val="24"/>
        </w:rPr>
        <w:t>Rights and agentic links</w:t>
      </w:r>
    </w:p>
    <w:p>
      <w:r>
        <w:t>Where affected people need to contest an AI-influenced decision, link the applicable AIG-OPS-04 route; the cross-reference does not show that an individual route has been delivered. If agent permissions can affect outcomes, link exact AIG-AGT-04 ASBOM version/AG-ID, AIG-AGT-05 as a derived view, and AIG-AGT-06 action records as relevant. Draft only: no equality result, approval, legal determination, or public release is asserted.</w:t>
      </w:r>
    </w:p>
    <w:p>
      <w:r>
        <w:t xml:space="preserve">Fundamental-rights coverage: for how this EIA contributes to EU AI Act Article 27 fundamental-rights impact assessment coverage, see the Fundamental Rights Coverage Crosswalk (AIG-ASS-12). The crosswalk is a design mapping, not case evidence.</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REQ-005 — Equality Act 2010, including Public Sector Equality Duty section 149</w:t>
            </w:r>
          </w:p>
        </w:tc>
        <w:tc>
          <w:tcPr>
            <w:tcW w:type="dxa" w:w="3213"/>
          </w:tcPr>
          <w:p>
            <w:r>
              <w:t>Public authority due regard under s.149; case-level equality screening is not risk-tier gated.</w:t>
            </w:r>
          </w:p>
        </w:tc>
        <w:tc>
          <w:tcPr>
            <w:tcW w:type="dxa" w:w="3213"/>
          </w:tcPr>
          <w:p>
            <w:r>
              <w:t>https://www.legislation.gov.uk/ukpga/2010/15/section/149</w:t>
            </w:r>
          </w:p>
        </w:tc>
      </w:tr>
      <w:tr>
        <w:tc>
          <w:tcPr>
            <w:tcW w:type="dxa" w:w="3213"/>
          </w:tcPr>
          <w:p>
            <w:r>
              <w:t>REQ-008 — Public Sector Bodies (Websites and Mobile Applications) (No. 2) Accessibility Regulations 2018</w:t>
            </w:r>
          </w:p>
        </w:tc>
        <w:tc>
          <w:tcPr>
            <w:tcW w:type="dxa" w:w="3213"/>
          </w:tcPr>
          <w:p>
            <w:r>
              <w:t>Screen the legislation requirement against this artefact's actual use and record evidence/version.</w:t>
            </w:r>
          </w:p>
        </w:tc>
        <w:tc>
          <w:tcPr>
            <w:tcW w:type="dxa" w:w="3213"/>
          </w:tcPr>
          <w:p>
            <w:r>
              <w:t>https://www.gov.uk/guidance/accessibility-requirements-for-public-sector-websites-and-apps</w:t>
            </w:r>
          </w:p>
        </w:tc>
      </w:tr>
      <w:tr>
        <w:tc>
          <w:tcPr>
            <w:tcW w:type="dxa" w:w="3213"/>
          </w:tcPr>
          <w:p>
            <w:r>
              <w:t>REQ-035 — EHRC Artificial Intelligence in Public Services and PSED guidance</w:t>
            </w:r>
          </w:p>
        </w:tc>
        <w:tc>
          <w:tcPr>
            <w:tcW w:type="dxa" w:w="3213"/>
          </w:tcPr>
          <w:p>
            <w:r>
              <w:t>Screen the regulatory guidance requirement against this artefact's actual use and record evidence/version.</w:t>
            </w:r>
          </w:p>
        </w:tc>
        <w:tc>
          <w:tcPr>
            <w:tcW w:type="dxa" w:w="3213"/>
          </w:tcPr>
          <w:p>
            <w:r>
              <w:t>https://www.equalityhumanrights.com/guidance/artificial-intelligence-public-services</w:t>
            </w:r>
          </w:p>
        </w:tc>
      </w:tr>
    </w:tbl>
    <w:sectPr>
      <w:headerReference w:type="default" r:id="rId7"/>
      <w:footerReference w:type="default" r:id="rId8"/>
      <w:footerReference w:type="first" r:id="rId10"/>
      <w:footerReference w:type="even" r:id="rId11"/>
      <w:headerReference w:type="first" r:id="rId12"/>
      <w:headerReference w:type="even" r:id="rId13"/>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AIG-ASS-06  ·  v1.6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7" w:color="DCE3EA"/>
      </w:pBdr>
      <w:spacing w:after="0"/>
      <w:jc w:val="right"/>
    </w:pPr>
    <w:r>
      <w:rPr>
        <w:rFonts w:ascii="Arial" w:hAnsi="Arial"/>
        <w:color w:val="536072"/>
        <w:sz w:val="17"/>
      </w:rPr>
      <w:t>The Council — Equality Impact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outlineLvl w:val="0"/>
    </w:pPr>
    <w:qFormat/>
    <w:uiPriority w:val="10"/>
  </w:style>
  <w:style w:type="paragraph" w:customStyle="1" w:styleId="Heading2">
    <w:name w:val="heading 2"/>
    <w:pPr>
      <w:outlineLvl w:val="1"/>
    </w:pPr>
    <w:qFormat/>
    <w:uiPriority w:val="11"/>
  </w:style>
  <w:style w:type="paragraph" w:customStyle="1" w:styleId="Heading3">
    <w:name w:val="heading 3"/>
    <w:pPr>
      <w:outlineLvl w:val="2"/>
    </w:pPr>
    <w:qFormat/>
    <w:uiPriority w:val="1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AIG-ASS-06 Equality Impact Assessment</dc:title>
  <dc:creator>AI Governance working draft</dc:creator>
  <cp:lastModifiedBy>AI Governance working draft</cp:lastModifiedBy>
  <cp:revision>1</cp:revision>
  <dcterms:created xsi:type="dcterms:W3CDTF">2026-06-27T20:20:05.418Z</dcterms:created>
  <dcterms:modified xsi:type="dcterms:W3CDTF">2026-10-01T12:00:00Z</dcterms:modified>
  <dc:subject>Proposed grouped-ID suite; not approved</dc:subject>
  <cp:keywords>Proposed grouped-ID suite; not approved</cp:keywords>
  <dc:identifier/>
  <cp:version>1.5 draft</cp:version>
  <cp:contentStatus>Draft for Council review</cp:contentStatus>
  <cp:category>AI governance</cp:category>
  <dc:language>en-GB</dc:language>
  <dc:description>Proposed grouped-ID suite; not approved</dc:description>
</cp:coreProperties>
</file>

<file path=docProps/custom.xml><?xml version="1.0" encoding="utf-8"?>
<Properties xmlns="http://schemas.openxmlformats.org/officeDocument/2006/custom-properties" xmlns:vt="http://schemas.openxmlformats.org/officeDocument/2006/docPropsVTypes"/>
</file>