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Human Rights Assessment</w:t>
      </w:r>
    </w:p>
    <w:p>
      <w:pPr>
        <w:pBdr>
          <w:bottom w:val="single" w:color="C9A442" w:sz="18" w:space="6"/>
        </w:pBdr>
        <w:spacing w:after="60" w:before="0"/>
      </w:pPr>
      <w:r>
        <w:t>The Council  ·  AI Governance Playbook (Level 5 document, §4.6.3)</w:t>
      </w:r>
    </w:p>
    <w:p>
      <w:pPr>
        <w:spacing w:after="120" w:before="120"/>
      </w:pPr>
      <w:r>
        <w:t>An assessment of whether an AI system engages Convention rights under the Human Rights Act 1998.</w:t>
      </w:r>
    </w:p>
    <w:p>
      <w:pPr>
        <w:spacing w:after="40" w:before="40" w:line="264"/>
      </w:pPr>
      <w:r>
        <w:t xml:space="preserve">Case-level screening is recorded for every AI use at any risk tier. A full assessment is mandatory for Critical AI systems and required for High systems where use may engage Convention rights under the Human Rights Act 1998. Legal Services leads the rights analysis and records independent advice with the Service Owner’s operational input; the officer or Council forum holding confirmed delegation makes the decision (Playbook §4.6.3).</w:t>
      </w:r>
    </w:p>
    <w:p>
      <w:pPr/>
      <w:r>
        <w:rPr>
          <w:b/>
        </w:rPr>
        <w:t xml:space="preserve">PROPOSED — legal review only; draft clarification, not an adopted or live Council policy change. </w:t>
      </w:r>
      <w:r>
        <w:t>For every AI use, regardless of AGPI tier, carry out and record case-level screening of whether the use may engage any Convention right, including rights affected indirectly by outputs or decisions; record rights considered, evidence, uncertainty and a reasoned outcome. Refer possible or uncertain engagement to Legal Services. Human Rights Act 1998 section 6 makes it unlawful for a public authority to act incompatibly with a Convention right, subject to section 6(2); it does not prescribe this template or a risk score. The Critical/High full-template rules are separate proposed internal governance thresholds, not the statutory trigger and not a substitute for section 6. Official text: https://www.legislation.gov.uk/ukpga/1998/42/section/6</w:t>
      </w:r>
    </w:p>
    <w:p>
      <w:pPr>
        <w:spacing w:after="120" w:before="0"/>
      </w:pPr>
      <w:r>
        <w:rPr>
          <w:sz w:val="4"/>
          <w:szCs w:val="4"/>
        </w:rPr>
      </w:r>
    </w:p>
    <w:tbl>
      <w:tblPr>
        <w:tblW w:type="dxa" w:w="9638"/>
        <w:tblBorders>
          <w:top w:val="none"/>
          <w:left w:val="none"/>
          <w:bottom w:val="none"/>
          <w:right w:val="none"/>
          <w:insideH w:val="none"/>
          <w:insideV w:val="none"/>
        </w:tblBorders>
        <w:tblCaption w:val="Human Rights Assessment: 1. System and Submission Details"/>
        <w:tblDescription w:val="Section heading for 1. System and Submission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Submission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System / model name"/>
        <w:tblDescription w:val="Form table with 7 rows and 2 columns, beginning with System / mode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System identity (name, owner, service area): held once in the AI Register (AIG-INV-04) under this AIR-ID; do not re-key here.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 rights-impact scope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Purpose/affected people; AGPI priority ___; risk tier ___.</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Risk tier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Low / Medium / High / Critical</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Assessment type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Screening only / Full assessment (screening at every tier; full assessment for Critical, and for High where Convention rights may be engaged)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Legal Services lead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started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30" w:before="40" w:line="264"/>
      </w:pPr>
      <w:r/>
      <w:r>
        <w:rPr>
          <w:b/>
        </w:rPr>
        <w:t xml:space="preserve">Use-specific rights analysis — </w:t>
      </w:r>
      <w:r>
        <w:t xml:space="preserve">identify UC-ID, purpose, decision/action, affected people and context. Assess rights impacts, necessity, proportionality and safeguards for this use; materially different contexts need separately traceable conclusions.</w:t>
      </w:r>
    </w:p>
    <w:p>
      <w:pPr>
        <w:spacing w:after="140" w:before="0"/>
      </w:pPr>
      <w:r>
        <w:rPr>
          <w:sz w:val="4"/>
          <w:szCs w:val="4"/>
        </w:rPr>
      </w:r>
    </w:p>
    <w:tbl>
      <w:tblPr>
        <w:tblW w:type="dxa" w:w="9638"/>
        <w:tblBorders>
          <w:top w:val="none"/>
          <w:left w:val="none"/>
          <w:bottom w:val="none"/>
          <w:right w:val="none"/>
          <w:insideH w:val="none"/>
          <w:insideV w:val="none"/>
        </w:tblBorders>
        <w:tblCaption w:val="Human Rights Assessment: 2. Operational Context"/>
        <w:tblDescription w:val="Section heading for 2. Operational Contex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Operational Context</w:t>
            </w:r>
          </w:p>
        </w:tc>
      </w:tr>
    </w:tbl>
    <w:p>
      <w:pPr>
        <w:spacing w:after="60" w:before="0"/>
      </w:pPr>
      <w:r>
        <w:rPr>
          <w:sz w:val="4"/>
          <w:szCs w:val="4"/>
        </w:rPr>
      </w:r>
    </w:p>
    <w:p>
      <w:pPr>
        <w:spacing w:after="30" w:before="40" w:line="264"/>
      </w:pPr>
      <w:r>
        <w:t>How is the AI used, what decisions does it affect, and who is subject to those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response area 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Human Rights Assessment: 3. Convention and Protocol Rights Screening"/>
        <w:tblDescription w:val="Section heading for 3. Convention and Protocol Rights Screening."/>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rPr>
              <w:t xml:space="preserve">  Convention and Protocol Rights Screening</w:t>
            </w:r>
          </w:p>
        </w:tc>
      </w:tr>
    </w:tbl>
    <w:p>
      <w:pPr>
        <w:spacing w:after="60" w:before="0"/>
      </w:pPr>
      <w:r>
        <w:rPr>
          <w:sz w:val="4"/>
          <w:szCs w:val="4"/>
        </w:rPr>
      </w:r>
    </w:p>
    <w:p>
      <w:pPr>
        <w:spacing w:after="40" w:before="40" w:line="264"/>
      </w:pPr>
      <w:r>
        <w:t>Legal Services must identify each right engaged and record the applicable legal character and test: absolute, limited, qualified, procedural or ancillary. For engaged rights, record the legal basis, legitimate aim where relevant, necessity, proportionality, safeguards and remedy. Article 6 applies only where civil rights and obligations or criminal charges are determined; it is not a general administrative-fairness label.</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Convention right | Engaged? | How engaged; legal character/test; legal basis, justification, safeguards and remedy"/>
        <w:tblDescription w:val="Structured table with 18 rows and 3 columns. The first row contains the column headings: Convention right | Engaged? | How engaged; legal character/test; legal basis, justification, safeguards and remedy."/>
      </w:tblPr>
      <w:tblGrid>
        <w:gridCol w:w="3000"/>
        <w:gridCol w:w="1200"/>
        <w:gridCol w:w="5438"/>
      </w:tblGrid>
      <w:tr>
        <w:trPr>
          <w:tblHeader w:val="true"/>
        </w:trPr>
        <w:tc>
          <w:tcPr>
            <w:tcW w:type="dxa" w:w="30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Convention right</w:t>
            </w:r>
          </w:p>
        </w:tc>
        <w:tc>
          <w:tcPr>
            <w:tcW w:type="dxa" w:w="1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Engaged?</w:t>
            </w:r>
          </w:p>
        </w:tc>
        <w:tc>
          <w:tcPr>
            <w:tcW w:type="dxa" w:w="54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How engaged; legal character/test; legal basis, justification, safeguards and remedy</w:t>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Right to life (Art 2)</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Prohibition of torture or inhuman or degrading treatment (Art 3)</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Prohibition of slavery and forced labour (Art 4)</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Right to liberty and security (Art 5)</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Fair hearing in determination of civil rights/obligations or criminal charges (Art 6)</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No punishment without law (Art 7)</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Private and family life, home and correspondence (Art 8)</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Freedom of thought, conscience and religion (Art 9)</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Freedom of expression (Art 10)</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Freedom of assembly and association (Art 11)</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Right to marry (Art 12)</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Prohibition of discrimination in enjoyment of Convention rights (Art 14)</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Restrictions on political activity of aliens (Art 16), prohibition of abuse of rights (Art 17) and limitation on use of restrictions on rights (Art 18), where relevant</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Protection of property (Protocol 1, Art 1)</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Right to education (Protocol 1, Art 2)</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Right to free elections (Protocol 1, Art 3)</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0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Abolition of the death penalty (Protocol 13, Art 1) or other applicable Protocol right</w:t>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Uncertain</w:t>
            </w:r>
          </w:p>
        </w:tc>
        <w:tc>
          <w:tcPr>
            <w:tcW w:type="dxa" w:w="5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40" w:before="0"/>
      </w:pPr>
      <w:r>
        <w:rPr>
          <w:sz w:val="4"/>
          <w:szCs w:val="4"/>
        </w:rPr>
      </w:r>
    </w:p>
    <w:tbl>
      <w:tblPr>
        <w:tblW w:type="dxa" w:w="9638"/>
        <w:tblBorders>
          <w:top w:val="none"/>
          <w:left w:val="none"/>
          <w:bottom w:val="none"/>
          <w:right w:val="none"/>
          <w:insideH w:val="none"/>
          <w:insideV w:val="none"/>
        </w:tblBorders>
        <w:tblCaption w:val="Human Rights Assessment: 4. Mitigation and Safeguards"/>
        <w:tblDescription w:val="Section heading for 4. Mitigation and Safeguard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Mitigation and Safeguards</w:t>
            </w:r>
          </w:p>
        </w:tc>
      </w:tr>
    </w:tbl>
    <w:p>
      <w:pPr>
        <w:spacing w:after="60" w:before="0"/>
      </w:pPr>
      <w:r>
        <w:rPr>
          <w:sz w:val="4"/>
          <w:szCs w:val="4"/>
        </w:rPr>
      </w:r>
    </w:p>
    <w:p>
      <w:pPr>
        <w:spacing w:after="30" w:before="40" w:line="264"/>
      </w:pPr>
      <w:r>
        <w:t>Safeguards in place to ensure any interference with rights is lawful, necessary and proportionate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Human Rights Assessment: 5. Outcome and Legal Advice"/>
        <w:tblDescription w:val="Section heading for 5. Outcome and Legal Advi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rPr>
              <w:t xml:space="preserve">  Outcome and Legal Advice</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Overall assessment | Not engaged / Engaged and justified / Engaged — safeguards required / Unlawful or unjustified"/>
        <w:tblDescription w:val="Form table with 2 rows and 2 columns, beginning with Overall assessment | Not engaged / Engaged and justified / Engaged — safeguards required / Unlawful or unjustified."/>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Overall assessment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Not engaged / Engaged and justified / Engaged — safeguards required / Unlawful or unjustified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Legal recommendation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Proceed / Proceed with safeguards / Do not proceed / Further legal analysis required</w:t>
            </w:r>
          </w:p>
        </w:tc>
      </w:tr>
    </w:tbl>
    <w:p>
      <w:pPr>
        <w:spacing w:after="40" w:before="0"/>
      </w:pPr>
      <w:r>
        <w:rPr>
          <w:sz w:val="4"/>
          <w:szCs w:val="4"/>
        </w:rPr>
      </w:r>
    </w:p>
    <w:p>
      <w:pPr>
        <w:spacing w:after="80" w:before="40" w:line="264"/>
      </w:pPr>
      <w:r>
        <w:t xml:space="preserve">Legal Services records its independent advice on the rights engaged, the applicable legal tests and any required safeguards. The officer or Council forum holding confirmed delegation records the decision and conditions in the Governance Decision Record (AIG-DEC-03).</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Human Rights Assessment: Legal Services lead name"/>
        <w:tblDescription w:val="Form table with 7 rows and 2 columns, beginning with Legal Services lead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Legal Services lead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Legal Services advice confirmation /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Governance Decision Record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7: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AIG-ASS-07</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pPr>
              <w:spacing w:before="0" w:after="0" w:line="240" w:lineRule="auto"/>
            </w:pPr>
            <w:r>
              <w:t>1.5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Legal Services</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7: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Legal Services</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1.1 draft</w:t>
            </w:r>
          </w:p>
        </w:tc>
        <w:tc>
          <w:tcPr>
            <w:tcW w:type="dxa" w:w="1734"/>
            <w:vAlign w:val="center"/>
            <w:tcMar>
              <w:top w:w="85" w:type="dxa"/>
              <w:start w:w="110" w:type="dxa"/>
              <w:bottom w:w="85" w:type="dxa"/>
              <w:end w:w="110" w:type="dxa"/>
            </w:tcMar>
          </w:tcPr>
          <w:p>
            <w:pPr>
              <w:spacing w:before="0" w:after="0" w:line="240" w:lineRule="auto"/>
            </w:pPr>
            <w:r>
              <w:t xml:space="preserve">29 September 2026</w:t>
            </w:r>
          </w:p>
        </w:tc>
        <w:tc>
          <w:tcPr>
            <w:tcW w:type="dxa" w:w="4819"/>
            <w:vAlign w:val="center"/>
            <w:tcMar>
              <w:top w:w="85" w:type="dxa"/>
              <w:start w:w="110" w:type="dxa"/>
              <w:bottom w:w="85" w:type="dxa"/>
              <w:end w:w="110" w:type="dxa"/>
            </w:tcMar>
          </w:tcPr>
          <w:p>
            <w:pPr>
              <w:spacing w:before="0" w:after="0" w:line="240" w:lineRule="auto"/>
            </w:pPr>
            <w:r>
              <w:t xml:space="preserve">QA remediation — applied findings QA-061, QA-062, QA-163, QA-168, QA-185, QA-200, QA-204, QA-221 (see QA change log).</w:t>
            </w:r>
          </w:p>
        </w:tc>
        <w:tc>
          <w:tcPr>
            <w:tcW w:type="dxa" w:w="1736"/>
            <w:vAlign w:val="center"/>
            <w:tcMar>
              <w:top w:w="85" w:type="dxa"/>
              <w:start w:w="110" w:type="dxa"/>
              <w:bottom w:w="85" w:type="dxa"/>
              <w:end w:w="110" w:type="dxa"/>
            </w:tcMar>
          </w:tcPr>
          <w:p>
            <w:pPr>
              <w:spacing w:before="0" w:after="0" w:line="240" w:lineRule="auto"/>
            </w:pPr>
            <w:r>
              <w:t xml:space="preserve">Legal Services</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1.2 draft</w:t>
            </w:r>
          </w:p>
        </w:tc>
        <w:tc>
          <w:tcPr>
            <w:tcW w:type="dxa" w:w="1734"/>
            <w:vAlign w:val="center"/>
            <w:tcMar>
              <w:top w:w="85" w:type="dxa"/>
              <w:start w:w="110" w:type="dxa"/>
              <w:bottom w:w="85" w:type="dxa"/>
              <w:end w:w="110" w:type="dxa"/>
            </w:tcMar>
          </w:tcPr>
          <w:p>
            <w:pPr>
              <w:spacing w:before="0" w:after="0" w:line="240" w:lineRule="auto"/>
            </w:pPr>
            <w:r>
              <w:t xml:space="preserve">30 September 2026</w:t>
            </w:r>
          </w:p>
        </w:tc>
        <w:tc>
          <w:tcPr>
            <w:tcW w:type="dxa" w:w="4819"/>
            <w:vAlign w:val="center"/>
            <w:tcMar>
              <w:top w:w="85" w:type="dxa"/>
              <w:start w:w="110" w:type="dxa"/>
              <w:bottom w:w="85" w:type="dxa"/>
              <w:end w:w="110" w:type="dxa"/>
            </w:tcMar>
          </w:tcPr>
          <w:p>
            <w:pPr>
              <w:spacing w:before="0" w:after="0" w:line="240" w:lineRule="auto"/>
            </w:pPr>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pPr>
              <w:spacing w:before="0" w:after="0" w:line="240" w:lineRule="auto"/>
            </w:pPr>
            <w:r>
              <w:t xml:space="preserve">Legal Services</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1.3 draft</w:t>
            </w:r>
          </w:p>
        </w:tc>
        <w:tc>
          <w:tcPr>
            <w:tcW w:type="dxa" w:w="1734"/>
            <w:vAlign w:val="center"/>
            <w:tcMar>
              <w:top w:w="85" w:type="dxa"/>
              <w:start w:w="110" w:type="dxa"/>
              <w:bottom w:w="85" w:type="dxa"/>
              <w:end w:w="110" w:type="dxa"/>
            </w:tcMar>
          </w:tcPr>
          <w:p>
            <w:pPr>
              <w:spacing w:before="0" w:after="0" w:line="240" w:lineRule="auto"/>
            </w:pPr>
            <w:r>
              <w:t xml:space="preserve">1 October 2026</w:t>
            </w:r>
          </w:p>
        </w:tc>
        <w:tc>
          <w:tcPr>
            <w:tcW w:type="dxa" w:w="4819"/>
            <w:vAlign w:val="center"/>
            <w:tcMar>
              <w:top w:w="85" w:type="dxa"/>
              <w:start w:w="110" w:type="dxa"/>
              <w:bottom w:w="85" w:type="dxa"/>
              <w:end w:w="110" w:type="dxa"/>
            </w:tcMar>
          </w:tcPr>
          <w:p>
            <w:pPr>
              <w:spacing w:before="0" w:after="0" w:line="240" w:lineRule="auto"/>
            </w:pPr>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pPr>
              <w:spacing w:before="0" w:after="0" w:line="240" w:lineRule="auto"/>
            </w:pPr>
            <w:r>
              <w:t xml:space="preserve">Legal Services</w:t>
            </w:r>
          </w:p>
        </w:tc>
      </w:tr>
      <w:tr>
        <w:trPr>
          <w:cantSplit/>
        </w:trPr>
        <w:tc>
          <w:tcPr>
            <w:tcW w:type="dxa" w:w="1349"/>
            <w:vAlign w:val="center"/>
            <w:tcMar>
              <w:top w:w="85" w:type="dxa"/>
              <w:start w:w="110" w:type="dxa"/>
              <w:bottom w:w="85" w:type="dxa"/>
              <w:end w:w="110" w:type="dxa"/>
            </w:tcMar>
          </w:tcPr>
          <w:p>
            <w:pPr>
              <w:spacing w:before="0" w:after="0" w:line="240" w:lineRule="auto"/>
            </w:pPr>
            <w:r>
              <w:t>1.4 draft</w:t>
            </w:r>
          </w:p>
        </w:tc>
        <w:tc>
          <w:tcPr>
            <w:tcW w:type="dxa" w:w="1734"/>
            <w:vAlign w:val="center"/>
            <w:tcMar>
              <w:top w:w="85" w:type="dxa"/>
              <w:start w:w="110" w:type="dxa"/>
              <w:bottom w:w="85" w:type="dxa"/>
              <w:end w:w="110" w:type="dxa"/>
            </w:tcMar>
          </w:tcPr>
          <w:p>
            <w:pPr>
              <w:spacing w:before="0" w:after="0" w:line="240" w:lineRule="auto"/>
            </w:pPr>
            <w:r>
              <w:t>2 October 2026</w:t>
            </w:r>
          </w:p>
        </w:tc>
        <w:tc>
          <w:tcPr>
            <w:tcW w:type="dxa" w:w="4819"/>
            <w:vAlign w:val="center"/>
            <w:tcMar>
              <w:top w:w="85" w:type="dxa"/>
              <w:start w:w="110" w:type="dxa"/>
              <w:bottom w:w="85" w:type="dxa"/>
              <w:end w:w="110" w:type="dxa"/>
            </w:tcMar>
          </w:tcPr>
          <w:p>
            <w:pPr>
              <w:spacing w:before="0" w:after="0" w:line="240" w:lineRule="auto"/>
            </w:pPr>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pPr>
              <w:spacing w:before="0" w:after="0" w:line="240" w:lineRule="auto"/>
            </w:pPr>
            <w:r>
              <w:t xml:space="preserve">Legal Services</w:t>
            </w:r>
          </w:p>
        </w:tc>
      </w:tr>
      <w:tr>
        <w:trPr>
          <w:cantSplit/>
        </w:trPr>
        <w:tc>
          <w:tcPr>
            <w:tcW w:type="dxa" w:w="1349"/>
            <w:vAlign w:val="center"/>
            <w:tcMar>
              <w:top w:w="85" w:type="dxa"/>
              <w:start w:w="110" w:type="dxa"/>
              <w:bottom w:w="85" w:type="dxa"/>
              <w:end w:w="110" w:type="dxa"/>
            </w:tcMar>
          </w:tcPr>
          <w:p>
            <w:pPr>
              <w:spacing w:before="0" w:after="0" w:line="240" w:lineRule="auto"/>
            </w:pPr>
            <w:r>
              <w:t>1.5 draft</w:t>
            </w:r>
          </w:p>
        </w:tc>
        <w:tc>
          <w:tcPr>
            <w:tcW w:type="dxa" w:w="1734"/>
            <w:vAlign w:val="center"/>
            <w:tcMar>
              <w:top w:w="85" w:type="dxa"/>
              <w:start w:w="110" w:type="dxa"/>
              <w:bottom w:w="85" w:type="dxa"/>
              <w:end w:w="110" w:type="dxa"/>
            </w:tcMar>
          </w:tcPr>
          <w:p>
            <w:pPr>
              <w:spacing w:before="0" w:after="0" w:line="240" w:lineRule="auto"/>
            </w:pPr>
            <w:r>
              <w:t>12 October 2026</w:t>
            </w:r>
          </w:p>
        </w:tc>
        <w:tc>
          <w:tcPr>
            <w:tcW w:type="dxa" w:w="4819"/>
            <w:vAlign w:val="center"/>
            <w:tcMar>
              <w:top w:w="85" w:type="dxa"/>
              <w:start w:w="110" w:type="dxa"/>
              <w:bottom w:w="85" w:type="dxa"/>
              <w:end w:w="110" w:type="dxa"/>
            </w:tcMar>
          </w:tcPr>
          <w:p>
            <w:pPr>
              <w:spacing w:before="0" w:after="0" w:line="240" w:lineRule="auto"/>
            </w:pPr>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pPr>
              <w:spacing w:before="0" w:after="0" w:line="240" w:lineRule="auto"/>
            </w:pPr>
            <w:r>
              <w:t>Legal Services</w:t>
            </w:r>
          </w:p>
        </w:tc>
      </w:tr>
    </w:tbl>
    <w:p>
      <w:r>
        <w:br w:type="page"/>
      </w:r>
    </w:p>
    <w:p>
      <w:r>
        <w:rPr>
          <w:b/>
          <w:sz w:val="32"/>
        </w:rPr>
        <w:t>NOT APPROVED — PROPOSED INTEGRATION ANNEX</w:t>
      </w:r>
    </w:p>
    <w:p>
      <w:r>
        <w:rPr>
          <w:b/>
          <w:sz w:val="26"/>
        </w:rPr>
        <w:t>Integration annex — Human Rights assessment and evidence joins</w:t>
      </w:r>
    </w:p>
    <w:p>
      <w:r>
        <w:rPr>
          <w:b/>
        </w:rPr>
        <w:t>DRAFT FOR COUNCIL REVIEW • 25 September 2026 • Not approved for operational use</w:t>
      </w:r>
    </w:p>
    <w:p>
      <w:r>
        <w:rPr>
          <w:b/>
          <w:sz w:val="24"/>
        </w:rPr>
        <w:t>Legal assessment remains native</w:t>
      </w:r>
    </w:p>
    <w:p>
      <w:r>
        <w:t>This HRA remains the native record for Legal Services’ rights screening, applicable legal character/tests, advice, safeguards and remedy analysis, with the Service Owner’s operational input. The annex makes no finding that a Convention right is or is not engaged, that interference is justified, or that any legal obligation applies. Record legal reasoning and uncertainty in the HRA itself.</w:t>
      </w:r>
    </w:p>
    <w:p>
      <w:r>
        <w:rPr>
          <w:b/>
          <w:sz w:val="24"/>
        </w:rPr>
        <w:t>Evidence and authority</w:t>
      </w:r>
    </w:p>
    <w:p>
      <w:r>
        <w:t xml:space="preserve">After AIR-ID registration in AIG-INV-04, cite evidence using the proposed AIG-INV-04 Evidence Index Evidence ID, exact source/version, observed or verification date and location. An AIG-DEC-04 citation must identify an actual dated Gate Event or Condition only. Legal advice remains in its source; the authorised governance decision and conditions belong in AIG-DEC-03 or authoritative forum minutes. An AIG-DEC-04 reference may point to the dated record but cannot make the decision.</w:t>
      </w:r>
    </w:p>
    <w:p>
      <w:r>
        <w:rPr>
          <w:b/>
          <w:sz w:val="24"/>
        </w:rPr>
        <w:t>Changes, review and contestability</w:t>
      </w:r>
    </w:p>
    <w:p>
      <w:r>
        <w:t>Reassess the native HRA when purpose, affected decisions, data, supplier, model/version, or material system capability changes. Update current state in AIG-INV-04, link monitoring and review in AIG-OPS-02, and use AIG-DEC-04 only for the actual dated event/condition. Link the appropriate AIG-OPS-04 contestability/redress route where decisions affect individuals; the link does not imply that a right is triggered or that a remedy has occurred.</w:t>
      </w:r>
    </w:p>
    <w:p>
      <w:r>
        <w:t xml:space="preserve">Fundamental-rights coverage: for how this Human Rights Assessment contributes to EU AI Act Article 27 fundamental-rights impact assessment coverage, see the Fundamental Rights Coverage Crosswalk (AIG-ASS-12). The crosswalk is a design mapping, not case evidence.</w:t>
      </w:r>
    </w:p>
    <w:p>
      <w:r>
        <w:rPr>
          <w:b/>
          <w:sz w:val="24"/>
        </w:rPr>
        <w:t>Agentic scope and draft status</w:t>
      </w:r>
    </w:p>
    <w:p>
      <w:r>
        <w:t>For consequential agent activity, identify exact AIG-AGT-04 ASBOM permissions/version; AIG-AGT-05 is a derived graph, and AIG-AGT-06 holds action-level decision records. None substitutes for Legal Services’ assessment or grants authority. No rights conclusion, assessment outcome, approval, or public publication is established by this proposed annex.</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REQ-007 — Administrative law, statutory powers, procedural fairness and reasoned decision-making</w:t>
            </w:r>
          </w:p>
        </w:tc>
        <w:tc>
          <w:tcPr>
            <w:tcW w:type="dxa" w:w="3213"/>
          </w:tcPr>
          <w:p>
            <w:r>
              <w:t xml:space="preserve">Screen the public-law requirement against this artefact's actual use and record evidence/version.</w:t>
            </w:r>
          </w:p>
        </w:tc>
        <w:tc>
          <w:tcPr>
            <w:tcW w:type="dxa" w:w="3213"/>
          </w:tcPr>
          <w:p>
            <w:r>
              <w:t xml:space="preserve">Common law and statute; Legal Services to confirm the authoritative source (for example, Government Legal Department, 'The Judge Over Your Shoulder')</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AIG-ASS-07  ·  v1.5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Human Rights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AIG-ASS-07 Human Rights Assessment</dc:title>
  <dc:creator>AI Governance working draft</dc:creator>
  <cp:lastModifiedBy>AI Governance working draft</cp:lastModifiedBy>
  <cp:revision>1</cp:revision>
  <dcterms:created xsi:type="dcterms:W3CDTF">2026-06-27T20:24:01.455Z</dcterms:created>
  <dcterms:modified xsi:type="dcterms:W3CDTF">2026-10-01T12:00:00Z</dcterms:modified>
  <dc:subject>Proposed grouped-ID suite; not approved</dc:subject>
  <cp:keywords>Proposed grouped-ID suite; not approved</cp:keywords>
  <dc:identifier/>
  <cp:version>1.4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