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Supplier AI Due-Diligence Questionnaire</w:t>
      </w:r>
    </w:p>
    <w:p>
      <w:pPr>
        <w:pBdr>
          <w:bottom w:val="single" w:color="C9A442" w:sz="18" w:space="6"/>
        </w:pBdr>
        <w:spacing w:after="60" w:before="0"/>
      </w:pPr>
      <w:r>
        <w:t>The Council  ·  AI Governance Playbook (Level 5 document, §5.5)</w:t>
      </w:r>
    </w:p>
    <w:p>
      <w:pPr>
        <w:spacing w:after="80" w:before="40" w:line="268"/>
      </w:pPr>
      <w:r>
        <w:t>The Council includes AI-specific requirements in the procurement and contracting of any system with an AI component (Playbook §5.5). Suppliers should complete sections 1–9 in full. The Council completes the evaluation in section 10. Responses may form part of the contract.</w:t>
      </w:r>
    </w:p>
    <w:p>
      <w:pPr>
        <w:spacing w:after="80" w:before="40" w:line="268"/>
      </w:pPr>
      <w:r>
        <w:t xml:space="preserve">Existing contracts, licence features and free tools (Proposed — for Council confirmation). Gate 4 (Procurement, AIG-DEC-01) applies wherever a procurement, new contract, licence change or contract variation is needed. For an AI feature enabled under an existing contract or licence, or a free public tool, Gate 4 is recorded as “N/A — existing contract / free tool” with the rationale, but the supplier checks that still apply are completed: the data processing terms, section 5 (Data Protection and Security) and section 8 (Business Continuity, including exit). Where the supplier will not complete this questionnaire (for example a free public tool), the Service Owner answers those sections from the published terms and records any gaps.</w:t>
      </w:r>
    </w:p>
    <w:tbl>
      <w:tblPr>
        <w:tblW w:type="dxa" w:w="9638"/>
        <w:tblBorders>
          <w:top w:val="none"/>
          <w:left w:val="none"/>
          <w:bottom w:val="none"/>
          <w:right w:val="none"/>
          <w:insideH w:val="none"/>
          <w:insideV w:val="none"/>
        </w:tblBorders>
        <w:tblCaption w:val="Supplier AI Due-Diligence Questionnaire: 1. Supplier and Product"/>
        <w:tblDescription w:val="Section heading for 1. Supplier and Produc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1"/>
                <w:szCs w:val="21"/>
              </w:rPr>
              <w:t xml:space="preserve">  Supplier and Product</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Supplier / company name"/>
        <w:tblDescription w:val="Form table with 5 rows and 2 columns, beginning with Supplier / company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Supplier / company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Contact name and email</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Product / system name &amp; version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Brief description of the product</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Council procurement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If known</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UC-ID(s) / supplier use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List each Council use to which these answers apply; use risk ___; priority ___.</w:t>
            </w:r>
          </w:p>
        </w:tc>
      </w:tr>
    </w:tbl>
    <w:p>
      <w:pPr>
        <w:spacing w:after="20" w:before="60"/>
      </w:pPr>
      <w:r/>
      <w:r>
        <w:rPr>
          <w:b/>
        </w:rPr>
        <w:t xml:space="preserve">Supplier evidence applicability — </w:t>
      </w:r>
      <w:r>
        <w:t xml:space="preserve">map each answer/evidence item to the UC-ID(s) it supports. Shared supplier evidence may be referenced, but service context, integration, data, use-specific risk and residual controls remain per UC-ID. Supplier assurance is not Council approval.</w:t>
      </w:r>
    </w:p>
    <w:p>
      <w:pPr>
        <w:spacing w:after="120" w:before="0"/>
      </w:pPr>
      <w:r>
        <w:rPr>
          <w:sz w:val="4"/>
          <w:szCs w:val="4"/>
        </w:rPr>
      </w:r>
    </w:p>
    <w:tbl>
      <w:tblPr>
        <w:tblW w:type="dxa" w:w="9638"/>
        <w:tblBorders>
          <w:top w:val="none"/>
          <w:left w:val="none"/>
          <w:bottom w:val="none"/>
          <w:right w:val="none"/>
          <w:insideH w:val="none"/>
          <w:insideV w:val="none"/>
        </w:tblBorders>
        <w:tblCaption w:val="Supplier AI Due-Diligence Questionnaire: 2. AI Capability and Models"/>
        <w:tblDescription w:val="Section heading for 2. AI Capability and Mode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1"/>
                <w:szCs w:val="21"/>
              </w:rPr>
              <w:t xml:space="preserve">  AI Capability and Models</w:t>
            </w:r>
          </w:p>
        </w:tc>
      </w:tr>
    </w:tbl>
    <w:p>
      <w:pPr>
        <w:spacing w:after="60" w:before="0"/>
      </w:pPr>
      <w:r>
        <w:rPr>
          <w:sz w:val="4"/>
          <w:szCs w:val="4"/>
        </w:rPr>
      </w:r>
    </w:p>
    <w:p>
      <w:pPr>
        <w:spacing w:after="20" w:before="60"/>
      </w:pPr>
      <w:r>
        <w:t>2.1  Which AI techniques or models does the product use (e.g. generative, predictive, computer vision, NLP)? Name any third-party or foundation models relied upon.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2.2  Is any part of the AI provided or hosted by a sub-processor or third party? List them and their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3. Transparency"/>
        <w:tblDescription w:val="Section heading for 3. Transparenc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1"/>
                <w:szCs w:val="21"/>
              </w:rPr>
              <w:t xml:space="preserve">  Transparency</w:t>
            </w:r>
          </w:p>
        </w:tc>
      </w:tr>
    </w:tbl>
    <w:p>
      <w:pPr>
        <w:spacing w:after="60" w:before="0"/>
      </w:pPr>
      <w:r>
        <w:rPr>
          <w:sz w:val="4"/>
          <w:szCs w:val="4"/>
        </w:rPr>
      </w:r>
    </w:p>
    <w:p>
      <w:pPr>
        <w:spacing w:after="20" w:before="60"/>
      </w:pPr>
      <w:r>
        <w:t>3.1  What information can you provide about training data, including its sources and representativeness?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3.2  What are the known limitations and failure modes of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3.3  What performance characteristics can you share (accuracy, error rates, benchmarks and the conditions under which they were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4. Responsible AI Alignment"/>
        <w:tblDescription w:val="Section heading for 4. Responsible AI Alignmen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1"/>
                <w:szCs w:val="21"/>
              </w:rPr>
              <w:t xml:space="preserve">  Responsible AI Alignment</w:t>
            </w:r>
          </w:p>
        </w:tc>
      </w:tr>
    </w:tbl>
    <w:p>
      <w:pPr>
        <w:spacing w:after="60" w:before="0"/>
      </w:pPr>
      <w:r>
        <w:rPr>
          <w:sz w:val="4"/>
          <w:szCs w:val="4"/>
        </w:rPr>
      </w:r>
    </w:p>
    <w:p>
      <w:pPr>
        <w:spacing w:after="20" w:before="60"/>
      </w:pPr>
      <w:r>
        <w:t>4.1  What bias and fairness testing has been carried out, and can you share results across relevant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1"/>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4.2  How are the AI's outputs explained to users and to affected individuals?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4.3  How does the product support meaningful human oversight, review and override?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 xml:space="preserve">4.4  What information can you provide on the energy use and carbon footprint of the AI (training and operation), the locations of the data centres used, and your sustainability commitments?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4.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5. Data Protection and Security"/>
        <w:tblDescription w:val="Section heading for 5. Data Protection and Secur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sz w:val="21"/>
                <w:szCs w:val="21"/>
              </w:rPr>
              <w:t xml:space="preserve">  Data Protection and Security</w:t>
            </w:r>
          </w:p>
        </w:tc>
      </w:tr>
    </w:tbl>
    <w:p>
      <w:pPr>
        <w:spacing w:after="60" w:before="0"/>
      </w:pPr>
      <w:r>
        <w:rPr>
          <w:sz w:val="4"/>
          <w:szCs w:val="4"/>
        </w:rPr>
      </w:r>
    </w:p>
    <w:p>
      <w:pPr>
        <w:spacing w:after="20" w:before="60"/>
      </w:pPr>
      <w:r>
        <w:t>5.1  How does the product comply with UK GDPR? Will it process personal or special category data, and on what basis?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5.2  Where is data hosted and processed, and is any data used to train or improve your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5.3  What security certifications and controls are in place (e.g. ISO 27001, Cyber Essentials, penetration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 xml:space="preserve">5.4  Is the product secure by default: are the most secure settings the default, and are administrative and high-risk features switched off until the Council chooses to turn them on? (NCSC guideline 3.5;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5.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 xml:space="preserve">5.5  How are the model and its weights protected against extraction or tampering, and how do you check the integrity of model updates before release? (NCSC guideline 3.2;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5.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20" w:before="60"/>
      </w:pPr>
      <w:r>
        <w:t xml:space="preserve">5.6  Do you have a published vulnerability disclosure process? How, and how quickly, will you tell the Council about vulnerabilities affecting the product and about the fixes? (NCSC guideline 4.4;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5.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auto" w:w="0"/>
        <w:jc w:val="center"/>
        <w:tblLayout w:type="fixed"/>
        <w:tblLook w:firstColumn="1" w:firstRow="1" w:lastColumn="0" w:lastRow="0" w:noHBand="0" w:noVBand="1" w:val="04A0"/>
        <w:tblCaption w:val="5A.  Contract, Transfer and Security Assurance"/>
        <w:tblDescription w:val="Supplier questions covering processor terms, sub-processors, transfers, incidents, vulnerabilities and personnel assurance."/>
      </w:tblPr>
      <w:tblGrid>
        <w:gridCol w:w="9638"/>
      </w:tblGrid>
      <w:tr>
        <w:trPr>
          <w:tblHeader w:val="true"/>
        </w:trPr>
        <w:tc>
          <w:tcPr>
            <w:tcW w:type="dxa" w:w="9288"/>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20"/>
                <w:szCs w:val="20"/>
              </w:rPr>
              <w:t>5A.  Contract, Transfer and Security Assurance</w:t>
            </w:r>
          </w:p>
        </w:tc>
      </w:tr>
    </w:tbl>
    <w:p>
      <w:pPr>
        <w:keepNext/>
        <w:spacing w:before="80" w:after="100"/>
      </w:pPr>
      <w:r>
        <w:t>Answer each question and attach the proposed contractual schedule, assurance evidence or a tracked remediation action.</w:t>
      </w:r>
    </w:p>
    <w:tbl>
      <w:tblPr>
        <w:tblW w:type="auto" w:w="0"/>
        <w:jc w:val="center"/>
        <w:tblLayout w:type="fixed"/>
        <w:tblLook w:firstColumn="1" w:firstRow="1" w:lastColumn="0" w:lastRow="0" w:noHBand="0" w:noVBand="1" w:val="04A0"/>
        <w:tblCaption w:val="Supplier contract, transfer and security controls"/>
        <w:tblDescription w:val="Operational control fields for supplier contract, transfer and security controls."/>
      </w:tblPr>
      <w:tblGrid>
        <w:gridCol w:w="4819"/>
        <w:gridCol w:w="4819"/>
      </w:tblGrid>
      <w:tr>
        <w:trPr>
          <w:tblHeader w:val="true"/>
        </w:trPr>
        <w:tc>
          <w:tcPr>
            <w:tcW w:type="dxa" w:w="338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Supplier question</w:t>
            </w:r>
          </w:p>
        </w:tc>
        <w:tc>
          <w:tcPr>
            <w:tcW w:type="dxa" w:w="5904"/>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i/>
                <w:iCs/>
                <w:color w:val="FFFFFF"/>
                <w:sz w:val="17"/>
                <w:szCs w:val="17"/>
              </w:rPr>
              <w:t>Response, evidence and proposed contractual provision</w:t>
            </w:r>
          </w:p>
        </w:tc>
      </w:tr>
      <w:tr>
        <w:tc>
          <w:tcPr>
            <w:tcW w:type="dxa" w:w="3384"/>
            <w:shd w:fill="DCE6F1"/>
            <w:tcMar>
              <w:top w:w="90" w:type="dxa"/>
              <w:start w:w="90" w:type="dxa"/>
              <w:bottom w:w="90" w:type="dxa"/>
              <w:end w:w="90" w:type="dxa"/>
            </w:tcMar>
            <w:vAlign w:val="center"/>
          </w:tcPr>
          <w:p>
            <w:pPr>
              <w:spacing w:before="0" w:after="0" w:line="240" w:lineRule="auto"/>
              <w:jc w:val="left"/>
            </w:pPr>
            <w:r>
              <w:t>5A.1  UK GDPR Article 28 processor terms</w:t>
            </w:r>
          </w:p>
        </w:tc>
        <w:tc>
          <w:tcPr>
            <w:tcW w:type="dxa" w:w="5904"/>
            <w:shd w:fill="FFF8E5"/>
            <w:tcMar>
              <w:top w:w="90" w:type="dxa"/>
              <w:start w:w="90" w:type="dxa"/>
              <w:bottom w:w="90" w:type="dxa"/>
              <w:end w:w="90" w:type="dxa"/>
            </w:tcMar>
            <w:vAlign w:val="center"/>
          </w:tcPr>
          <w:p>
            <w:pPr>
              <w:spacing w:before="0" w:after="0" w:line="240" w:lineRule="auto"/>
              <w:jc w:val="left"/>
            </w:pPr>
            <w:r>
              <w:t>Set out controller/processor roles and terms covering documented instructions, confidentiality, security, data-subject rights, breach and DPIA assistance, deletion/return and audit evidence.</w:t>
            </w:r>
          </w:p>
        </w:tc>
      </w:tr>
      <w:tr>
        <w:tc>
          <w:tcPr>
            <w:tcW w:type="dxa" w:w="3384"/>
            <w:shd w:fill="DCE6F1"/>
            <w:tcMar>
              <w:top w:w="90" w:type="dxa"/>
              <w:start w:w="90" w:type="dxa"/>
              <w:bottom w:w="90" w:type="dxa"/>
              <w:end w:w="90" w:type="dxa"/>
            </w:tcMar>
            <w:vAlign w:val="center"/>
          </w:tcPr>
          <w:p>
            <w:pPr>
              <w:spacing w:before="0" w:after="0" w:line="240" w:lineRule="auto"/>
              <w:jc w:val="left"/>
            </w:pPr>
            <w:r>
              <w:t>5A.2  Sub-processors</w:t>
            </w:r>
          </w:p>
        </w:tc>
        <w:tc>
          <w:tcPr>
            <w:tcW w:type="dxa" w:w="5904"/>
            <w:shd w:fill="FFF8E5"/>
            <w:tcMar>
              <w:top w:w="90" w:type="dxa"/>
              <w:start w:w="90" w:type="dxa"/>
              <w:bottom w:w="90" w:type="dxa"/>
              <w:end w:w="90" w:type="dxa"/>
            </w:tcMar>
            <w:vAlign w:val="center"/>
          </w:tcPr>
          <w:p>
            <w:pPr>
              <w:spacing w:before="0" w:after="0" w:line="240" w:lineRule="auto"/>
              <w:jc w:val="left"/>
            </w:pPr>
            <w:r>
              <w:t>List every sub-processor, role and processing location; explain prior authorisation, change notification, Council objection rights and equivalent contractual flow-down.</w:t>
            </w:r>
          </w:p>
        </w:tc>
      </w:tr>
      <w:tr>
        <w:tc>
          <w:tcPr>
            <w:tcW w:type="dxa" w:w="3384"/>
            <w:shd w:fill="DCE6F1"/>
            <w:tcMar>
              <w:top w:w="90" w:type="dxa"/>
              <w:start w:w="90" w:type="dxa"/>
              <w:bottom w:w="90" w:type="dxa"/>
              <w:end w:w="90" w:type="dxa"/>
            </w:tcMar>
            <w:vAlign w:val="center"/>
          </w:tcPr>
          <w:p>
            <w:pPr>
              <w:spacing w:before="0" w:after="0" w:line="240" w:lineRule="auto"/>
              <w:jc w:val="left"/>
            </w:pPr>
            <w:r>
              <w:t>5A.3  International transfers</w:t>
            </w:r>
          </w:p>
        </w:tc>
        <w:tc>
          <w:tcPr>
            <w:tcW w:type="dxa" w:w="5904"/>
            <w:shd w:fill="FFF8E5"/>
            <w:tcMar>
              <w:top w:w="90" w:type="dxa"/>
              <w:start w:w="90" w:type="dxa"/>
              <w:bottom w:w="90" w:type="dxa"/>
              <w:end w:w="90" w:type="dxa"/>
            </w:tcMar>
            <w:vAlign w:val="center"/>
          </w:tcPr>
          <w:p>
            <w:pPr>
              <w:spacing w:before="0" w:after="0" w:line="240" w:lineRule="auto"/>
              <w:jc w:val="left"/>
            </w:pPr>
            <w:r>
              <w:t>Identify each destination and safeguard (UK adequacy regulations, IDTA or UK Addendum as applicable), plus transfer risk assessment and supplementary measures.</w:t>
            </w:r>
          </w:p>
        </w:tc>
      </w:tr>
      <w:tr>
        <w:tc>
          <w:tcPr>
            <w:tcW w:type="dxa" w:w="3384"/>
            <w:shd w:fill="DCE6F1"/>
            <w:tcMar>
              <w:top w:w="90" w:type="dxa"/>
              <w:start w:w="90" w:type="dxa"/>
              <w:bottom w:w="90" w:type="dxa"/>
              <w:end w:w="90" w:type="dxa"/>
            </w:tcMar>
            <w:vAlign w:val="center"/>
          </w:tcPr>
          <w:p>
            <w:pPr>
              <w:spacing w:before="0" w:after="0" w:line="240" w:lineRule="auto"/>
              <w:jc w:val="left"/>
            </w:pPr>
            <w:r>
              <w:t>5A.4  Incident notification and cooperation</w:t>
            </w:r>
          </w:p>
        </w:tc>
        <w:tc>
          <w:tcPr>
            <w:tcW w:type="dxa" w:w="5904"/>
            <w:shd w:fill="FFF8E5"/>
            <w:tcMar>
              <w:top w:w="90" w:type="dxa"/>
              <w:start w:w="90" w:type="dxa"/>
              <w:bottom w:w="90" w:type="dxa"/>
              <w:end w:w="90" w:type="dxa"/>
            </w:tcMar>
            <w:vAlign w:val="center"/>
          </w:tcPr>
          <w:p>
            <w:pPr>
              <w:spacing w:before="0" w:after="0" w:line="240" w:lineRule="auto"/>
              <w:jc w:val="left"/>
            </w:pPr>
            <w:r>
              <w:t>State contractual notification deadlines for personal-data, cyber and AI incidents; 24/7 contacts; evidence preservation; investigation cooperation; and support for regulator or data-subject notification.</w:t>
            </w:r>
          </w:p>
        </w:tc>
      </w:tr>
      <w:tr>
        <w:tc>
          <w:tcPr>
            <w:tcW w:type="dxa" w:w="3384"/>
            <w:shd w:fill="DCE6F1"/>
            <w:tcMar>
              <w:top w:w="90" w:type="dxa"/>
              <w:start w:w="90" w:type="dxa"/>
              <w:bottom w:w="90" w:type="dxa"/>
              <w:end w:w="90" w:type="dxa"/>
            </w:tcMar>
            <w:vAlign w:val="center"/>
          </w:tcPr>
          <w:p>
            <w:pPr>
              <w:spacing w:before="0" w:after="0" w:line="240" w:lineRule="auto"/>
              <w:jc w:val="left"/>
            </w:pPr>
            <w:r>
              <w:t>5A.5  Vulnerability management and patching</w:t>
            </w:r>
          </w:p>
        </w:tc>
        <w:tc>
          <w:tcPr>
            <w:tcW w:type="dxa" w:w="5904"/>
            <w:shd w:fill="FFF8E5"/>
            <w:tcMar>
              <w:top w:w="90" w:type="dxa"/>
              <w:start w:w="90" w:type="dxa"/>
              <w:bottom w:w="90" w:type="dxa"/>
              <w:end w:w="90" w:type="dxa"/>
            </w:tcMar>
            <w:vAlign w:val="center"/>
          </w:tcPr>
          <w:p>
            <w:pPr>
              <w:spacing w:before="0" w:after="0" w:line="240" w:lineRule="auto"/>
              <w:jc w:val="left"/>
            </w:pPr>
            <w:r>
              <w:t>Provide the disclosure channel, severity method, current independent test evidence, remediation deadlines, critical-patch service level and process for accepted residual vulnerabilities.</w:t>
            </w:r>
          </w:p>
        </w:tc>
      </w:tr>
      <w:tr>
        <w:tc>
          <w:tcPr>
            <w:tcW w:type="dxa" w:w="3384"/>
            <w:shd w:fill="DCE6F1"/>
            <w:tcMar>
              <w:top w:w="90" w:type="dxa"/>
              <w:start w:w="90" w:type="dxa"/>
              <w:bottom w:w="90" w:type="dxa"/>
              <w:end w:w="90" w:type="dxa"/>
            </w:tcMar>
            <w:vAlign w:val="center"/>
          </w:tcPr>
          <w:p>
            <w:pPr>
              <w:spacing w:before="0" w:after="0" w:line="240" w:lineRule="auto"/>
              <w:jc w:val="left"/>
            </w:pPr>
            <w:r>
              <w:t>5A.6  Supplier personnel assurance and training</w:t>
            </w:r>
          </w:p>
        </w:tc>
        <w:tc>
          <w:tcPr>
            <w:tcW w:type="dxa" w:w="5904"/>
            <w:shd w:fill="FFF8E5"/>
            <w:tcMar>
              <w:top w:w="90" w:type="dxa"/>
              <w:start w:w="90" w:type="dxa"/>
              <w:bottom w:w="90" w:type="dxa"/>
              <w:end w:w="90" w:type="dxa"/>
            </w:tcMar>
            <w:vAlign w:val="center"/>
          </w:tcPr>
          <w:p>
            <w:pPr>
              <w:spacing w:before="0" w:after="0" w:line="240" w:lineRule="auto"/>
              <w:jc w:val="left"/>
            </w:pPr>
            <w:r>
              <w:t>Describe screening where proportionate, role-based security/data-protection/Responsible-AI training, privileged-access controls and completion evidence.</w:t>
            </w:r>
          </w:p>
        </w:tc>
      </w:tr>
    </w:tbl>
    <w:p>
      <w:pPr>
        <w:spacing w:before="0" w:after="0"/>
      </w:pPr>
      <w:r/>
    </w:p>
    <w:tbl>
      <w:tblPr>
        <w:tblW w:type="dxa" w:w="9638"/>
        <w:tblBorders>
          <w:top w:val="none"/>
          <w:left w:val="none"/>
          <w:bottom w:val="none"/>
          <w:right w:val="none"/>
          <w:insideH w:val="none"/>
          <w:insideV w:val="none"/>
        </w:tblBorders>
        <w:tblCaption w:val="Supplier AI Due-Diligence Questionnaire: 6. Audit Rights"/>
        <w:tblDescription w:val="Section heading for 6. Audit Right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6.</w:t>
            </w:r>
            <w:r>
              <w:rPr>
                <w:rFonts w:ascii="Arial" w:hAnsi="Arial" w:eastAsia="Arial" w:cs="Arial"/>
                <w:b/>
                <w:bCs/>
                <w:color w:val="FFFFFF"/>
                <w:sz w:val="21"/>
                <w:szCs w:val="21"/>
              </w:rPr>
              <w:t xml:space="preserve">  Audit Rights</w:t>
            </w:r>
          </w:p>
        </w:tc>
      </w:tr>
    </w:tbl>
    <w:p>
      <w:pPr>
        <w:spacing w:after="60" w:before="0"/>
      </w:pPr>
      <w:r>
        <w:rPr>
          <w:sz w:val="4"/>
          <w:szCs w:val="4"/>
        </w:rPr>
      </w:r>
    </w:p>
    <w:p>
      <w:pPr>
        <w:spacing w:after="20" w:before="60"/>
      </w:pPr>
      <w:r>
        <w:t>6.1  What rights and mechanisms will the Council have to assess the AI's performance, bias and compliance during the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1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7. Change Notification"/>
        <w:tblDescription w:val="Section heading for 7. Change Notific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7.</w:t>
            </w:r>
            <w:r>
              <w:rPr>
                <w:rFonts w:ascii="Arial" w:hAnsi="Arial" w:eastAsia="Arial" w:cs="Arial"/>
                <w:b/>
                <w:bCs/>
                <w:color w:val="FFFFFF"/>
                <w:sz w:val="21"/>
                <w:szCs w:val="21"/>
              </w:rPr>
              <w:t xml:space="preserve">  Change Notification</w:t>
            </w:r>
          </w:p>
        </w:tc>
      </w:tr>
    </w:tbl>
    <w:p>
      <w:pPr>
        <w:spacing w:after="60" w:before="0"/>
      </w:pPr>
      <w:r>
        <w:rPr>
          <w:sz w:val="4"/>
          <w:szCs w:val="4"/>
        </w:rPr>
      </w:r>
    </w:p>
    <w:p>
      <w:pPr>
        <w:spacing w:after="20" w:before="60"/>
      </w:pPr>
      <w:r>
        <w:t>7.1  How and when will you notify the Council of material changes to AI models, training data or functionality?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21"/>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8. Business Continuity"/>
        <w:tblDescription w:val="Section heading for 8. Business Continu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8.</w:t>
            </w:r>
            <w:r>
              <w:rPr>
                <w:rFonts w:ascii="Arial" w:hAnsi="Arial" w:eastAsia="Arial" w:cs="Arial"/>
                <w:b/>
                <w:bCs/>
                <w:color w:val="FFFFFF"/>
                <w:sz w:val="21"/>
                <w:szCs w:val="21"/>
              </w:rPr>
              <w:t xml:space="preserve">  Business Continuity</w:t>
            </w:r>
          </w:p>
        </w:tc>
      </w:tr>
    </w:tbl>
    <w:p>
      <w:pPr>
        <w:spacing w:after="60" w:before="0"/>
      </w:pPr>
      <w:r>
        <w:rPr>
          <w:sz w:val="4"/>
          <w:szCs w:val="4"/>
        </w:rPr>
      </w:r>
    </w:p>
    <w:p>
      <w:pPr>
        <w:spacing w:after="20" w:before="60"/>
      </w:pPr>
      <w:r>
        <w:t xml:space="preserve">8.1  What business continuity, support and exit arrangements apply, appropriate to the criticality of the system, including return or deletion of Council data on 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response area 2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Supplier AI Due-Diligence Questionnaire: 9. Declarations"/>
        <w:tblDescription w:val="Section heading for 9. Declaration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9.</w:t>
            </w:r>
            <w:r>
              <w:rPr>
                <w:rFonts w:ascii="Arial" w:hAnsi="Arial" w:eastAsia="Arial" w:cs="Arial"/>
                <w:b/>
                <w:bCs/>
                <w:color w:val="FFFFFF"/>
                <w:sz w:val="21"/>
                <w:szCs w:val="21"/>
              </w:rPr>
              <w:t xml:space="preserve">  Declarations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Completed by"/>
        <w:tblDescription w:val="Form table with 4 rows and 2 columns, beginning with Completed by."/>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Completed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Position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tbl>
      <w:tblPr>
        <w:tblW w:type="dxa" w:w="9638"/>
        <w:tblBorders>
          <w:top w:val="none"/>
          <w:left w:val="none"/>
          <w:bottom w:val="none"/>
          <w:right w:val="none"/>
          <w:insideH w:val="none"/>
          <w:insideV w:val="none"/>
        </w:tblBorders>
        <w:tblCaption w:val="Supplier AI Due-Diligence Questionnaire: 10. Internal Evaluation (internal)"/>
        <w:tblDescription w:val="Section heading for 10. Internal Evaluation (internal)."/>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10.</w:t>
            </w:r>
            <w:r>
              <w:rPr>
                <w:rFonts w:ascii="Arial" w:hAnsi="Arial" w:eastAsia="Arial" w:cs="Arial"/>
                <w:b/>
                <w:bCs/>
                <w:color w:val="FFFFFF"/>
              </w:rPr>
              <w:t xml:space="preserve">  Council Evaluation (internal)</w:t>
            </w:r>
          </w:p>
        </w:tc>
      </w:tr>
    </w:tbl>
    <w:p>
      <w:pPr>
        <w:spacing w:after="60" w:before="0"/>
      </w:pPr>
      <w:r>
        <w:rPr>
          <w:sz w:val="4"/>
          <w:szCs w:val="4"/>
        </w:rPr>
      </w:r>
    </w:p>
    <w:p>
      <w:pPr>
        <w:spacing w:after="60" w:before="40" w:line="268"/>
      </w:pPr>
      <w:r>
        <w:t>Completed by the Service Owner with the AI Governance Lead. Rate each area and note any contractual provisions or conditions required before award.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Area | Rating | Notes / contractual provision required"/>
        <w:tblDescription w:val="Structured table with 8 rows and 3 columns. The first row contains the column headings: Area | Rating | Notes / contractual provision required."/>
      </w:tblPr>
      <w:tblGrid>
        <w:gridCol w:w="3600"/>
        <w:gridCol w:w="1900"/>
        <w:gridCol w:w="4138"/>
      </w:tblGrid>
      <w:tr>
        <w:trPr>
          <w:tblHeader w:val="true"/>
        </w:trPr>
        <w:tc>
          <w:tcPr>
            <w:tcW w:type="dxa" w:w="36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tcPr>
          <w:p>
            <w:pPr>
              <w:spacing w:after="0" w:before="0"/>
            </w:pPr>
            <w:r>
              <w:rPr>
                <w:rFonts w:ascii="Arial" w:hAnsi="Arial" w:eastAsia="Arial" w:cs="Arial"/>
                <w:b/>
                <w:bCs/>
                <w:color w:val="FFFFFF"/>
                <w:sz w:val="18"/>
                <w:szCs w:val="18"/>
              </w:rPr>
              <w:t>Area</w:t>
            </w:r>
          </w:p>
        </w:tc>
        <w:tc>
          <w:tcPr>
            <w:tcW w:type="dxa" w:w="19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tcPr>
          <w:p>
            <w:pPr>
              <w:spacing w:after="0" w:before="0"/>
            </w:pPr>
            <w:r>
              <w:rPr>
                <w:rFonts w:ascii="Arial" w:hAnsi="Arial" w:eastAsia="Arial" w:cs="Arial"/>
                <w:b/>
                <w:bCs/>
                <w:color w:val="FFFFFF"/>
                <w:sz w:val="18"/>
                <w:szCs w:val="18"/>
              </w:rPr>
              <w:t>Rating</w:t>
            </w:r>
          </w:p>
        </w:tc>
        <w:tc>
          <w:tcPr>
            <w:tcW w:type="dxa" w:w="41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tcPr>
          <w:p>
            <w:pPr>
              <w:spacing w:after="0" w:before="0"/>
            </w:pPr>
            <w:r>
              <w:rPr>
                <w:rFonts w:ascii="Arial" w:hAnsi="Arial" w:eastAsia="Arial" w:cs="Arial"/>
                <w:b/>
                <w:bCs/>
                <w:color w:val="FFFFFF"/>
                <w:sz w:val="18"/>
                <w:szCs w:val="18"/>
              </w:rPr>
              <w:t>Notes / contractual provision required</w:t>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 capability and models</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Transparency</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Responsible AI alignment</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Data protection and security</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Audit rights</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Change notification</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Business continuity</w:t>
            </w:r>
          </w:p>
        </w:tc>
        <w:tc>
          <w:tcPr>
            <w:tcW w:type="dxa" w:w="19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w:t>
            </w:r>
          </w:p>
        </w:tc>
        <w:tc>
          <w:tcPr>
            <w:tcW w:type="dxa" w:w="41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pPr>
            <w:r>
              <w:rPr>
                <w:rFonts w:ascii="Arial" w:cs="Arial" w:eastAsia="Arial" w:hAnsi="Arial"/>
                <w:sz w:val="17"/>
                <w:szCs w:val="17"/>
              </w:rPr>
            </w:r>
          </w:p>
        </w:tc>
      </w:tr>
      <w:tr>
        <w:tc>
          <w:tcPr>
            <w:tcW w:type="dxa" w:w="3600"/>
            <w:shd w:fill="DCE6F1"/>
            <w:tcMar>
              <w:top w:w="90" w:type="dxa"/>
              <w:start w:w="90" w:type="dxa"/>
              <w:bottom w:w="90" w:type="dxa"/>
              <w:end w:w="90" w:type="dxa"/>
            </w:tcMar>
            <w:vAlign w:val="center"/>
          </w:tcPr>
          <w:p>
            <w:pPr>
              <w:spacing w:before="0" w:after="0" w:line="240" w:lineRule="auto"/>
              <w:jc w:val="left"/>
            </w:pPr>
            <w:r>
              <w:t>Processor and sub-processor terms</w:t>
            </w:r>
          </w:p>
        </w:tc>
        <w:tc>
          <w:tcPr>
            <w:tcW w:type="dxa" w:w="1900"/>
            <w:shd w:fill="FFF8E5"/>
            <w:tcMar>
              <w:top w:w="90" w:type="dxa"/>
              <w:start w:w="90" w:type="dxa"/>
              <w:bottom w:w="90" w:type="dxa"/>
              <w:end w:w="90" w:type="dxa"/>
            </w:tcMar>
            <w:vAlign w:val="center"/>
          </w:tcPr>
          <w:p>
            <w:pPr>
              <w:spacing w:before="0" w:after="0" w:line="240" w:lineRule="auto"/>
              <w:jc w:val="left"/>
            </w:pPr>
            <w:r>
              <w:t xml:space="preserve">Strong / Adequate / Needs work / Not addressed</w:t>
            </w:r>
          </w:p>
        </w:tc>
        <w:tc>
          <w:tcPr>
            <w:tcW w:type="dxa" w:w="4138"/>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6"/>
              </w:rPr>
            </w:r>
          </w:p>
        </w:tc>
      </w:tr>
      <w:tr>
        <w:tc>
          <w:tcPr>
            <w:tcW w:type="dxa" w:w="3600"/>
            <w:shd w:fill="DCE6F1"/>
            <w:tcMar>
              <w:top w:w="90" w:type="dxa"/>
              <w:start w:w="90" w:type="dxa"/>
              <w:bottom w:w="90" w:type="dxa"/>
              <w:end w:w="90" w:type="dxa"/>
            </w:tcMar>
            <w:vAlign w:val="center"/>
          </w:tcPr>
          <w:p>
            <w:pPr>
              <w:spacing w:before="0" w:after="0" w:line="240" w:lineRule="auto"/>
              <w:jc w:val="left"/>
            </w:pPr>
            <w:r>
              <w:t>International data transfers</w:t>
            </w:r>
          </w:p>
        </w:tc>
        <w:tc>
          <w:tcPr>
            <w:tcW w:type="dxa" w:w="1900"/>
            <w:shd w:fill="FFF8E5"/>
            <w:tcMar>
              <w:top w:w="90" w:type="dxa"/>
              <w:start w:w="90" w:type="dxa"/>
              <w:bottom w:w="90" w:type="dxa"/>
              <w:end w:w="90" w:type="dxa"/>
            </w:tcMar>
            <w:vAlign w:val="center"/>
          </w:tcPr>
          <w:p>
            <w:pPr>
              <w:spacing w:before="0" w:after="0" w:line="240" w:lineRule="auto"/>
              <w:jc w:val="left"/>
            </w:pPr>
            <w:r>
              <w:t xml:space="preserve">Strong / Adequate / Needs work / Not addressed</w:t>
            </w:r>
          </w:p>
        </w:tc>
        <w:tc>
          <w:tcPr>
            <w:tcW w:type="dxa" w:w="4138"/>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6"/>
              </w:rPr>
            </w:r>
          </w:p>
        </w:tc>
      </w:tr>
      <w:tr>
        <w:tc>
          <w:tcPr>
            <w:tcW w:type="dxa" w:w="3600"/>
            <w:shd w:fill="DCE6F1"/>
            <w:tcMar>
              <w:top w:w="90" w:type="dxa"/>
              <w:start w:w="90" w:type="dxa"/>
              <w:bottom w:w="90" w:type="dxa"/>
              <w:end w:w="90" w:type="dxa"/>
            </w:tcMar>
            <w:vAlign w:val="center"/>
          </w:tcPr>
          <w:p>
            <w:pPr>
              <w:spacing w:before="0" w:after="0" w:line="240" w:lineRule="auto"/>
              <w:jc w:val="left"/>
            </w:pPr>
            <w:r>
              <w:t>Incident and vulnerability management</w:t>
            </w:r>
          </w:p>
        </w:tc>
        <w:tc>
          <w:tcPr>
            <w:tcW w:type="dxa" w:w="1900"/>
            <w:shd w:fill="FFF8E5"/>
            <w:tcMar>
              <w:top w:w="90" w:type="dxa"/>
              <w:start w:w="90" w:type="dxa"/>
              <w:bottom w:w="90" w:type="dxa"/>
              <w:end w:w="90" w:type="dxa"/>
            </w:tcMar>
            <w:vAlign w:val="center"/>
          </w:tcPr>
          <w:p>
            <w:pPr>
              <w:spacing w:before="0" w:after="0" w:line="240" w:lineRule="auto"/>
              <w:jc w:val="left"/>
            </w:pPr>
            <w:r>
              <w:t xml:space="preserve">Strong / Adequate / Needs work / Not addressed</w:t>
            </w:r>
          </w:p>
        </w:tc>
        <w:tc>
          <w:tcPr>
            <w:tcW w:type="dxa" w:w="4138"/>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6"/>
              </w:rPr>
            </w:r>
          </w:p>
        </w:tc>
      </w:tr>
      <w:tr>
        <w:tc>
          <w:tcPr>
            <w:tcW w:type="dxa" w:w="3600"/>
            <w:shd w:fill="DCE6F1"/>
            <w:tcMar>
              <w:top w:w="90" w:type="dxa"/>
              <w:start w:w="90" w:type="dxa"/>
              <w:bottom w:w="90" w:type="dxa"/>
              <w:end w:w="90" w:type="dxa"/>
            </w:tcMar>
            <w:vAlign w:val="center"/>
          </w:tcPr>
          <w:p>
            <w:pPr>
              <w:spacing w:before="0" w:after="0" w:line="240" w:lineRule="auto"/>
              <w:jc w:val="left"/>
            </w:pPr>
            <w:r>
              <w:t>Supplier personnel assurance</w:t>
            </w:r>
          </w:p>
        </w:tc>
        <w:tc>
          <w:tcPr>
            <w:tcW w:type="dxa" w:w="1900"/>
            <w:shd w:fill="FFF8E5"/>
            <w:tcMar>
              <w:top w:w="90" w:type="dxa"/>
              <w:start w:w="90" w:type="dxa"/>
              <w:bottom w:w="90" w:type="dxa"/>
              <w:end w:w="90" w:type="dxa"/>
            </w:tcMar>
            <w:vAlign w:val="center"/>
          </w:tcPr>
          <w:p>
            <w:pPr>
              <w:spacing w:before="0" w:after="0" w:line="240" w:lineRule="auto"/>
              <w:jc w:val="left"/>
            </w:pPr>
            <w:r>
              <w:t xml:space="preserve">Strong / Adequate / Needs work / Not addressed</w:t>
            </w:r>
          </w:p>
        </w:tc>
        <w:tc>
          <w:tcPr>
            <w:tcW w:type="dxa" w:w="4138"/>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6"/>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Supplier AI Due-Diligence Questionnaire: Overall recommendation | Proceed / Proceed with conditions / Do not proceed"/>
        <w:tblDescription w:val="Form table with 4 rows and 2 columns, beginning with Overall recommendation | Proceed / Proceed with conditions / Do not proceed."/>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Overall recommendation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Proceed / Proceed with conditions / Do not proceed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Pre-procurement AI assessment completed?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(§5.5.1)</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Evaluated by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8: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AIG-ASS-08</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1.9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Commercial and Procurement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8: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Commercial and Procurement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added processor, sub-processor, transfer, incident, vulnerability and supplier-personnel controls.</w:t>
            </w:r>
          </w:p>
        </w:tc>
        <w:tc>
          <w:tcPr>
            <w:tcW w:type="dxa" w:w="1736"/>
            <w:vAlign w:val="center"/>
            <w:tcMar>
              <w:top w:w="85" w:type="dxa"/>
              <w:start w:w="110" w:type="dxa"/>
              <w:bottom w:w="85" w:type="dxa"/>
              <w:end w:w="110" w:type="dxa"/>
            </w:tcMar>
          </w:tcPr>
          <w:p>
            <w:r>
              <w:t>Commercial and Procurement Lead</w:t>
            </w:r>
          </w:p>
        </w:tc>
      </w:tr>
      <w:tr>
        <w:trPr>
          <w:cantSplit/>
        </w:trPr>
        <w:tc>
          <w:tcPr>
            <w:tcW w:type="dxa" w:w="1349"/>
            <w:vAlign w:val="center"/>
            <w:tcMar>
              <w:top w:w="85" w:type="dxa"/>
              <w:start w:w="110" w:type="dxa"/>
              <w:bottom w:w="85" w:type="dxa"/>
              <w:end w:w="110" w:type="dxa"/>
            </w:tcMar>
          </w:tcPr>
          <w:p>
            <w:r>
              <w:t>1.2 draft</w:t>
            </w:r>
          </w:p>
        </w:tc>
        <w:tc>
          <w:tcPr>
            <w:tcW w:type="dxa" w:w="1734"/>
            <w:vAlign w:val="center"/>
            <w:tcMar>
              <w:top w:w="85" w:type="dxa"/>
              <w:start w:w="110" w:type="dxa"/>
              <w:bottom w:w="85" w:type="dxa"/>
              <w:end w:w="110" w:type="dxa"/>
            </w:tcMar>
          </w:tcPr>
          <w:p>
            <w:r>
              <w:t>19 September 2026</w:t>
            </w:r>
          </w:p>
        </w:tc>
        <w:tc>
          <w:tcPr>
            <w:tcW w:type="dxa" w:w="4819"/>
            <w:vAlign w:val="center"/>
            <w:tcMar>
              <w:top w:w="85" w:type="dxa"/>
              <w:start w:w="110" w:type="dxa"/>
              <w:bottom w:w="85" w:type="dxa"/>
              <w:end w:w="110" w:type="dxa"/>
            </w:tcMar>
          </w:tcPr>
          <w:p>
            <w:r>
              <w:t xml:space="preserve">QA revision: added an 'AIR-ID' field to Section 1 so a completed questionnaire can be traced to the Register (AIG-INV-04) and Gate Log (AIG-DEC-04). No change to existing questions or structure.</w:t>
            </w:r>
          </w:p>
        </w:tc>
        <w:tc>
          <w:tcPr>
            <w:tcW w:type="dxa" w:w="1736"/>
            <w:vAlign w:val="center"/>
            <w:tcMar>
              <w:top w:w="85" w:type="dxa"/>
              <w:start w:w="110" w:type="dxa"/>
              <w:bottom w:w="85" w:type="dxa"/>
              <w:end w:w="110" w:type="dxa"/>
            </w:tcMar>
          </w:tcPr>
          <w:p>
            <w:r>
              <w:t>Commercial and Procurement Lead</w:t>
            </w:r>
          </w:p>
        </w:tc>
      </w:tr>
      <w:tr>
        <w:trPr>
          <w:cantSplit/>
        </w:trPr>
        <w:tc>
          <w:tcPr>
            <w:tcW w:type="dxa" w:w="1349"/>
            <w:vAlign w:val="center"/>
            <w:tcMar>
              <w:top w:w="85" w:type="dxa"/>
              <w:start w:w="110" w:type="dxa"/>
              <w:bottom w:w="85" w:type="dxa"/>
              <w:end w:w="110" w:type="dxa"/>
            </w:tcMar>
          </w:tcPr>
          <w:p>
            <w:r>
              <w:t xml:space="preserve">1.3 draft</w:t>
            </w:r>
          </w:p>
        </w:tc>
        <w:tc>
          <w:tcPr>
            <w:tcW w:type="dxa" w:w="1734"/>
            <w:vAlign w:val="center"/>
            <w:tcMar>
              <w:top w:w="85" w:type="dxa"/>
              <w:start w:w="110" w:type="dxa"/>
              <w:bottom w:w="85" w:type="dxa"/>
              <w:end w:w="110" w:type="dxa"/>
            </w:tcMar>
          </w:tcPr>
          <w:p>
            <w:r>
              <w:t xml:space="preserve">29 September 2026</w:t>
            </w:r>
          </w:p>
        </w:tc>
        <w:tc>
          <w:tcPr>
            <w:tcW w:type="dxa" w:w="4819"/>
            <w:vAlign w:val="center"/>
            <w:tcMar>
              <w:top w:w="85" w:type="dxa"/>
              <w:start w:w="110" w:type="dxa"/>
              <w:bottom w:w="85" w:type="dxa"/>
              <w:end w:w="110" w:type="dxa"/>
            </w:tcMar>
          </w:tcPr>
          <w:p>
            <w:r>
              <w:t xml:space="preserve">QA remediation — applied findings QA-091, QA-119, QA-168, QA-185, QA-199, QA-221 (see QA change log). Footer, document control and properties aligned to a single version (previously footer v1.1, document control v1.2). Final tidy-up: self-referencing cross-reference removed from the standards row(s) REQ-039, REQ-051.</w:t>
            </w:r>
          </w:p>
        </w:tc>
        <w:tc>
          <w:tcPr>
            <w:tcW w:type="dxa" w:w="1736"/>
            <w:vAlign w:val="center"/>
            <w:tcMar>
              <w:top w:w="85" w:type="dxa"/>
              <w:start w:w="110" w:type="dxa"/>
              <w:bottom w:w="85" w:type="dxa"/>
              <w:end w:w="110" w:type="dxa"/>
            </w:tcMar>
          </w:tcPr>
          <w:p>
            <w:r>
              <w:t xml:space="preserve">Commercial and Procurement Lead</w:t>
            </w:r>
          </w:p>
        </w:tc>
      </w:tr>
      <w:tr>
        <w:trPr>
          <w:cantSplit/>
        </w:trPr>
        <w:tc>
          <w:tcPr>
            <w:tcW w:type="dxa" w:w="1349"/>
            <w:vAlign w:val="center"/>
            <w:tcMar>
              <w:top w:w="85" w:type="dxa"/>
              <w:start w:w="110" w:type="dxa"/>
              <w:bottom w:w="85" w:type="dxa"/>
              <w:end w:w="110" w:type="dxa"/>
            </w:tcMar>
          </w:tcPr>
          <w:p>
            <w:r>
              <w:t xml:space="preserve">1.4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v3.9.1: standards cross-reference adds REQ-054 (Civil Contingencies Act 2004; section 8 Business Continuity answers support the AIG-OPS-01 section 8 fallback) and cites the 54-entry requirement inventory (AIG-AIMS-05). Proposed — for Council confirmation.</w:t>
            </w:r>
          </w:p>
        </w:tc>
        <w:tc>
          <w:tcPr>
            <w:tcW w:type="dxa" w:w="1736"/>
            <w:vAlign w:val="center"/>
            <w:tcMar>
              <w:top w:w="85" w:type="dxa"/>
              <w:start w:w="110" w:type="dxa"/>
              <w:bottom w:w="85" w:type="dxa"/>
              <w:end w:w="110" w:type="dxa"/>
            </w:tcMar>
          </w:tcPr>
          <w:p>
            <w:r>
              <w:t xml:space="preserve">Commercial and Procurement Lead</w:t>
            </w:r>
          </w:p>
        </w:tc>
      </w:tr>
      <w:tr>
        <w:trPr>
          <w:cantSplit/>
        </w:trPr>
        <w:tc>
          <w:tcPr>
            <w:tcW w:type="dxa" w:w="1349"/>
            <w:vAlign w:val="center"/>
            <w:tcMar>
              <w:top w:w="85" w:type="dxa"/>
              <w:start w:w="110" w:type="dxa"/>
              <w:bottom w:w="85" w:type="dxa"/>
              <w:end w:w="110" w:type="dxa"/>
            </w:tcMar>
          </w:tcPr>
          <w:p>
            <w:r>
              <w:t xml:space="preserve">1.5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v3.9.2 (pilot-readiness fixes from the scenario test; see QA change log): introduction adds the Gate 4 rule for AI features under an existing contract or licence and free public tools: Gate 4 recorded “N/A — existing contract / free tool” with rationale, while the data processing terms and sections 5 and 8 are still completed (Playbook §5.5.1; AIG-DEC-01; OA-07, T-07, T-08). Proposed — for Council confirmation.</w:t>
            </w:r>
          </w:p>
        </w:tc>
        <w:tc>
          <w:tcPr>
            <w:tcW w:type="dxa" w:w="1736"/>
            <w:vAlign w:val="center"/>
            <w:tcMar>
              <w:top w:w="85" w:type="dxa"/>
              <w:start w:w="110" w:type="dxa"/>
              <w:bottom w:w="85" w:type="dxa"/>
              <w:end w:w="110" w:type="dxa"/>
            </w:tcMar>
          </w:tcPr>
          <w:p>
            <w:r>
              <w:t xml:space="preserve">Commercial and Procurement Lead</w:t>
            </w:r>
          </w:p>
        </w:tc>
      </w:tr>
      <w:tr>
        <w:trPr>
          <w:cantSplit/>
        </w:trPr>
        <w:tc>
          <w:tcPr>
            <w:tcW w:type="dxa" w:w="1349"/>
            <w:vAlign w:val="center"/>
            <w:tcMar>
              <w:top w:w="85" w:type="dxa"/>
              <w:start w:w="110" w:type="dxa"/>
              <w:bottom w:w="85" w:type="dxa"/>
              <w:end w:w="110" w:type="dxa"/>
            </w:tcMar>
          </w:tcPr>
          <w:p>
            <w:r>
              <w:t xml:space="preserve">1.6 draft</w:t>
            </w:r>
          </w:p>
        </w:tc>
        <w:tc>
          <w:tcPr>
            <w:tcW w:type="dxa" w:w="1734"/>
            <w:vAlign w:val="center"/>
            <w:tcMar>
              <w:top w:w="85" w:type="dxa"/>
              <w:start w:w="110" w:type="dxa"/>
              <w:bottom w:w="85" w:type="dxa"/>
              <w:end w:w="110" w:type="dxa"/>
            </w:tcMar>
          </w:tcPr>
          <w:p>
            <w:r>
              <w:t xml:space="preserve">1 October 2026</w:t>
            </w:r>
          </w:p>
        </w:tc>
        <w:tc>
          <w:tcPr>
            <w:tcW w:type="dxa" w:w="4819"/>
            <w:vAlign w:val="center"/>
            <w:tcMar>
              <w:top w:w="85" w:type="dxa"/>
              <w:start w:w="110" w:type="dxa"/>
              <w:bottom w:w="85" w:type="dxa"/>
              <w:end w:w="110" w:type="dxa"/>
            </w:tcMar>
          </w:tcPr>
          <w:p>
            <w:r>
              <w:t xml:space="preserve">v3.9.3: standards gap closure against NCSC, NIST AI 600-1 and ISO/IEC 42005 (see QA change log, sheet “v3.9.3 changes”): new questions 4.4 (energy use, carbon footprint, data-centre locations and sustainability commitments; C4), 5.4 (secure by default), 5.5 (model protection and update integrity) and 5.6 (vulnerability disclosure) (NCSC guidelines 3.5, 3.2 and 4.4; C5); standards cross-reference note cites the 55-entry requirement inventory (AIG-AIMS-05 REQ-055, NIST AI 600-1 Generative AI Profile, added). Proposed — for Council confirmation.</w:t>
            </w:r>
          </w:p>
        </w:tc>
        <w:tc>
          <w:tcPr>
            <w:tcW w:type="dxa" w:w="1736"/>
            <w:vAlign w:val="center"/>
            <w:tcMar>
              <w:top w:w="85" w:type="dxa"/>
              <w:start w:w="110" w:type="dxa"/>
              <w:bottom w:w="85" w:type="dxa"/>
              <w:end w:w="110" w:type="dxa"/>
            </w:tcMar>
          </w:tcPr>
          <w:p>
            <w:r>
              <w:t xml:space="preserve">Commercial and Procurement Lead</w:t>
            </w:r>
          </w:p>
        </w:tc>
      </w:tr>
      <w:tr>
        <w:trPr>
          <w:cantSplit/>
        </w:trPr>
        <w:tc>
          <w:tcPr>
            <w:tcW w:type="dxa" w:w="1349"/>
            <w:vAlign w:val="center"/>
            <w:tcMar>
              <w:top w:w="85" w:type="dxa"/>
              <w:start w:w="110" w:type="dxa"/>
              <w:bottom w:w="85" w:type="dxa"/>
              <w:end w:w="110" w:type="dxa"/>
            </w:tcMar>
          </w:tcPr>
          <w:p>
            <w:r>
              <w:t>1.7 draft</w:t>
            </w:r>
          </w:p>
        </w:tc>
        <w:tc>
          <w:tcPr>
            <w:tcW w:type="dxa" w:w="1734"/>
            <w:vAlign w:val="center"/>
            <w:tcMar>
              <w:top w:w="85" w:type="dxa"/>
              <w:start w:w="110" w:type="dxa"/>
              <w:bottom w:w="85" w:type="dxa"/>
              <w:end w:w="110" w:type="dxa"/>
            </w:tcMar>
          </w:tcPr>
          <w:p>
            <w:r>
              <w:t>2 October 2026</w:t>
            </w:r>
          </w:p>
        </w:tc>
        <w:tc>
          <w:tcPr>
            <w:tcW w:type="dxa" w:w="4819"/>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r>
              <w:t xml:space="preserve">Commercial and Procurement Lead</w:t>
            </w:r>
          </w:p>
        </w:tc>
      </w:tr>
      <w:tr>
        <w:trPr>
          <w:cantSplit/>
        </w:trPr>
        <w:tc>
          <w:tcPr>
            <w:tcW w:type="dxa" w:w="1349"/>
            <w:vAlign w:val="center"/>
            <w:tcMar>
              <w:top w:w="85" w:type="dxa"/>
              <w:start w:w="110" w:type="dxa"/>
              <w:bottom w:w="85" w:type="dxa"/>
              <w:end w:w="110" w:type="dxa"/>
            </w:tcMar>
          </w:tcPr>
          <w:p>
            <w:r>
              <w:t>1.8 draft</w:t>
            </w:r>
          </w:p>
        </w:tc>
        <w:tc>
          <w:tcPr>
            <w:tcW w:type="dxa" w:w="1734"/>
            <w:vAlign w:val="center"/>
            <w:tcMar>
              <w:top w:w="85" w:type="dxa"/>
              <w:start w:w="110" w:type="dxa"/>
              <w:bottom w:w="85" w:type="dxa"/>
              <w:end w:w="110" w:type="dxa"/>
            </w:tcMar>
          </w:tcPr>
          <w:p>
            <w:r>
              <w:t>4 October 2026</w:t>
            </w:r>
          </w:p>
        </w:tc>
        <w:tc>
          <w:tcPr>
            <w:tcW w:type="dxa" w:w="4819"/>
            <w:vAlign w:val="center"/>
            <w:tcMar>
              <w:top w:w="85" w:type="dxa"/>
              <w:start w:w="110" w:type="dxa"/>
              <w:bottom w:w="85" w:type="dxa"/>
              <w:end w:w="110" w:type="dxa"/>
            </w:tcMar>
          </w:tcPr>
          <w:p>
            <w:r>
              <w:t>v3.9.9: agentic supplier note: undisclosed component detail is recorded as “Not disclosed by supplier” in AIG-AGT-04 and as a risk here and in AIG-ASS-02 (Playbook F.3). Proposed — for Council confirmation.</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1.9 draft</w:t>
            </w:r>
          </w:p>
        </w:tc>
        <w:tc>
          <w:tcPr>
            <w:tcW w:type="dxa" w:w="1734"/>
            <w:vAlign w:val="center"/>
            <w:tcMar>
              <w:top w:w="85" w:type="dxa"/>
              <w:start w:w="110" w:type="dxa"/>
              <w:bottom w:w="85" w:type="dxa"/>
              <w:end w:w="110" w:type="dxa"/>
            </w:tcMar>
          </w:tcPr>
          <w:p>
            <w:r>
              <w:t>12 October 2026</w:t>
            </w:r>
          </w:p>
        </w:tc>
        <w:tc>
          <w:tcPr>
            <w:tcW w:type="dxa" w:w="4819"/>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r>
              <w:t>AI Governance Lead</w:t>
            </w:r>
          </w:p>
        </w:tc>
      </w:tr>
    </w:tbl>
    <w:p>
      <w:r>
        <w:br w:type="page"/>
      </w:r>
    </w:p>
    <w:p>
      <w:r>
        <w:rPr>
          <w:b/>
          <w:sz w:val="32"/>
        </w:rPr>
        <w:t>NOT APPROVED — PROPOSED INTEGRATION ANNEX</w:t>
      </w:r>
    </w:p>
    <w:p>
      <w:r>
        <w:rPr>
          <w:b/>
          <w:sz w:val="26"/>
        </w:rPr>
        <w:t>Integration annex — Supplier, model and contractual change control</w:t>
      </w:r>
    </w:p>
    <w:p>
      <w:r>
        <w:rPr>
          <w:b/>
        </w:rPr>
        <w:t>DRAFT FOR COUNCIL REVIEW • 25 September 2026 • Not approved for operational use</w:t>
      </w:r>
    </w:p>
    <w:p>
      <w:r>
        <w:rPr>
          <w:b/>
          <w:sz w:val="24"/>
        </w:rPr>
        <w:t>Supplier evidence remains native</w:t>
      </w:r>
    </w:p>
    <w:p>
      <w:r>
        <w:t>The questionnaire and supplier responses remain the native due-diligence record; distinguish supplier assertions from Council verification and executed contractual terms. Following registration, join with the AIR-ID in AIG-INV-04. Index supporting responses, assurance artefacts and contract versions in the proposed AIG-INV-04 Evidence Index by Evidence ID, exact source/version, date and location; do not treat a questionnaire response or a procurement recommendation as a verified result or award.</w:t>
      </w:r>
    </w:p>
    <w:p>
      <w:r>
        <w:rPr>
          <w:b/>
          <w:sz w:val="24"/>
        </w:rPr>
        <w:t>Change and follow-through</w:t>
      </w:r>
    </w:p>
    <w:p>
      <w:r>
        <w:t>Capture material supplier, sub-processor, hosting/location, model, training-data, functionality, security or contract changes with the old/new version, notice/effective date, impact and accountable owner. Update AIG-INV-04 current state/change history and reassess the affected DPIA, EIA, HRA, RAIA, model card and security evidence; track live operational monitoring in AIG-OPS-02. Cite AIG-DEC-04 only to a dated actual Gate Event or Condition (ID/date), not a planned gate. The authorised procurement/governance decision remains in its native decision record, AIG-DEC-03 or authoritative minutes; AIG-DEC-04 is only a dated pointer.</w:t>
      </w:r>
    </w:p>
    <w:p>
      <w:r>
        <w:rPr>
          <w:b/>
          <w:sz w:val="24"/>
        </w:rPr>
        <w:t>Rights and agent permissions</w:t>
      </w:r>
    </w:p>
    <w:p>
      <w:r>
        <w:t>Where the supplier enables agentic capability, record the exact model/tool/interface and boundary; permissions and delegation are controlled in AIG-AGT-04, AIG-AGT-05 is its derived authority view, and AIG-AGT-06 records relevant action decisions. Where the supplier will not disclose component detail (models, training data, sub-components or internal architecture), record “Not disclosed by supplier” in AIG-AGT-04 and record the gap as a risk here and in AIG-ASS-02; the core Agent Record fields are answered by the Council (Playbook F.3). Link affected-person challenge arrangements to AIG-OPS-04. These cross-references do not themselves constitute supplier assurance, contract acceptance, permission, approval, or legal applicability.</w:t>
      </w:r>
    </w:p>
    <w:p>
      <w:r>
        <w:t>Procurement regime — provisional, contract-level review required. Selection of the Procurement Act 2023 regime or any applicable legacy Public Contracts Regulations 2015 transitional arrangements is not determined by this questionnaire. The contracting authority / contract owner must confirm the applicable regime against the contract facts, procurement timeline and transitional provisions before relying on this assessment, with Commercial and Legal review as appropriate. This note is a review prompt, not legal advice or a regime determination.</w:t>
      </w:r>
    </w:p>
    <w:p>
      <w:r>
        <w:rPr>
          <w:b/>
          <w:sz w:val="24"/>
        </w:rPr>
        <w:t>Draft status</w:t>
      </w:r>
    </w:p>
    <w:p>
      <w:r>
        <w:t>Council evaluation remains an internal assessment and must not be read as procurement approval. No supplier claim, test result, contract execution, legal conclusion, approval, or publication is asserted by this integration annex.</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REQ-015 — Procurement Act 2023 and Procurement Regulations 2024</w:t>
            </w:r>
          </w:p>
        </w:tc>
        <w:tc>
          <w:tcPr>
            <w:tcW w:type="dxa" w:w="3213"/>
          </w:tcPr>
          <w:p>
            <w:r>
              <w:t>For an in-scope procurement; contract owner determines current or transitional regime.</w:t>
            </w:r>
          </w:p>
        </w:tc>
        <w:tc>
          <w:tcPr>
            <w:tcW w:type="dxa" w:w="3213"/>
          </w:tcPr>
          <w:p>
            <w:r>
              <w:t>https://www.legislation.gov.uk/ukpga/2023/54/contents</w:t>
            </w:r>
          </w:p>
        </w:tc>
      </w:tr>
      <w:tr>
        <w:tc>
          <w:tcPr>
            <w:tcW w:type="dxa" w:w="3213"/>
          </w:tcPr>
          <w:p>
            <w:r>
              <w:t>REQ-017 — Public Contracts Regulations 2015 and procurement transitional arrangements</w:t>
            </w:r>
          </w:p>
        </w:tc>
        <w:tc>
          <w:tcPr>
            <w:tcW w:type="dxa" w:w="3213"/>
          </w:tcPr>
          <w:p>
            <w:r>
              <w:t>Only for a legacy/transitional procurement to which PCR 2015 still applies.</w:t>
            </w:r>
          </w:p>
        </w:tc>
        <w:tc>
          <w:tcPr>
            <w:tcW w:type="dxa" w:w="3213"/>
          </w:tcPr>
          <w:p>
            <w:r>
              <w:t>https://www.gov.uk/government/collections/transforming-public-procurement</w:t>
            </w:r>
          </w:p>
        </w:tc>
      </w:tr>
      <w:tr>
        <w:tc>
          <w:tcPr>
            <w:tcW w:type="dxa" w:w="3213"/>
          </w:tcPr>
          <w:p>
            <w:r>
              <w:t>REQ-039 — NCSC Guidelines for Secure AI System Development</w:t>
            </w:r>
          </w:p>
        </w:tc>
        <w:tc>
          <w:tcPr>
            <w:tcW w:type="dxa" w:w="3213"/>
          </w:tcPr>
          <w:p>
            <w:r>
              <w:t>Screen the government security guidance requirement against this artefact's actual use and record evidence/version.</w:t>
            </w:r>
          </w:p>
        </w:tc>
        <w:tc>
          <w:tcPr>
            <w:tcW w:type="dxa" w:w="3213"/>
          </w:tcPr>
          <w:p>
            <w:r>
              <w:t>https://www.ncsc.gov.uk/collection/guidelines-secure-ai-system-development/introduction</w:t>
            </w:r>
          </w:p>
        </w:tc>
      </w:tr>
      <w:tr>
        <w:tc>
          <w:tcPr>
            <w:tcW w:type="dxa" w:w="3213"/>
          </w:tcPr>
          <w:p>
            <w:r>
              <w:t>REQ-051 — AI supplier contracts, data-processing/data-sharing agreements, partnership arrangements, grants and funding conditions</w:t>
            </w:r>
          </w:p>
        </w:tc>
        <w:tc>
          <w:tcPr>
            <w:tcW w:type="dxa" w:w="3213"/>
          </w:tcPr>
          <w:p>
            <w:r>
              <w:t xml:space="preserve">Screen the contractual / partnership requirement against this artefact's actual use and record evidence/version.</w:t>
            </w:r>
          </w:p>
        </w:tc>
        <w:tc>
          <w:tcPr>
            <w:tcW w:type="dxa" w:w="3213"/>
          </w:tcPr>
          <w:p>
            <w:r>
              <w:t>Case-specific controlled contract or agreement — link from AI Register</w:t>
            </w:r>
          </w:p>
        </w:tc>
      </w:tr>
      <w:tr>
        <w:tc>
          <w:tcPr>
            <w:tcW w:type="dxa" w:w="3213"/>
          </w:tcPr>
          <w:p>
            <w:r>
              <w:t xml:space="preserve">REQ-054 — Civil Contingencies Act 2004 (Category 1 responder duties, including business continuity arrangements)</w:t>
            </w:r>
          </w:p>
        </w:tc>
        <w:tc>
          <w:tcPr>
            <w:tcW w:type="dxa" w:w="3213"/>
          </w:tcPr>
          <w:p>
            <w:r>
              <w:t xml:space="preserve">Where an AI use supports a service the Council has identified as a prioritised activity in its business continuity plans; Legal / Emergency Planning to confirm; the section 8 Business Continuity answers should support the fallback recorded in AIG-OPS-01 section 8.</w:t>
            </w:r>
          </w:p>
        </w:tc>
        <w:tc>
          <w:tcPr>
            <w:tcW w:type="dxa" w:w="3213"/>
          </w:tcPr>
          <w:p>
            <w:r>
              <w:t xml:space="preserve">https://www.legislation.gov.uk/ukpga/2004/36/contents</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AIG-ASS-08  ·  v1.9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Supplier AI Due-Diligence Questionnaire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AIG-ASS-08 Supplier AI Due-Diligence Questionnaire</dc:title>
  <dc:creator>AI Governance working draft</dc:creator>
  <cp:lastModifiedBy>AI Governance working draft</cp:lastModifiedBy>
  <cp:revision>1</cp:revision>
  <dcterms:created xsi:type="dcterms:W3CDTF">2026-06-27T20:59:38.363Z</dcterms:created>
  <dcterms:modified xsi:type="dcterms:W3CDTF">2026-10-01T12:00:00Z</dcterms:modified>
  <dc:subject>Proposed grouped-ID suite; not approved</dc:subject>
  <cp:keywords>Proposed grouped-ID suite; not approved</cp:keywords>
  <dc:identifier/>
  <cp:version>1.8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