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pPr>
        <w:spacing w:after="20"/>
      </w:pPr>
      <w:r>
        <w:t>AIG-GOV-04 — The Council — AIMS Leadership Commitment</w:t>
      </w:r>
    </w:p>
    <w:p>
      <w:pPr>
        <w:spacing w:after="20"/>
      </w:pPr>
      <w:r>
        <w:t>AI Management System — Leadership Commitment Statement</w:t>
      </w:r>
    </w:p>
    <w:p>
      <w:pPr>
        <w:pBdr>
          <w:bottom w:val="single" w:color="C9A442" w:sz="12" w:space="2"/>
        </w:pBdr>
        <w:spacing w:after="0"/>
      </w:pPr>
      <w:r>
        <w:t>AI Governance Playbook (Level 5 document)  ·  ISO/IEC 42001:2023 clause 5.1</w:t>
      </w:r>
    </w:p>
    <w:p>
      <w:pPr>
        <w:spacing w:after="120" w:before="140"/>
      </w:pPr>
      <w:r>
        <w:t>This statement is how the Council's top management demonstrates leadership and commitment to the AI Management System (AIMS), as required by ISO/IEC 42001:2023 clause 5.1. It is proposed for formal adoption by the competent Council authority under the Constitution and Scheme of Delegation and reviewed at least annually at the AIMS management review (AIG-AIMS-09) and after material change. The AI Assurance Board provides assurance and recommendation unless a separate confirmed delegation assigns it adoption authority. It is a draft for Council review; commitment takes effect on formal adoption. Clause references are working descriptions to validate against the Council's licensed copy of the standard.</w:t>
      </w:r>
    </w:p>
    <w:p>
      <w:pPr>
        <w:shd w:fill="0A2342" w:val="clear"/>
        <w:spacing w:after="100" w:before="220"/>
      </w:pPr>
      <w:r>
        <w:rPr>
          <w:rFonts w:ascii="Arial" w:hAnsi="Arial" w:eastAsia="Arial" w:cs="Arial"/>
          <w:b/>
          <w:bCs/>
          <w:color w:val="FFFFFF"/>
          <w:sz w:val="20"/>
          <w:szCs w:val="20"/>
        </w:rPr>
        <w:t xml:space="preserve">  Our commitment</w:t>
      </w:r>
    </w:p>
    <w:p>
      <w:pPr>
        <w:spacing w:after="120"/>
        <w:jc w:val="both"/>
      </w:pPr>
      <w:r>
        <w:t>The Council is committed to adopting artificial intelligence responsibly, in a way that is lawful, safe, fair, transparent, accountable and value-for-money, and aligned to Council priorities and the interests of residents. Top management is accountable for the effectiveness of the AI Management System and commits to lead it. The AI Assurance Board provides assurance, challenge and recommendation within its confirmed remit. In practice we will:</w:t>
      </w:r>
    </w:p>
    <w:p>
      <w:pPr>
        <w:pStyle w:val="ListParagraph"/>
        <w:numPr>
          <w:ilvl w:val="0"/>
          <w:numId w:val="1"/>
        </w:numPr>
        <w:spacing w:after="70"/>
        <w:jc w:val="both"/>
      </w:pPr>
      <w:r>
        <w:t>Ensure the AI policy and AIMS objectives are established and are compatible with the Council's strategic direction.</w:t>
      </w:r>
    </w:p>
    <w:p>
      <w:pPr>
        <w:pStyle w:val="ListParagraph"/>
        <w:numPr>
          <w:ilvl w:val="0"/>
          <w:numId w:val="1"/>
        </w:numPr>
        <w:spacing w:after="70"/>
        <w:jc w:val="both"/>
      </w:pPr>
      <w:r>
        <w:t>Ensure the AIMS requirements are integrated into the Council's processes rather than run alongside them, and that existing financial, procurement, data protection and other controls are respected.</w:t>
      </w:r>
    </w:p>
    <w:p>
      <w:pPr>
        <w:pStyle w:val="ListParagraph"/>
        <w:numPr>
          <w:ilvl w:val="0"/>
          <w:numId w:val="1"/>
        </w:numPr>
        <w:spacing w:after="70"/>
        <w:jc w:val="both"/>
      </w:pPr>
      <w:r>
        <w:t>Make available the resources needed for the AIMS, and confirm their adequacy at each management review.</w:t>
      </w:r>
    </w:p>
    <w:p>
      <w:pPr>
        <w:pStyle w:val="ListParagraph"/>
        <w:numPr>
          <w:ilvl w:val="0"/>
          <w:numId w:val="1"/>
        </w:numPr>
        <w:spacing w:after="70"/>
        <w:jc w:val="both"/>
      </w:pPr>
      <w:r>
        <w:t>Communicate the importance of effective AI governance and of conforming to the AIMS requirements.</w:t>
      </w:r>
    </w:p>
    <w:p>
      <w:pPr>
        <w:pStyle w:val="ListParagraph"/>
        <w:numPr>
          <w:ilvl w:val="0"/>
          <w:numId w:val="1"/>
        </w:numPr>
        <w:spacing w:after="70"/>
        <w:jc w:val="both"/>
      </w:pPr>
      <w:r>
        <w:t>Ensure the AIMS achieves its intended outcomes, and direct and support people to contribute to its effectiveness.</w:t>
      </w:r>
    </w:p>
    <w:p>
      <w:pPr>
        <w:pStyle w:val="ListParagraph"/>
        <w:numPr>
          <w:ilvl w:val="0"/>
          <w:numId w:val="1"/>
        </w:numPr>
        <w:spacing w:after="70"/>
        <w:jc w:val="both"/>
      </w:pPr>
      <w:r>
        <w:t>Promote continual improvement, and support other management roles to demonstrate leadership in their areas.</w:t>
      </w:r>
    </w:p>
    <w:p>
      <w:pPr>
        <w:pStyle w:val="ListParagraph"/>
        <w:numPr>
          <w:ilvl w:val="0"/>
          <w:numId w:val="1"/>
        </w:numPr>
        <w:spacing w:after="70"/>
        <w:jc w:val="both"/>
      </w:pPr>
      <w:r>
        <w:t>Uphold the accountability model: the Board provides assurance and endorsement, while final accountability for each decision remains with the relevant Service Owner, Senior Responsible Owner or delegated authority.</w:t>
      </w:r>
    </w:p>
    <w:p>
      <w:pPr>
        <w:spacing w:before="120" w:after="120"/>
        <w:jc w:val="both"/>
      </w:pPr>
      <w:r>
        <w:rPr>
          <w:b/>
        </w:rPr>
        <w:t xml:space="preserve">Accountability note — system and use traceability. </w:t>
      </w:r>
      <w:r>
        <w:t xml:space="preserve">The AIR-ID identifies a governed system; a separate UC-ID identifies each materially distinct use, including non-agentic tools. Risk, priority, decision scope, conditions and monitoring are traceable per UC-ID; system status is not blanket use approval. Uncertainty and incidents are reported at use level where known.</w:t>
      </w:r>
    </w:p>
    <w:p>
      <w:pPr>
        <w:shd w:fill="0A2342" w:val="clear"/>
        <w:spacing w:after="100" w:before="220"/>
      </w:pPr>
      <w:r>
        <w:rPr>
          <w:rFonts w:ascii="Arial" w:hAnsi="Arial" w:eastAsia="Arial" w:cs="Arial"/>
          <w:b/>
          <w:bCs/>
          <w:color w:val="FFFFFF"/>
          <w:sz w:val="20"/>
          <w:szCs w:val="20"/>
        </w:rPr>
        <w:t xml:space="preserve">  How this commitment is evidenced</w:t>
      </w:r>
    </w:p>
    <w:p>
      <w:pPr>
        <w:spacing w:after="120"/>
        <w:jc w:val="both"/>
      </w:pPr>
      <w:r>
        <w:t>This statement is supported by, and evidenced through, the following, so that the commitment is demonstrable rather than declaratory:</w:t>
      </w:r>
    </w:p>
    <w:p>
      <w:pPr>
        <w:pStyle w:val="ListParagraph"/>
        <w:numPr>
          <w:ilvl w:val="0"/>
          <w:numId w:val="1"/>
        </w:numPr>
        <w:spacing w:after="70"/>
        <w:jc w:val="both"/>
      </w:pPr>
      <w:r>
        <w:t>The AI policy and the AI Governance Terms of Reference, formally adopted by the competent authority; where the Board is delegated adoption authority, the decision is evidenced through the applicable Board record (AIG-GOV-06; Playbook Chapter 5).</w:t>
      </w:r>
    </w:p>
    <w:p>
      <w:pPr>
        <w:pStyle w:val="ListParagraph"/>
        <w:numPr>
          <w:ilvl w:val="0"/>
          <w:numId w:val="1"/>
        </w:numPr>
        <w:spacing w:after="70"/>
        <w:jc w:val="both"/>
      </w:pPr>
      <w:r>
        <w:t>Approved AIMS objectives, risk treatment and the Statement of Applicability (AIG-AIMS-03, AIG-AIMS-02).</w:t>
      </w:r>
    </w:p>
    <w:p>
      <w:pPr>
        <w:pStyle w:val="ListParagraph"/>
        <w:numPr>
          <w:ilvl w:val="0"/>
          <w:numId w:val="1"/>
        </w:numPr>
        <w:spacing w:after="70"/>
        <w:jc w:val="both"/>
      </w:pPr>
      <w:r>
        <w:t>The internal audit programme and the management review, held at planned intervals (AIG-AIMS-07, AIG-AIMS-09).</w:t>
      </w:r>
    </w:p>
    <w:p>
      <w:pPr>
        <w:pStyle w:val="ListParagraph"/>
        <w:numPr>
          <w:ilvl w:val="0"/>
          <w:numId w:val="1"/>
        </w:numPr>
        <w:spacing w:after="70"/>
        <w:jc w:val="both"/>
      </w:pPr>
      <w:r>
        <w:t>The conformity register and improvement plan, reviewed by the Board (AIG-AIMS-06, AIG-AIMS-03).</w:t>
      </w:r>
    </w:p>
    <w:p>
      <w:pPr>
        <w:keepNext/>
        <w:shd w:fill="0A2342" w:val="clear"/>
        <w:spacing w:after="100" w:before="220"/>
      </w:pPr>
      <w:r>
        <w:rPr>
          <w:rFonts w:ascii="Arial" w:hAnsi="Arial" w:eastAsia="Arial" w:cs="Arial"/>
          <w:b/>
          <w:bCs/>
          <w:color w:val="FFFFFF"/>
          <w:sz w:val="20"/>
          <w:szCs w:val="20"/>
        </w:rPr>
        <w:t xml:space="preserve">  Adoption</w:t>
      </w:r>
    </w:p>
    <w:tbl>
      <w:tblPr>
        <w:tblW w:type="dxa" w:w="9600"/>
        <w:tblBorders>
          <w:top w:val="single" w:color="B7B7B7" w:sz="4"/>
          <w:left w:val="single" w:color="B7B7B7" w:sz="4"/>
          <w:bottom w:val="single" w:color="B7B7B7" w:sz="4"/>
          <w:right w:val="single" w:color="B7B7B7" w:sz="4"/>
          <w:insideH w:val="single" w:color="B7B7B7" w:sz="4"/>
          <w:insideV w:val="single" w:color="B7B7B7" w:sz="4"/>
        </w:tblBorders>
      </w:tblPr>
      <w:tblGrid>
        <w:gridCol w:w="3200"/>
        <w:gridCol w:w="6400"/>
      </w:tblGrid>
      <w:tr>
        <w:trPr>
          <w:cantSplit/>
        </w:trPr>
        <w:tc>
          <w:tcPr>
            <w:tcW w:type="dxa" w:w="3200"/>
            <w:tcMar>
              <w:top w:type="dxa" w:w="50"/>
              <w:left w:type="dxa" w:w="100"/>
              <w:bottom w:type="dxa" w:w="50"/>
              <w:right w:type="dxa" w:w="100"/>
            </w:tcMar>
          </w:tcPr>
          <w:p>
            <w:pPr>
              <w:keepNext/>
            </w:pPr>
            <w:r>
              <w:t>Adopting authority (under confirmed Council delegation)</w:t>
            </w:r>
          </w:p>
        </w:tc>
        <w:tc>
          <w:tcPr>
            <w:tcW w:type="dxa" w:w="6400"/>
            <w:shd w:fill="DDEBF7" w:val="clear"/>
            <w:tcMar>
              <w:top w:type="dxa" w:w="50"/>
              <w:left w:type="dxa" w:w="100"/>
              <w:bottom w:type="dxa" w:w="50"/>
              <w:right w:type="dxa" w:w="100"/>
            </w:tcMar>
          </w:tcPr>
          <w:p>
            <w:pPr>
              <w:keepNext/>
            </w:pPr>
            <w:r>
              <w:rPr>
                <w:rFonts w:ascii="Arial" w:cs="Arial" w:eastAsia="Arial" w:hAnsi="Arial"/>
                <w:sz w:val="20"/>
                <w:szCs w:val="20"/>
              </w:rPr>
            </w:r>
          </w:p>
        </w:tc>
      </w:tr>
      <w:tr>
        <w:trPr>
          <w:cantSplit/>
        </w:trPr>
        <w:tc>
          <w:tcPr>
            <w:tcW w:type="dxa" w:w="3200"/>
            <w:tcMar>
              <w:top w:type="dxa" w:w="50"/>
              <w:left w:type="dxa" w:w="100"/>
              <w:bottom w:type="dxa" w:w="50"/>
              <w:right w:type="dxa" w:w="100"/>
            </w:tcMar>
          </w:tcPr>
          <w:p>
            <w:pPr>
              <w:keepNext/>
            </w:pPr>
            <w:r>
              <w:t>On behalf of top management</w:t>
            </w:r>
          </w:p>
        </w:tc>
        <w:tc>
          <w:tcPr>
            <w:tcW w:type="dxa" w:w="6400"/>
            <w:shd w:fill="DDEBF7" w:val="clear"/>
            <w:tcMar>
              <w:top w:type="dxa" w:w="50"/>
              <w:left w:type="dxa" w:w="100"/>
              <w:bottom w:type="dxa" w:w="50"/>
              <w:right w:type="dxa" w:w="100"/>
            </w:tcMar>
          </w:tcPr>
          <w:p>
            <w:pPr>
              <w:keepNext/>
            </w:pPr>
            <w:r>
              <w:rPr>
                <w:rFonts w:ascii="Arial" w:cs="Arial" w:eastAsia="Arial" w:hAnsi="Arial"/>
                <w:sz w:val="20"/>
                <w:szCs w:val="20"/>
              </w:rPr>
            </w:r>
          </w:p>
        </w:tc>
      </w:tr>
      <w:tr>
        <w:trPr>
          <w:cantSplit/>
        </w:trPr>
        <w:tc>
          <w:tcPr>
            <w:tcW w:type="dxa" w:w="3200"/>
            <w:tcMar>
              <w:top w:type="dxa" w:w="50"/>
              <w:left w:type="dxa" w:w="100"/>
              <w:bottom w:type="dxa" w:w="50"/>
              <w:right w:type="dxa" w:w="100"/>
            </w:tcMar>
          </w:tcPr>
          <w:p>
            <w:pPr>
              <w:keepNext/>
            </w:pPr>
            <w:r>
              <w:t>Signature</w:t>
            </w:r>
          </w:p>
        </w:tc>
        <w:tc>
          <w:tcPr>
            <w:tcW w:type="dxa" w:w="6400"/>
            <w:shd w:fill="DDEBF7" w:val="clear"/>
            <w:tcMar>
              <w:top w:type="dxa" w:w="50"/>
              <w:left w:type="dxa" w:w="100"/>
              <w:bottom w:type="dxa" w:w="50"/>
              <w:right w:type="dxa" w:w="100"/>
            </w:tcMar>
          </w:tcPr>
          <w:p>
            <w:pPr>
              <w:keepNext/>
            </w:pPr>
            <w:r>
              <w:rPr>
                <w:rFonts w:ascii="Arial" w:cs="Arial" w:eastAsia="Arial" w:hAnsi="Arial"/>
                <w:sz w:val="20"/>
                <w:szCs w:val="20"/>
              </w:rPr>
            </w:r>
          </w:p>
        </w:tc>
      </w:tr>
      <w:tr>
        <w:trPr>
          <w:cantSplit/>
        </w:trPr>
        <w:tc>
          <w:tcPr>
            <w:tcW w:type="dxa" w:w="3200"/>
            <w:tcMar>
              <w:top w:type="dxa" w:w="50"/>
              <w:left w:type="dxa" w:w="100"/>
              <w:bottom w:type="dxa" w:w="50"/>
              <w:right w:type="dxa" w:w="100"/>
            </w:tcMar>
          </w:tcPr>
          <w:p>
            <w:pPr>
              <w:keepNext/>
            </w:pPr>
            <w:r>
              <w:t>Date of adoption</w:t>
            </w:r>
          </w:p>
        </w:tc>
        <w:tc>
          <w:tcPr>
            <w:tcW w:type="dxa" w:w="6400"/>
            <w:shd w:fill="DDEBF7" w:val="clear"/>
            <w:tcMar>
              <w:top w:type="dxa" w:w="50"/>
              <w:left w:type="dxa" w:w="100"/>
              <w:bottom w:type="dxa" w:w="50"/>
              <w:right w:type="dxa" w:w="100"/>
            </w:tcMar>
          </w:tcPr>
          <w:p>
            <w:pPr>
              <w:keepNext/>
            </w:pPr>
            <w:r>
              <w:rPr>
                <w:rFonts w:ascii="Arial" w:cs="Arial" w:eastAsia="Arial" w:hAnsi="Arial"/>
                <w:sz w:val="20"/>
                <w:szCs w:val="20"/>
              </w:rPr>
            </w:r>
          </w:p>
        </w:tc>
      </w:tr>
      <w:tr>
        <w:trPr>
          <w:cantSplit/>
        </w:trPr>
        <w:tc>
          <w:tcPr>
            <w:tcW w:type="dxa" w:w="3200"/>
            <w:tcMar>
              <w:top w:type="dxa" w:w="50"/>
              <w:left w:type="dxa" w:w="100"/>
              <w:bottom w:type="dxa" w:w="50"/>
              <w:right w:type="dxa" w:w="100"/>
            </w:tcMar>
          </w:tcPr>
          <w:p>
            <w:r>
              <w:t>Next review</w:t>
            </w:r>
          </w:p>
        </w:tc>
        <w:tc>
          <w:tcPr>
            <w:tcW w:type="dxa" w:w="6400"/>
            <w:shd w:fill="DDEBF7" w:val="clear"/>
            <w:tcMar>
              <w:top w:type="dxa" w:w="50"/>
              <w:left w:type="dxa" w:w="100"/>
              <w:bottom w:type="dxa" w:w="50"/>
              <w:right w:type="dxa" w:w="100"/>
            </w:tcMar>
          </w:tcPr>
          <w:p>
            <w:r>
              <w:t>At the next AIMS management review (AIG-AIMS-09); at least annually and after material change</w:t>
            </w:r>
          </w:p>
        </w:tc>
      </w:tr>
    </w:tbl>
    <w:p>
      <w:pPr>
        <w:keepNext/>
        <w:shd w:fill="0A2342" w:val="clear"/>
        <w:spacing w:after="100" w:before="220"/>
      </w:pPr>
      <w:r>
        <w:rPr>
          <w:rFonts w:ascii="Arial" w:hAnsi="Arial" w:eastAsia="Arial" w:cs="Arial"/>
          <w:b/>
          <w:bCs/>
          <w:color w:val="FFFFFF"/>
          <w:sz w:val="20"/>
          <w:szCs w:val="20"/>
        </w:rPr>
        <w:t xml:space="preserve">  Document control</w:t>
      </w:r>
    </w:p>
    <w:tbl>
      <w:tblPr>
        <w:tblW w:w="9600" w:type="dxa"/>
        <w:tblBorders>
          <w:top w:val="single" w:color="B7B7B7" w:sz="4"/>
          <w:left w:val="single" w:color="B7B7B7" w:sz="4"/>
          <w:bottom w:val="single" w:color="B7B7B7" w:sz="4"/>
          <w:right w:val="single" w:color="B7B7B7" w:sz="4"/>
          <w:insideH w:val="single" w:color="B7B7B7" w:sz="4"/>
          <w:insideV w:val="single" w:color="B7B7B7" w:sz="4"/>
        </w:tblBorders>
      </w:tblPr>
      <w:tblGrid>
        <w:gridCol w:w="3200"/>
        <w:gridCol w:w="6400"/>
      </w:tblGrid>
      <w:tr>
        <w:trPr>
          <w:cantSplit/>
        </w:trPr>
        <w:tc>
          <w:tcPr>
            <w:tcW w:type="dxa" w:w="3200"/>
            <w:tcMar>
              <w:top w:w="50" w:type="dxa"/>
              <w:left w:w="100" w:type="dxa"/>
              <w:bottom w:w="50" w:type="dxa"/>
              <w:right w:w="100" w:type="dxa"/>
            </w:tcMar>
          </w:tcPr>
          <w:p>
            <w:pPr>
              <w:spacing w:after="0"/>
            </w:pPr>
            <w:r>
              <w:t xml:space="preserve">Document ID</w:t>
            </w:r>
          </w:p>
        </w:tc>
        <w:tc>
          <w:tcPr>
            <w:tcW w:type="dxa" w:w="6400"/>
            <w:tcMar>
              <w:top w:w="50" w:type="dxa"/>
              <w:left w:w="100" w:type="dxa"/>
              <w:bottom w:w="50" w:type="dxa"/>
              <w:right w:w="100" w:type="dxa"/>
            </w:tcMar>
          </w:tcPr>
          <w:p>
            <w:pPr>
              <w:spacing w:after="0"/>
            </w:pPr>
            <w:r>
              <w:t xml:space="preserve">AIG-GOV-04</w:t>
            </w:r>
          </w:p>
        </w:tc>
      </w:tr>
      <w:tr>
        <w:trPr>
          <w:cantSplit/>
        </w:trPr>
        <w:tc>
          <w:tcPr>
            <w:tcW w:type="dxa" w:w="3200"/>
            <w:tcMar>
              <w:top w:w="50" w:type="dxa"/>
              <w:left w:w="100" w:type="dxa"/>
              <w:bottom w:w="50" w:type="dxa"/>
              <w:right w:w="100" w:type="dxa"/>
            </w:tcMar>
          </w:tcPr>
          <w:p>
            <w:pPr>
              <w:spacing w:after="0"/>
            </w:pPr>
            <w:r>
              <w:t xml:space="preserve">Version</w:t>
            </w:r>
          </w:p>
        </w:tc>
        <w:tc>
          <w:tcPr>
            <w:tcW w:type="dxa" w:w="6400"/>
            <w:tcMar>
              <w:top w:w="50" w:type="dxa"/>
              <w:left w:w="100" w:type="dxa"/>
              <w:bottom w:w="50" w:type="dxa"/>
              <w:right w:w="100" w:type="dxa"/>
            </w:tcMar>
          </w:tcPr>
          <w:p>
            <w:pPr>
              <w:spacing w:after="0"/>
            </w:pPr>
            <w:r>
              <w:t>1.4 draft</w:t>
            </w:r>
          </w:p>
        </w:tc>
      </w:tr>
      <w:tr>
        <w:trPr>
          <w:cantSplit/>
        </w:trPr>
        <w:tc>
          <w:tcPr>
            <w:tcW w:type="dxa" w:w="3200"/>
            <w:tcMar>
              <w:top w:w="50" w:type="dxa"/>
              <w:left w:w="100" w:type="dxa"/>
              <w:bottom w:w="50" w:type="dxa"/>
              <w:right w:w="100" w:type="dxa"/>
            </w:tcMar>
          </w:tcPr>
          <w:p>
            <w:pPr>
              <w:spacing w:after="0"/>
            </w:pPr>
            <w:r>
              <w:t xml:space="preserve">Status</w:t>
            </w:r>
          </w:p>
        </w:tc>
        <w:tc>
          <w:tcPr>
            <w:tcW w:type="dxa" w:w="6400"/>
            <w:tcMar>
              <w:top w:w="50" w:type="dxa"/>
              <w:left w:w="100" w:type="dxa"/>
              <w:bottom w:w="50" w:type="dxa"/>
              <w:right w:w="100" w:type="dxa"/>
            </w:tcMar>
          </w:tcPr>
          <w:p>
            <w:pPr>
              <w:spacing w:after="0"/>
            </w:pPr>
            <w:r>
              <w:t xml:space="preserve">Draft for Council review</w:t>
            </w:r>
          </w:p>
        </w:tc>
      </w:tr>
      <w:tr>
        <w:trPr>
          <w:cantSplit/>
        </w:trPr>
        <w:tc>
          <w:tcPr>
            <w:tcW w:type="dxa" w:w="3200"/>
            <w:tcMar>
              <w:top w:w="50" w:type="dxa"/>
              <w:left w:w="100" w:type="dxa"/>
              <w:bottom w:w="50" w:type="dxa"/>
              <w:right w:w="100" w:type="dxa"/>
            </w:tcMar>
          </w:tcPr>
          <w:p>
            <w:pPr>
              <w:spacing w:after="0"/>
            </w:pPr>
            <w:r>
              <w:t xml:space="preserve">Document owner</w:t>
            </w:r>
          </w:p>
        </w:tc>
        <w:tc>
          <w:tcPr>
            <w:tcW w:type="dxa" w:w="6400"/>
            <w:tcMar>
              <w:top w:w="50" w:type="dxa"/>
              <w:left w:w="100" w:type="dxa"/>
              <w:bottom w:w="50" w:type="dxa"/>
              <w:right w:w="100" w:type="dxa"/>
            </w:tcMar>
          </w:tcPr>
          <w:p>
            <w:pPr>
              <w:spacing w:after="0"/>
            </w:pPr>
            <w:r>
              <w:t xml:space="preserve">AI Governance Lead (proposed custodian; to be confirmed)</w:t>
            </w:r>
          </w:p>
        </w:tc>
      </w:tr>
      <w:tr>
        <w:trPr>
          <w:cantSplit/>
        </w:trPr>
        <w:tc>
          <w:tcPr>
            <w:tcW w:type="dxa" w:w="3200"/>
            <w:tcMar>
              <w:top w:w="50" w:type="dxa"/>
              <w:left w:w="100" w:type="dxa"/>
              <w:bottom w:w="50" w:type="dxa"/>
              <w:right w:w="100" w:type="dxa"/>
            </w:tcMar>
          </w:tcPr>
          <w:p>
            <w:pPr>
              <w:spacing w:after="0"/>
            </w:pPr>
            <w:r>
              <w:t xml:space="preserve">Adopting authority</w:t>
            </w:r>
          </w:p>
        </w:tc>
        <w:tc>
          <w:tcPr>
            <w:tcW w:type="dxa" w:w="6400"/>
            <w:tcMar>
              <w:top w:w="50" w:type="dxa"/>
              <w:left w:w="100" w:type="dxa"/>
              <w:bottom w:w="50" w:type="dxa"/>
              <w:right w:w="100" w:type="dxa"/>
            </w:tcMar>
          </w:tcPr>
          <w:p>
            <w:pPr>
              <w:spacing w:after="0"/>
            </w:pPr>
            <w:r>
              <w:t xml:space="preserve">Competent Council authority under the Constitution and Scheme of Delegation (to be confirmed; Monitoring Officer to verify). The AI Assurance Board provides assurance and recommendation only.</w:t>
            </w:r>
          </w:p>
        </w:tc>
      </w:tr>
      <w:tr>
        <w:trPr>
          <w:cantSplit/>
        </w:trPr>
        <w:tc>
          <w:tcPr>
            <w:tcW w:type="dxa" w:w="3200"/>
            <w:tcMar>
              <w:top w:w="50" w:type="dxa"/>
              <w:left w:w="100" w:type="dxa"/>
              <w:bottom w:w="50" w:type="dxa"/>
              <w:right w:w="100" w:type="dxa"/>
            </w:tcMar>
          </w:tcPr>
          <w:p>
            <w:pPr>
              <w:spacing w:after="0"/>
            </w:pPr>
            <w:r>
              <w:t xml:space="preserve">Review</w:t>
            </w:r>
          </w:p>
        </w:tc>
        <w:tc>
          <w:tcPr>
            <w:tcW w:type="dxa" w:w="6400"/>
            <w:tcMar>
              <w:top w:w="50" w:type="dxa"/>
              <w:left w:w="100" w:type="dxa"/>
              <w:bottom w:w="50" w:type="dxa"/>
              <w:right w:w="100" w:type="dxa"/>
            </w:tcMar>
          </w:tcPr>
          <w:p>
            <w:pPr>
              <w:spacing w:after="0"/>
            </w:pPr>
            <w:r>
              <w:t xml:space="preserve">At least annually at the AIMS management review (AIG-AIMS-09) and after material change</w:t>
            </w:r>
          </w:p>
        </w:tc>
      </w:tr>
      <w:tr>
        <w:trPr>
          <w:cantSplit/>
        </w:trPr>
        <w:tc>
          <w:tcPr>
            <w:tcW w:type="dxa" w:w="3200"/>
            <w:tcMar>
              <w:top w:w="50" w:type="dxa"/>
              <w:left w:w="100" w:type="dxa"/>
              <w:bottom w:w="50" w:type="dxa"/>
              <w:right w:w="100" w:type="dxa"/>
            </w:tcMar>
          </w:tcPr>
          <w:p>
            <w:pPr>
              <w:spacing w:after="0"/>
            </w:pPr>
            <w:r>
              <w:t xml:space="preserve">Classification</w:t>
            </w:r>
          </w:p>
        </w:tc>
        <w:tc>
          <w:tcPr>
            <w:tcW w:type="dxa" w:w="6400"/>
            <w:tcMar>
              <w:top w:w="50" w:type="dxa"/>
              <w:left w:w="100" w:type="dxa"/>
              <w:bottom w:w="50" w:type="dxa"/>
              <w:right w:w="100" w:type="dxa"/>
            </w:tcMar>
          </w:tcPr>
          <w:p>
            <w:pPr>
              <w:spacing w:after="0"/>
            </w:pPr>
            <w:r>
              <w:t xml:space="preserve">OFFICIAL</w:t>
            </w:r>
          </w:p>
        </w:tc>
      </w:tr>
    </w:tbl>
    <w:p>
      <w:pPr>
        <w:keepNext/>
        <w:shd w:fill="0A2342" w:val="clear"/>
        <w:spacing w:after="100" w:before="220"/>
      </w:pPr>
      <w:r>
        <w:rPr>
          <w:rFonts w:ascii="Arial" w:hAnsi="Arial" w:eastAsia="Arial" w:cs="Arial"/>
          <w:b/>
          <w:bCs/>
          <w:color w:val="FFFFFF"/>
          <w:sz w:val="20"/>
          <w:szCs w:val="20"/>
        </w:rPr>
        <w:t xml:space="preserve">  Change history</w:t>
      </w:r>
    </w:p>
    <w:tbl>
      <w:tblPr>
        <w:tblW w:w="9600" w:type="dxa"/>
        <w:tblBorders>
          <w:top w:val="single" w:color="B7B7B7" w:sz="4"/>
          <w:left w:val="single" w:color="B7B7B7" w:sz="4"/>
          <w:bottom w:val="single" w:color="B7B7B7" w:sz="4"/>
          <w:right w:val="single" w:color="B7B7B7" w:sz="4"/>
          <w:insideH w:val="single" w:color="B7B7B7" w:sz="4"/>
          <w:insideV w:val="single" w:color="B7B7B7" w:sz="4"/>
        </w:tblBorders>
      </w:tblPr>
      <w:tblGrid>
        <w:gridCol w:w="1700"/>
        <w:gridCol w:w="1900"/>
        <w:gridCol w:w="6000"/>
      </w:tblGrid>
      <w:tr>
        <w:trPr>
          <w:cantSplit/>
          <w:tblHeader/>
        </w:trPr>
        <w:tc>
          <w:tcPr>
            <w:tcW w:type="dxa" w:w="1700"/>
            <w:shd w:fill="0A2342" w:val="clear"/>
            <w:tcMar>
              <w:top w:w="50" w:type="dxa"/>
              <w:left w:w="100" w:type="dxa"/>
              <w:bottom w:w="50" w:type="dxa"/>
              <w:right w:w="100" w:type="dxa"/>
            </w:tcMar>
          </w:tcPr>
          <w:p>
            <w:pPr>
              <w:spacing w:after="0"/>
            </w:pPr>
            <w:r>
              <w:rPr>
                <w:b/>
                <w:color w:val="FFFFFF"/>
              </w:rPr>
              <w:t xml:space="preserve">Version</w:t>
            </w:r>
          </w:p>
        </w:tc>
        <w:tc>
          <w:tcPr>
            <w:tcW w:type="dxa" w:w="1900"/>
            <w:shd w:fill="0A2342" w:val="clear"/>
            <w:tcMar>
              <w:top w:w="50" w:type="dxa"/>
              <w:left w:w="100" w:type="dxa"/>
              <w:bottom w:w="50" w:type="dxa"/>
              <w:right w:w="100" w:type="dxa"/>
            </w:tcMar>
          </w:tcPr>
          <w:p>
            <w:pPr>
              <w:spacing w:after="0"/>
            </w:pPr>
            <w:r>
              <w:rPr>
                <w:b/>
                <w:color w:val="FFFFFF"/>
              </w:rPr>
              <w:t xml:space="preserve">Date</w:t>
            </w:r>
          </w:p>
        </w:tc>
        <w:tc>
          <w:tcPr>
            <w:tcW w:type="dxa" w:w="6000"/>
            <w:shd w:fill="0A2342" w:val="clear"/>
            <w:tcMar>
              <w:top w:w="50" w:type="dxa"/>
              <w:left w:w="100" w:type="dxa"/>
              <w:bottom w:w="50" w:type="dxa"/>
              <w:right w:w="100" w:type="dxa"/>
            </w:tcMar>
          </w:tcPr>
          <w:p>
            <w:pPr>
              <w:spacing w:after="0"/>
            </w:pPr>
            <w:r>
              <w:rPr>
                <w:b/>
                <w:color w:val="FFFFFF"/>
              </w:rPr>
              <w:t xml:space="preserve">Change summary</w:t>
            </w:r>
          </w:p>
        </w:tc>
      </w:tr>
      <w:tr>
        <w:trPr>
          <w:cantSplit/>
        </w:trPr>
        <w:tc>
          <w:tcPr>
            <w:tcW w:type="dxa" w:w="1700"/>
            <w:tcMar>
              <w:top w:w="50" w:type="dxa"/>
              <w:left w:w="100" w:type="dxa"/>
              <w:bottom w:w="50" w:type="dxa"/>
              <w:right w:w="100" w:type="dxa"/>
            </w:tcMar>
          </w:tcPr>
          <w:p>
            <w:pPr>
              <w:spacing w:after="0"/>
            </w:pPr>
            <w:r>
              <w:t xml:space="preserve">1.0 draft</w:t>
            </w:r>
          </w:p>
        </w:tc>
        <w:tc>
          <w:tcPr>
            <w:tcW w:type="dxa" w:w="1900"/>
            <w:tcMar>
              <w:top w:w="50" w:type="dxa"/>
              <w:left w:w="100" w:type="dxa"/>
              <w:bottom w:w="50" w:type="dxa"/>
              <w:right w:w="100" w:type="dxa"/>
            </w:tcMar>
          </w:tcPr>
          <w:p>
            <w:pPr>
              <w:spacing w:after="0"/>
            </w:pPr>
            <w:r>
              <w:t xml:space="preserve">August 2026</w:t>
            </w:r>
          </w:p>
        </w:tc>
        <w:tc>
          <w:tcPr>
            <w:tcW w:type="dxa" w:w="6000"/>
            <w:tcMar>
              <w:top w:w="50" w:type="dxa"/>
              <w:left w:w="100" w:type="dxa"/>
              <w:bottom w:w="50" w:type="dxa"/>
              <w:right w:w="100" w:type="dxa"/>
            </w:tcMar>
          </w:tcPr>
          <w:p>
            <w:pPr>
              <w:spacing w:after="0"/>
            </w:pPr>
            <w:r>
              <w:t xml:space="preserve">Initial controlled draft of the clause 5.1 leadership commitment statement.</w:t>
            </w:r>
          </w:p>
        </w:tc>
      </w:tr>
      <w:tr>
        <w:trPr>
          <w:cantSplit/>
        </w:trPr>
        <w:tc>
          <w:tcPr>
            <w:tcW w:type="dxa" w:w="1700"/>
            <w:tcMar>
              <w:top w:w="50" w:type="dxa"/>
              <w:left w:w="100" w:type="dxa"/>
              <w:bottom w:w="50" w:type="dxa"/>
              <w:right w:w="100" w:type="dxa"/>
            </w:tcMar>
          </w:tcPr>
          <w:p>
            <w:pPr>
              <w:spacing w:after="0"/>
            </w:pPr>
            <w:r>
              <w:t xml:space="preserve">1.1 draft</w:t>
            </w:r>
          </w:p>
        </w:tc>
        <w:tc>
          <w:tcPr>
            <w:tcW w:type="dxa" w:w="1900"/>
            <w:tcMar>
              <w:top w:w="50" w:type="dxa"/>
              <w:left w:w="100" w:type="dxa"/>
              <w:bottom w:w="50" w:type="dxa"/>
              <w:right w:w="100" w:type="dxa"/>
            </w:tcMar>
          </w:tcPr>
          <w:p>
            <w:pPr>
              <w:spacing w:after="0"/>
            </w:pPr>
            <w:r>
              <w:t xml:space="preserve">29 September 2026</w:t>
            </w:r>
          </w:p>
        </w:tc>
        <w:tc>
          <w:tcPr>
            <w:tcW w:type="dxa" w:w="6000"/>
            <w:tcMar>
              <w:top w:w="50" w:type="dxa"/>
              <w:left w:w="100" w:type="dxa"/>
              <w:bottom w:w="50" w:type="dxa"/>
              <w:right w:w="100" w:type="dxa"/>
            </w:tcMar>
          </w:tcPr>
          <w:p>
            <w:pPr>
              <w:spacing w:after="0"/>
            </w:pPr>
            <w:r>
              <w:t xml:space="preserve">QA remediation — applied findings QA-086, QA-125, QA-193 (see QA change log). Single review rule; traceability definition moved out of the commitments list; document control added.</w:t>
            </w:r>
          </w:p>
        </w:tc>
      </w:tr>
      <w:tr>
        <w:trPr>
          <w:cantSplit/>
        </w:trPr>
        <w:tc>
          <w:tcPr>
            <w:tcW w:type="dxa" w:w="1700"/>
            <w:tcMar>
              <w:top w:w="50" w:type="dxa"/>
              <w:left w:w="100" w:type="dxa"/>
              <w:bottom w:w="50" w:type="dxa"/>
              <w:right w:w="100" w:type="dxa"/>
            </w:tcMar>
          </w:tcPr>
          <w:p>
            <w:pPr>
              <w:spacing w:after="0"/>
            </w:pPr>
            <w:r>
              <w:t xml:space="preserve">1.2 draft</w:t>
            </w:r>
          </w:p>
        </w:tc>
        <w:tc>
          <w:tcPr>
            <w:tcW w:type="dxa" w:w="1900"/>
            <w:tcMar>
              <w:top w:w="50" w:type="dxa"/>
              <w:left w:w="100" w:type="dxa"/>
              <w:bottom w:w="50" w:type="dxa"/>
              <w:right w:w="100" w:type="dxa"/>
            </w:tcMar>
          </w:tcPr>
          <w:p>
            <w:pPr>
              <w:spacing w:after="0"/>
            </w:pPr>
            <w:r>
              <w:t xml:space="preserve">30 September 2026</w:t>
            </w:r>
          </w:p>
        </w:tc>
        <w:tc>
          <w:tcPr>
            <w:tcW w:type="dxa" w:w="6000"/>
            <w:tcMar>
              <w:top w:w="50" w:type="dxa"/>
              <w:left w:w="100" w:type="dxa"/>
              <w:bottom w:w="50" w:type="dxa"/>
              <w:right w:w="100" w:type="dxa"/>
            </w:tcMar>
          </w:tcPr>
          <w:p>
            <w:pPr>
              <w:spacing w:after="0"/>
            </w:pPr>
            <w:r>
              <w:t xml:space="preserve">v3.9.1: standards cross-reference note updated to the 54-entry requirement inventory (AIG-AIMS-05 REQ-054, Civil Contingencies Act 2004, added).</w:t>
            </w:r>
          </w:p>
        </w:tc>
      </w:tr>
      <w:tr>
        <w:trPr>
          <w:cantSplit/>
        </w:trPr>
        <w:tc>
          <w:tcPr>
            <w:tcW w:type="dxa" w:w="1700"/>
            <w:tcMar>
              <w:top w:w="50" w:type="dxa"/>
              <w:left w:w="100" w:type="dxa"/>
              <w:bottom w:w="50" w:type="dxa"/>
              <w:right w:w="100" w:type="dxa"/>
            </w:tcMar>
          </w:tcPr>
          <w:p>
            <w:pPr>
              <w:spacing w:after="0"/>
            </w:pPr>
            <w:r>
              <w:t xml:space="preserve">1.3 draft</w:t>
            </w:r>
          </w:p>
        </w:tc>
        <w:tc>
          <w:tcPr>
            <w:tcW w:type="dxa" w:w="1900"/>
            <w:tcMar>
              <w:top w:w="50" w:type="dxa"/>
              <w:left w:w="100" w:type="dxa"/>
              <w:bottom w:w="50" w:type="dxa"/>
              <w:right w:w="100" w:type="dxa"/>
            </w:tcMar>
          </w:tcPr>
          <w:p>
            <w:pPr>
              <w:spacing w:after="0"/>
            </w:pPr>
            <w:r>
              <w:t xml:space="preserve">1 October 2026</w:t>
            </w:r>
          </w:p>
        </w:tc>
        <w:tc>
          <w:tcPr>
            <w:tcW w:type="dxa" w:w="6000"/>
            <w:tcMar>
              <w:top w:w="50" w:type="dxa"/>
              <w:left w:w="100" w:type="dxa"/>
              <w:bottom w:w="50" w:type="dxa"/>
              <w:right w:w="100" w:type="dxa"/>
            </w:tcMar>
          </w:tcPr>
          <w:p>
            <w:pPr>
              <w:spacing w:after="0"/>
            </w:pPr>
            <w:r>
              <w:t xml:space="preserve">v3.9.3: standards cross-reference note cites the 55-entry requirement inventory (AIG-AIMS-05 REQ-055, NIST AI 600-1 Generative AI Profile, added).</w:t>
            </w:r>
          </w:p>
        </w:tc>
      </w:tr>
      <w:tr>
        <w:trPr>
          <w:cantSplit/>
        </w:trPr>
        <w:tc>
          <w:tcPr>
            <w:tcW w:type="dxa" w:w="1700"/>
            <w:tcMar>
              <w:top w:w="50" w:type="dxa"/>
              <w:left w:w="100" w:type="dxa"/>
              <w:bottom w:w="50" w:type="dxa"/>
              <w:right w:w="100" w:type="dxa"/>
            </w:tcMar>
          </w:tcPr>
          <w:p>
            <w:pPr>
              <w:spacing w:after="0"/>
            </w:pPr>
            <w:r>
              <w:t>1.4 draft</w:t>
            </w:r>
          </w:p>
        </w:tc>
        <w:tc>
          <w:tcPr>
            <w:tcW w:type="dxa" w:w="1900"/>
            <w:tcMar>
              <w:top w:w="50" w:type="dxa"/>
              <w:left w:w="100" w:type="dxa"/>
              <w:bottom w:w="50" w:type="dxa"/>
              <w:right w:w="100" w:type="dxa"/>
            </w:tcMar>
          </w:tcPr>
          <w:p>
            <w:pPr>
              <w:spacing w:after="0"/>
            </w:pPr>
            <w:r>
              <w:t>2 October 2026</w:t>
            </w:r>
          </w:p>
        </w:tc>
        <w:tc>
          <w:tcPr>
            <w:tcW w:type="dxa" w:w="6000"/>
            <w:tcMar>
              <w:top w:w="50" w:type="dxa"/>
              <w:left w:w="100" w:type="dxa"/>
              <w:bottom w:w="50" w:type="dxa"/>
              <w:right w:w="100" w:type="dxa"/>
            </w:tcMar>
          </w:tcPr>
          <w:p>
            <w:pPr>
              <w:spacing w:after="0"/>
            </w:pPr>
            <w:r>
              <w:t>v3.9.5: standards cross-reference note cites the 56-entry requirement inventory (AIG-AIMS-05 REQ-056, SI 2026/425 ICO statutory code of practice on AI and automated decision-making, added). Proposed — for Council confirmation.</w:t>
            </w:r>
          </w:p>
        </w:tc>
      </w:tr>
      <w:tr>
        <w:trPr>
          <w:cantSplit/>
        </w:trPr>
        <w:tc>
          <w:tcPr>
            <w:tcW w:type="dxa" w:w="1700"/>
            <w:tcMar>
              <w:top w:w="50" w:type="dxa"/>
              <w:left w:w="100" w:type="dxa"/>
              <w:bottom w:w="50" w:type="dxa"/>
              <w:right w:w="100" w:type="dxa"/>
            </w:tcMar>
          </w:tcPr>
          <w:p>
            <w:pPr>
              <w:spacing w:after="0"/>
            </w:pPr>
            <w:r>
              <w:t>1.5 draft</w:t>
            </w:r>
          </w:p>
        </w:tc>
        <w:tc>
          <w:tcPr>
            <w:tcW w:type="dxa" w:w="1900"/>
            <w:tcMar>
              <w:top w:w="50" w:type="dxa"/>
              <w:left w:w="100" w:type="dxa"/>
              <w:bottom w:w="50" w:type="dxa"/>
              <w:right w:w="100" w:type="dxa"/>
            </w:tcMar>
          </w:tcPr>
          <w:p>
            <w:pPr>
              <w:spacing w:after="0"/>
            </w:pPr>
            <w:r>
              <w:t>12 October 2026: v3.9.10: standards cross-reference note cites the 58-entry requirement inventory (AIG-AIMS-05 REQ-057 DAMA-DMBOK and REQ-058 ISO/IEC 5259, added as voluntary data governance references).</w:t>
            </w:r>
          </w:p>
        </w:tc>
        <w:tc>
          <w:tcPr>
            <w:tcW w:type="dxa" w:w="6000"/>
            <w:tcMar>
              <w:top w:w="50" w:type="dxa"/>
              <w:left w:w="100" w:type="dxa"/>
              <w:bottom w:w="50" w:type="dxa"/>
              <w:right w:w="100" w:type="dxa"/>
            </w:tcMar>
          </w:tcPr>
          <w:p>
            <w:pPr>
              <w:spacing w:after="0"/>
            </w:pPr>
            <w:r>
              <w:t>v3.9.5: standards cross-reference note cites the 56-entry requirement inventory (AIG-AIMS-05 REQ-056, SI 2026/425 ICO statutory code of practice on AI and automated decision-making, added). Proposed — for Council confirmation.</w:t>
            </w:r>
          </w:p>
        </w:tc>
      </w:tr>
    </w:tbl>
    <w:p>
      <w:r>
        <w:br w:type="page"/>
      </w:r>
    </w:p>
    <w:p>
      <w:pPr>
        <w:spacing w:before="160" w:after="160"/>
      </w:pPr>
      <w:r>
        <w:rPr>
          <w:b/>
          <w:color w:val="1F4E79"/>
          <w:sz w:val="32"/>
        </w:rPr>
        <w:t>PROPOSED INTEGRATION ADDITIONS — REVIEW REQUIRED</w:t>
      </w:r>
    </w:p>
    <w:p>
      <w:r>
        <w:rPr>
          <w:b/>
          <w:color w:val="9C0006"/>
        </w:rPr>
        <w:t xml:space="preserve">NOT APPROVED. </w:t>
      </w:r>
      <w:r>
        <w:t>Additive review annex only; original paragraphs and tables above are retained. These proposals do not record live facts, completed actions, delegated authority, Council adoption or approval. Until an approved migration, the current Register and Gate Log practice remains authoritative; the AIG-INV-04/AIG-DEC-04 joins below are proposed design only.</w:t>
      </w:r>
    </w:p>
    <w:p>
      <w:pPr>
        <w:spacing w:before="160" w:after="60"/>
      </w:pPr>
      <w:r>
        <w:rPr>
          <w:b/>
          <w:color w:val="1F4E79"/>
          <w:sz w:val="24"/>
        </w:rPr>
        <w:t>Status and commitment</w:t>
      </w:r>
    </w:p>
    <w:p>
      <w:pPr>
        <w:keepLines/>
        <w:spacing w:after="120"/>
      </w:pPr>
      <w:r>
        <w:t>This statement remains proposed for formal adoption by the competent Council authority under confirmed delegations. The AI Assurance Board’s assurance/recommendation role is not itself approval authority unless an actual delegation establishes that. No signature, adoption date, resource provision, top-management commitment or completed review is asserted by these notes.</w:t>
      </w:r>
    </w:p>
    <w:p>
      <w:pPr>
        <w:spacing w:before="160" w:after="60"/>
      </w:pPr>
      <w:r>
        <w:rPr>
          <w:b/>
          <w:color w:val="1F4E79"/>
          <w:sz w:val="24"/>
        </w:rPr>
        <w:t>Evidence, not declaration</w:t>
      </w:r>
    </w:p>
    <w:p>
      <w:pPr>
        <w:keepLines/>
        <w:spacing w:after="120"/>
      </w:pPr>
      <w:r>
        <w:t>Link any future adopted commitment and subsequent reaffirmation to its actual authorised AIG-DEC-03/native decision/minutes and an indexed evidence record. AIG-AIMS-03 objectives/treatment, AIG-AIMS-02 SoA, AIG-AIMS-06 design status, AIG-AIMS-07 audit and AIG-AIMS-09 review remain separate supporting sources; a cross-reference does not prove leadership has resourced or operated them.</w:t>
      </w:r>
    </w:p>
    <w:p>
      <w:pPr>
        <w:spacing w:before="160" w:after="60"/>
      </w:pPr>
      <w:r>
        <w:rPr>
          <w:b/>
          <w:color w:val="1F4E79"/>
          <w:sz w:val="24"/>
        </w:rPr>
        <w:t>AIG-INV-04/AIG-DEC-04 management-system boundary</w:t>
      </w:r>
    </w:p>
    <w:p>
      <w:pPr>
        <w:keepLines/>
        <w:spacing w:after="120"/>
      </w:pPr>
      <w:r>
        <w:t>Use AIR-ID only to identify an in-scope AI system and reconcile approved current state in proposed AIG-INV-04. Actual system-specific governance decisions, events and conditions can be related by AIG-DEC-04 Event ID/Condition ID with Evidence ID pointers and the substantive AIG-DEC-03/native decision. Leadership commitment and AIMS-wide resource/authority decisions are not system events and may have no AIR-ID; do not force them into the register.</w:t>
      </w:r>
    </w:p>
    <w:p>
      <w:pPr>
        <w:spacing w:before="160" w:after="60"/>
      </w:pPr>
      <w:r>
        <w:rPr>
          <w:b/>
          <w:color w:val="1F4E79"/>
          <w:sz w:val="24"/>
        </w:rPr>
        <w:t>Review and escalation</w:t>
      </w:r>
    </w:p>
    <w:p>
      <w:pPr>
        <w:keepLines/>
        <w:spacing w:after="120"/>
      </w:pPr>
      <w:r>
        <w:t>If top management makes a real scope, policy, resource, authority or risk decision, retain the dated authorised record and update the appropriate AIMS source and approved AIG-INV-04 state only through controlled change. Bring unresolved authority, resource, condition, risk and objective issues to a real management review under AIG-AIMS-09; retain actual output/action evidence and do not describe planned events as held.</w:t>
      </w:r>
    </w:p>
    <w:p>
      <w:pPr>
        <w:spacing w:before="160" w:after="60"/>
      </w:pPr>
      <w:r>
        <w:rPr>
          <w:b/>
          <w:color w:val="1F4E79"/>
          <w:sz w:val="24"/>
        </w:rPr>
        <w:t>Adoption checks</w:t>
      </w:r>
    </w:p>
    <w:p>
      <w:pPr>
        <w:keepLines/>
        <w:spacing w:after="120"/>
      </w:pPr>
      <w:r>
        <w:t>Confirm scope compatibility, objective framework, allocated resources, accountability boundaries, policy and management-review cadence; verify authority and communication evidence. Keep any required signature and adoption fields blank until genuinely authorised.</w:t>
      </w:r>
    </w:p>
    <w:p>
      <w:r>
        <w:t>Leadership adoption and future amendment authority</w:t>
      </w:r>
    </w:p>
    <w:p>
      <w:r>
        <w:t>Leadership adoption is not a standing amendment delegation</w:t>
      </w:r>
    </w:p>
    <w:p>
      <w:r>
        <w:t>POST-ADOPTION CHANGE AUTHORITY GAP. The blank adopting-authority field must be completed through a real delegated decision; even that initial adoption does not by itself identify who can sign off future controlled suite or AIMS changes. Top management accountability and Board assurance do not replace a documented amendment delegation, controlled version decision and effective date. Confirm the route before adoption.</w:t>
      </w:r>
    </w:p>
    <w:p>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REQ-013 — Local Government Act 1972 (including section 101) and The Council’s constitution and scheme of delegation</w:t>
            </w:r>
          </w:p>
        </w:tc>
        <w:tc>
          <w:tcPr>
            <w:tcW w:type="dxa" w:w="3213"/>
          </w:tcPr>
          <w:p>
            <w:r>
              <w:t>For actual Council decision/approval, verify the current Constitution and delegation.</w:t>
            </w:r>
          </w:p>
        </w:tc>
        <w:tc>
          <w:tcPr>
            <w:tcW w:type="dxa" w:w="3213"/>
          </w:tcPr>
          <w:p>
            <w:r>
              <w:t>https://www.legislation.gov.uk/ukpga/1972/70/contents</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bl>
    <w:sectPr>
      <w:headerReference w:type="default" r:id="rId9"/>
      <w:footerReference w:type="default" r:id="rId7"/>
      <w:headerReference w:type="first" r:id="rId10"/>
      <w:headerReference w:type="even" r:id="rId11"/>
      <w:footerReference w:type="first" r:id="rId12"/>
      <w:foot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hAnsi="Arial"/>
        <w:color w:val="536072"/>
        <w:sz w:val="16"/>
      </w:rPr>
      <w:t xml:space="preserve">AIG-GOV-04  ·  v1.5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w:p>
    <w:pPr>
      <w:pBdr>
        <w:bottom w:val="single" w:sz="4" w:space="7" w:color="DCE3EA"/>
      </w:pBdr>
      <w:spacing w:after="0"/>
      <w:jc w:val="right"/>
    </w:pPr>
    <w:r>
      <w:rPr>
        <w:rFonts w:ascii="Arial" w:hAnsi="Arial"/>
        <w:color w:val="536072"/>
        <w:sz w:val="17"/>
      </w:rPr>
      <w:t>The Council — AIMS Leadership Commitment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AIG-GOV-04 AIMS Leadership Commitment Statement</dc:title>
  <dc:subject>The Council AI governance suite v3.9.9</dc:subject>
  <dc:creator>AI Governance Lead</dc:creator>
  <cp:keywords>OFFICIAL; AI governance; draft for Council review</cp:keywords>
  <dc:description>Draft for Council review; not approved.</dc:description>
  <cp:lastModifiedBy>AI Governance Lead</cp:lastModifiedBy>
  <cp:revision>1</cp:revision>
  <dcterms:created xsi:type="dcterms:W3CDTF">2026-08-07T22:36:58.640Z</dcterms:created>
  <dcterms:modified xsi:type="dcterms:W3CDTF">2026-10-01T12:00:00Z</dcterms:modified>
  <cp:category>AI governance</cp:category>
  <cp:contentStatus>Draft for Council review</cp:contentStatus>
  <cp:version>1.4 draft</cp:version>
  <dc:language>en-GB</dc:language>
</cp:coreProperties>
</file>

<file path=docProps/custom.xml><?xml version="1.0" encoding="utf-8"?>
<Properties xmlns="http://schemas.openxmlformats.org/officeDocument/2006/custom-properties" xmlns:vt="http://schemas.openxmlformats.org/officeDocument/2006/docPropsVTypes"/>
</file>