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c="http://schemas.openxmlformats.org/markup-compatibility/2006" xmlns:r="http://schemas.openxmlformats.org/officeDocument/2006/relationships" xmlns:w="http://schemas.openxmlformats.org/wordprocessingml/2006/main" mc:Ignorable="w14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pStyle w:val="Title"/>
      </w:pPr>
      <w:r>
        <w:t>Staff Guide to Registering and Governing AI</w:t>
      </w:r>
    </w:p>
    <w:p>
      <w:r>
        <w:t>Quick entry guide for all staff, followed by a practical Service Owner guide. Use this to establish whether a tool is approved, supply accurate intake facts, follow the assigned route and keep the service safe in operation.</w:t>
      </w:r>
    </w:p>
    <w:p>
      <w:pPr>
        <w:pStyle w:val="Heading1"/>
      </w:pPr>
      <w:r>
        <w:t>For every member of staff</w:t>
      </w:r>
    </w:p>
    <w:p>
      <w:r>
        <w:rPr>
          <w:b/>
        </w:rPr>
        <w:t xml:space="preserve">Before use, check AIR-ID and the exact UC-ID, purpose and conditions in the authoritative decision; an Approved/Active system row alone is insufficient. If the UC-ID is unknown, the use materially differs, or evidence conflicts, pause that use and ask the Service Owner/Governance Lead. Report changes and incidents against AIR-ID plus each known affected UC-ID.</w:t>
      </w:r>
    </w:p>
    <w:p>
      <w:r>
        <w:rPr>
          <w:b/>
        </w:rPr>
        <w:t xml:space="preserve">1.  </w:t>
      </w:r>
      <w:r>
        <w:t xml:space="preserve">Check the AI Register before using AI for Council work. A listed tool is usable only when Governance Approval Status is Approved and Operational Status is Active, and your proposed use matches its approved purpose, conditions and any required training.</w:t>
      </w:r>
    </w:p>
    <w:p>
      <w:r>
        <w:rPr>
          <w:b/>
        </w:rPr>
        <w:t xml:space="preserve">2.  </w:t>
      </w:r>
      <w:r>
        <w:t xml:space="preserve">If the use is new, changed, unregistered or not clearly approved, pause that use and contact the AI Governance Lead. Every use enters through AI Intake (AIG-INV-03). For a possibly low-impact use, the Service Owner also completes Fast-Track Screening (AIG-INV-02) as a step within that intake. If you discover AI already in use, disclose it promptly through intake.</w:t>
      </w:r>
    </w:p>
    <w:p>
      <w:r>
        <w:rPr>
          <w:b/>
        </w:rPr>
        <w:t xml:space="preserve">3.  </w:t>
      </w:r>
      <w:r>
        <w:t>Check outputs and remain accountable for what you use or publish. Do not enter sensitive data without the required approval, make a final statutory decision without meaningful human review, use AI to profile residents outside its scope, or work around approval conditions.</w:t>
      </w:r>
    </w:p>
    <w:p>
      <w:pPr>
        <w:pStyle w:val="Heading1"/>
      </w:pPr>
      <w:r>
        <w:t>Safeguards that apply even to approved tools</w:t>
      </w:r>
    </w:p>
    <w:p>
      <w:pPr>
        <w:pStyle w:val="ListBullet"/>
        <w:ind w:left="302"/>
      </w:pPr>
      <w:r>
        <w:t>Do not use AI to make a final statutory decision without proper human review and accountability.</w:t>
      </w:r>
    </w:p>
    <w:p>
      <w:pPr>
        <w:pStyle w:val="ListBullet"/>
        <w:ind w:left="302"/>
      </w:pPr>
      <w:r>
        <w:t>Do not put special-category or highly sensitive Council data into a tool without data protection approval.</w:t>
      </w:r>
    </w:p>
    <w:p>
      <w:pPr>
        <w:pStyle w:val="ListBullet"/>
        <w:ind w:left="302"/>
      </w:pPr>
      <w:r>
        <w:t>Check AI-generated content before sending it externally as fact; disclose AI use in legal or statutory processes as required by Council policy.</w:t>
      </w:r>
    </w:p>
    <w:p>
      <w:pPr>
        <w:pStyle w:val="ListBullet"/>
        <w:ind w:left="302"/>
      </w:pPr>
      <w:r>
        <w:t>Do not monitor or profile residents outside the authorised purpose or bypass registration and approval.</w:t>
      </w:r>
    </w:p>
    <w:p>
      <w:r>
        <w:rPr>
          <w:b/>
        </w:rPr>
        <w:t xml:space="preserve">Generative AI  </w:t>
      </w:r>
      <w:r>
        <w:t>Confident text may be wrong. Verify facts, figures and quotations before relying on output in Council work.</w:t>
      </w:r>
    </w:p>
    <w:p>
      <w:r>
        <w:rPr>
          <w:b/>
        </w:rPr>
        <w:t xml:space="preserve">If uncertain  </w:t>
      </w:r>
      <w:r>
        <w:t>Do not guess whether a tool is AI, whether it is approved or whether a change is within scope. Ask the AI Governance Lead.</w:t>
      </w:r>
    </w:p>
    <w:p>
      <w:pPr>
        <w:pStyle w:val="Heading1"/>
      </w:pPr>
      <w:r>
        <w:t>For Service Owners</w:t>
      </w:r>
    </w:p>
    <w:p>
      <w:r>
        <w:t>You own the service use and its outcomes from proposal to retirement, including accurate facts, operational controls and follow-up. The AI Governance Lead confirms the route and maintains the AI Register, AGPI, Risk Worksheet, Gate Log and Decision Record. Privacy, legal, equalities, security and procurement specialists retain their own review responsibilities. The existing forum with delegated authority makes the approval decision.</w:t>
      </w:r>
    </w:p>
    <w:p>
      <w:r>
        <w:t>The sections that follow show what you provide for each route. You are not expected to complete every form in the suite. Keep the same AIR-ID on evidence and use links to existing records rather than copying them.</w:t>
      </w:r>
    </w:p>
    <w:p>
      <w:r>
        <w:br w:type="page"/>
      </w:r>
    </w:p>
    <w:p>
      <w:pPr>
        <w:pStyle w:val="Heading1"/>
      </w:pPr>
      <w:r>
        <w:t>1  Identify the right starting route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1872"/>
            <w:vAlign w:val="center"/>
            <w:tcMar>
              <w:top w:w="90" w:type="dxa"/>
              <w:left w:w="90" w:type="dxa"/>
              <w:bottom w:w="90" w:type="dxa"/>
              <w:right w:w="90" w:type="dxa"/>
            </w:tcMar>
            <w:shd w:fill="10253E"/>
          </w:tcPr>
          <w:p>
            <w:pPr>
              <w:spacing w:after="0" w:line="252" w:lineRule="auto"/>
            </w:pPr>
            <w:r>
              <w:rPr>
                <w:rFonts w:ascii="Arial" w:hAnsi="Arial"/>
                <w:b/>
                <w:color w:val="FFFFFF"/>
                <w:sz w:val="18"/>
              </w:rPr>
              <w:t>Situation</w:t>
            </w:r>
          </w:p>
        </w:tc>
        <w:tc>
          <w:tcPr>
            <w:tcW w:type="dxa" w:w="4853"/>
            <w:vAlign w:val="center"/>
            <w:tcMar>
              <w:top w:w="90" w:type="dxa"/>
              <w:left w:w="90" w:type="dxa"/>
              <w:bottom w:w="90" w:type="dxa"/>
              <w:right w:w="90" w:type="dxa"/>
            </w:tcMar>
            <w:shd w:fill="10253E"/>
          </w:tcPr>
          <w:p>
            <w:pPr>
              <w:spacing w:after="0" w:line="252" w:lineRule="auto"/>
            </w:pPr>
            <w:r>
              <w:rPr>
                <w:rFonts w:ascii="Arial" w:hAnsi="Arial"/>
                <w:b/>
                <w:color w:val="FFFFFF"/>
                <w:sz w:val="18"/>
              </w:rPr>
              <w:t>What you do</w:t>
            </w:r>
          </w:p>
        </w:tc>
        <w:tc>
          <w:tcPr>
            <w:tcW w:type="dxa" w:w="1843"/>
            <w:vAlign w:val="center"/>
            <w:tcMar>
              <w:top w:w="90" w:type="dxa"/>
              <w:left w:w="90" w:type="dxa"/>
              <w:bottom w:w="90" w:type="dxa"/>
              <w:right w:w="90" w:type="dxa"/>
            </w:tcMar>
            <w:shd w:fill="10253E"/>
          </w:tcPr>
          <w:p>
            <w:pPr>
              <w:spacing w:after="0" w:line="252" w:lineRule="auto"/>
            </w:pPr>
            <w:r>
              <w:rPr>
                <w:rFonts w:ascii="Arial" w:hAnsi="Arial"/>
                <w:b/>
                <w:color w:val="FFFFFF"/>
                <w:sz w:val="18"/>
              </w:rPr>
              <w:t>Who confirms / records</w:t>
            </w:r>
          </w:p>
        </w:tc>
      </w:tr>
      <w:tr>
        <w:trPr>
          <w:cantSplit/>
        </w:trPr>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Already Approved and Active</w:t>
            </w:r>
          </w:p>
        </w:tc>
        <w:tc>
          <w:tcPr>
            <w:tcW w:type="dxa" w:w="4853"/>
            <w:vAlign w:val="center"/>
            <w:tcMar>
              <w:top w:w="90" w:type="dxa"/>
              <w:left w:w="90" w:type="dxa"/>
              <w:bottom w:w="90" w:type="dxa"/>
              <w:right w:w="90" w:type="dxa"/>
            </w:tcMar>
            <w:shd w:fill="F1F5F9"/>
          </w:tcPr>
          <w:p>
            <w:pPr>
              <w:spacing w:after="0" w:line="252" w:lineRule="auto"/>
            </w:pPr>
            <w:r>
              <w:rPr>
                <w:rFonts w:ascii="Arial" w:hAnsi="Arial"/>
                <w:sz w:val="18"/>
              </w:rPr>
              <w:t>Check the exact purpose, data, users, boundaries, conditions and review date. Escalate any new purpose, connection or action. If your team wants to use something already approved for another team, that is a new use: submit intake for your own UC-ID, because the other team’s approval does not cover you.</w:t>
            </w:r>
          </w:p>
        </w:tc>
        <w:tc>
          <w:tcPr>
            <w:tcW w:type="dxa" w:w="1843"/>
            <w:vAlign w:val="center"/>
            <w:tcMar>
              <w:top w:w="90" w:type="dxa"/>
              <w:left w:w="90" w:type="dxa"/>
              <w:bottom w:w="90" w:type="dxa"/>
              <w:right w:w="90" w:type="dxa"/>
            </w:tcMar>
            <w:shd w:fill="F1F5F9"/>
          </w:tcPr>
          <w:p>
            <w:pPr>
              <w:spacing w:after="0" w:line="252" w:lineRule="auto"/>
            </w:pPr>
            <w:r>
              <w:rPr>
                <w:rFonts w:ascii="Arial" w:hAnsi="Arial"/>
                <w:sz w:val="18"/>
              </w:rPr>
              <w:t>AI Governance Lead confirms any scope question; Service Owner supervises use.</w:t>
            </w:r>
          </w:p>
        </w:tc>
      </w:tr>
      <w:tr>
        <w:trPr>
          <w:cantSplit/>
        </w:trPr>
        <w:tc>
          <w:tcPr>
            <w:tcW w:type="dxa" w:w="1872"/>
            <w:vAlign w:val="center"/>
            <w:tcMar>
              <w:top w:w="90" w:type="dxa"/>
              <w:left w:w="90" w:type="dxa"/>
              <w:bottom w:w="90" w:type="dxa"/>
              <w:right w:w="90" w:type="dxa"/>
            </w:tcMar>
            <w:shd w:fill="FFFFFF"/>
          </w:tcPr>
          <w:p>
            <w:pPr>
              <w:spacing w:after="0" w:line="252" w:lineRule="auto"/>
            </w:pPr>
            <w:r>
              <w:rPr>
                <w:rFonts w:ascii="Arial" w:hAnsi="Arial"/>
                <w:sz w:val="18"/>
              </w:rPr>
              <w:t>Possibly Light-touch</w:t>
            </w:r>
          </w:p>
        </w:tc>
        <w:tc>
          <w:tcPr>
            <w:tcW w:type="dxa" w:w="4853"/>
            <w:vAlign w:val="center"/>
            <w:tcMar>
              <w:top w:w="90" w:type="dxa"/>
              <w:left w:w="90" w:type="dxa"/>
              <w:bottom w:w="90" w:type="dxa"/>
              <w:right w:w="90" w:type="dxa"/>
            </w:tcMar>
            <w:shd w:fill="FFFFFF"/>
          </w:tcPr>
          <w:p>
            <w:pPr>
              <w:spacing w:after="0" w:line="252" w:lineRule="auto"/>
            </w:pPr>
            <w:r>
              <w:rPr>
                <w:rFonts w:ascii="Arial" w:hAnsi="Arial"/>
                <w:sz w:val="18"/>
              </w:rPr>
              <w:t xml:space="preserve">Submit AI Intake (AIG-INV-03) Sections 1–7 with Fast-Track Screening (AIG-INV-02) for each UC-ID, including all ten Yes / No / Unsure answers. Do not mark Unsure as No.</w:t>
            </w:r>
          </w:p>
        </w:tc>
        <w:tc>
          <w:tcPr>
            <w:tcW w:type="dxa" w:w="1843"/>
            <w:vAlign w:val="center"/>
            <w:tcMar>
              <w:top w:w="90" w:type="dxa"/>
              <w:left w:w="90" w:type="dxa"/>
              <w:bottom w:w="90" w:type="dxa"/>
              <w:right w:w="90" w:type="dxa"/>
            </w:tcMar>
            <w:shd w:fill="FFFFFF"/>
          </w:tcPr>
          <w:p>
            <w:pPr>
              <w:spacing w:after="0" w:line="252" w:lineRule="auto"/>
            </w:pPr>
            <w:r>
              <w:rPr>
                <w:rFonts w:ascii="Arial" w:hAnsi="Arial"/>
                <w:sz w:val="18"/>
              </w:rPr>
              <w:t xml:space="preserve">Only the AI Governance Lead can validate all-No eligibility, assign AIR-ID and confirm the light Register route. A delegated decision for the UC-ID (AIG-DEC-03) and Gate Event (AIG-DEC-04) are recorded before use.</w:t>
            </w:r>
          </w:p>
        </w:tc>
      </w:tr>
      <w:tr>
        <w:trPr>
          <w:cantSplit/>
        </w:trPr>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Any Yes or Unsure on Fast Track</w:t>
            </w:r>
          </w:p>
        </w:tc>
        <w:tc>
          <w:tcPr>
            <w:tcW w:type="dxa" w:w="4853"/>
            <w:vAlign w:val="center"/>
            <w:tcMar>
              <w:top w:w="90" w:type="dxa"/>
              <w:left w:w="90" w:type="dxa"/>
              <w:bottom w:w="90" w:type="dxa"/>
              <w:right w:w="90" w:type="dxa"/>
            </w:tcMar>
            <w:shd w:fill="F1F5F9"/>
          </w:tcPr>
          <w:p>
            <w:pPr>
              <w:spacing w:after="0" w:line="252" w:lineRule="auto"/>
            </w:pPr>
            <w:r>
              <w:rPr>
                <w:rFonts w:ascii="Arial" w:hAnsi="Arial"/>
                <w:sz w:val="18"/>
              </w:rPr>
              <w:t>Stop the Fast Track route and complete AI Intake (AIG-INV-03). Supply the underlying facts and existing evidence.</w:t>
            </w:r>
          </w:p>
        </w:tc>
        <w:tc>
          <w:tcPr>
            <w:tcW w:type="dxa" w:w="1843"/>
            <w:vAlign w:val="center"/>
            <w:tcMar>
              <w:top w:w="90" w:type="dxa"/>
              <w:left w:w="90" w:type="dxa"/>
              <w:bottom w:w="90" w:type="dxa"/>
              <w:right w:w="90" w:type="dxa"/>
            </w:tcMar>
            <w:shd w:fill="F1F5F9"/>
          </w:tcPr>
          <w:p>
            <w:pPr>
              <w:spacing w:after="0" w:line="252" w:lineRule="auto"/>
            </w:pPr>
            <w:r>
              <w:rPr>
                <w:rFonts w:ascii="Arial" w:hAnsi="Arial"/>
                <w:sz w:val="18"/>
              </w:rPr>
              <w:t>Governance runs AGPI (AIG-ASS-01) and Risk Worksheet (AIG-ASS-02), confirms classification and issues a case-specific checklist.</w:t>
            </w:r>
          </w:p>
        </w:tc>
      </w:tr>
      <w:tr>
        <w:trPr>
          <w:cantSplit/>
        </w:trPr>
        <w:tc>
          <w:tcPr>
            <w:tcW w:type="dxa" w:w="1872"/>
            <w:vAlign w:val="center"/>
            <w:tcMar>
              <w:top w:w="90" w:type="dxa"/>
              <w:left w:w="90" w:type="dxa"/>
              <w:bottom w:w="90" w:type="dxa"/>
              <w:right w:w="90" w:type="dxa"/>
            </w:tcMar>
            <w:shd w:fill="FFFFFF"/>
          </w:tcPr>
          <w:p>
            <w:pPr>
              <w:spacing w:after="0" w:line="252" w:lineRule="auto"/>
            </w:pPr>
            <w:r>
              <w:rPr>
                <w:rFonts w:ascii="Arial" w:hAnsi="Arial"/>
                <w:sz w:val="18"/>
              </w:rPr>
              <w:t>Can act or invoke tools</w:t>
            </w:r>
          </w:p>
        </w:tc>
        <w:tc>
          <w:tcPr>
            <w:tcW w:type="dxa" w:w="4853"/>
            <w:vAlign w:val="center"/>
            <w:tcMar>
              <w:top w:w="90" w:type="dxa"/>
              <w:left w:w="90" w:type="dxa"/>
              <w:bottom w:w="90" w:type="dxa"/>
              <w:right w:w="90" w:type="dxa"/>
            </w:tcMar>
            <w:shd w:fill="FFFFFF"/>
          </w:tcPr>
          <w:p>
            <w:pPr>
              <w:spacing w:after="0" w:line="252" w:lineRule="auto"/>
            </w:pPr>
            <w:r>
              <w:rPr>
                <w:rFonts w:ascii="Arial" w:hAnsi="Arial"/>
                <w:sz w:val="18"/>
              </w:rPr>
              <w:t>In Intake (AIG-INV-03), disclose actions, systems accessed, maximum authority, human checks and the person accountable.</w:t>
            </w:r>
          </w:p>
        </w:tc>
        <w:tc>
          <w:tcPr>
            <w:tcW w:type="dxa" w:w="1843"/>
            <w:vAlign w:val="center"/>
            <w:tcMar>
              <w:top w:w="90" w:type="dxa"/>
              <w:left w:w="90" w:type="dxa"/>
              <w:bottom w:w="90" w:type="dxa"/>
              <w:right w:w="90" w:type="dxa"/>
            </w:tcMar>
            <w:shd w:fill="FFFFFF"/>
          </w:tcPr>
          <w:p>
            <w:pPr>
              <w:spacing w:after="0" w:line="252" w:lineRule="auto"/>
            </w:pPr>
            <w:r>
              <w:rPr>
                <w:rFonts w:ascii="Arial" w:hAnsi="Arial"/>
                <w:sz w:val="18"/>
              </w:rPr>
              <w:t>Governance also invokes Agentic Triage (AIG-AGT-03) and opens the Agent Record / ASBOM (AIG-AGT-04): a short core record for most agents, the full record for higher-agency ones.</w:t>
            </w:r>
          </w:p>
        </w:tc>
      </w:tr>
      <w:tr>
        <w:trPr>
          <w:cantSplit/>
        </w:trPr>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Already operating or materially changed</w:t>
            </w:r>
          </w:p>
        </w:tc>
        <w:tc>
          <w:tcPr>
            <w:tcW w:type="dxa" w:w="4853"/>
            <w:vAlign w:val="center"/>
            <w:tcMar>
              <w:top w:w="90" w:type="dxa"/>
              <w:left w:w="90" w:type="dxa"/>
              <w:bottom w:w="90" w:type="dxa"/>
              <w:right w:w="90" w:type="dxa"/>
            </w:tcMar>
            <w:shd w:fill="F1F5F9"/>
          </w:tcPr>
          <w:p>
            <w:pPr>
              <w:spacing w:after="0" w:line="252" w:lineRule="auto"/>
            </w:pPr>
            <w:r>
              <w:rPr>
                <w:rFonts w:ascii="Arial" w:hAnsi="Arial"/>
                <w:sz w:val="18"/>
              </w:rPr>
              <w:t>Disclose through Intake (AIG-INV-03) promptly; describe first-use date, change and exposure. Do not treat the existing approval as covering a different use.</w:t>
            </w:r>
          </w:p>
        </w:tc>
        <w:tc>
          <w:tcPr>
            <w:tcW w:type="dxa" w:w="1843"/>
            <w:vAlign w:val="center"/>
            <w:tcMar>
              <w:top w:w="90" w:type="dxa"/>
              <w:left w:w="90" w:type="dxa"/>
              <w:bottom w:w="90" w:type="dxa"/>
              <w:right w:w="90" w:type="dxa"/>
            </w:tcMar>
            <w:shd w:fill="F1F5F9"/>
          </w:tcPr>
          <w:p>
            <w:pPr>
              <w:spacing w:after="0" w:line="252" w:lineRule="auto"/>
            </w:pPr>
            <w:r>
              <w:rPr>
                <w:rFonts w:ascii="Arial" w:hAnsi="Arial"/>
                <w:sz w:val="18"/>
              </w:rPr>
              <w:t>Governance decides investigation, re-triage, additional controls or suspension.</w:t>
            </w:r>
          </w:p>
        </w:tc>
      </w:tr>
    </w:tbl>
    <w:p>
      <w:pPr>
        <w:spacing w:after="0"/>
      </w:pPr>
    </w:p>
    <w:p>
      <w:r>
        <w:rPr>
          <w:b/>
        </w:rPr>
        <w:t xml:space="preserve">Two different readings  </w:t>
      </w:r>
      <w:r>
        <w:t xml:space="preserve">AGPI (AIG-ASS-01) measures governance priority; Risk Worksheet (AIG-ASS-02) determines inherent and residual risk tiers. Neither is an approval. The route follows the governing tier: the highest of the calculated risk tier, any mandatory trigger floor (playbook section 4.4.6), a confirmed Severe impact (Impact 5 on any dimension sets at least Medium) and, for AI that can act, the agency-tier minimum. These can raise the governing tier above the calculated tier, never lower it; the Governance Lead records the reason and obtains the required forum decision. The AGPI priority sets how quickly governance looks at the use, not the route.</w:t>
      </w:r>
    </w:p>
    <w:p>
      <w:pPr>
        <w:pStyle w:val="Heading1"/>
      </w:pPr>
      <w:r>
        <w:t>2  Complete intake with evidence rather than assumptions</w:t>
      </w:r>
    </w:p>
    <w:p>
      <w:r>
        <w:t>For a full case, complete Service Owner sections 1 to 7 of Intake (AIG-INV-03). Identify the tool and version, purpose and public benefit, supplier, lifecycle status, data sources, people affected, AI outputs, decisions influenced, actions the system can take, connected tools, human control and potential harm. Name the person who will manage the system and review its outputs. If a fact is unknown, state what is unknown and who will confirm it.</w:t>
      </w:r>
    </w:p>
    <w:p>
      <w:r>
        <w:t>Send a product description, data-flow sketch, supplier information, existing assessment or decision record when available. Give a reference and AIR-ID once assigned; do not rewrite the same evidence in each form. Governance completes the screening, register and pathway sections of Intake (AIG-INV-03) and sends you the confirmed risk tier, route, assessment checklist and contact.</w:t>
      </w:r>
    </w:p>
    <w:p>
      <w:r>
        <w:br w:type="page"/>
      </w:r>
    </w:p>
    <w:p>
      <w:pPr>
        <w:pStyle w:val="Heading1"/>
      </w:pPr>
      <w:r>
        <w:t>3  Decide whether Fast Track can even be considered</w:t>
      </w:r>
    </w:p>
    <w:p>
      <w:r>
        <w:t>Fast Track (AIG-INV-02) is a ten-question eligibility screen completed as a step within AI Intake (AIG-INV-03), not an approval. All ten answers must be No, with no mandatory trigger and a complete submission, before the AI Governance Lead may confirm Light-touch / Low / Priority 4 or 5. Any Yes or Unsure means full Intake (AIG-INV-03) and triage. These are factual checks, not a score: nine No answers cannot outweigh one Yes.</w:t>
      </w:r>
    </w:p>
    <w:tbl>
      <w:tblPr>
        <w:tblStyle w:val="TableGrid"/>
        <w:tblW w:type="auto" w:w="0"/>
        <w:jc w:val="center"/>
        <w:tblLayout w:type="fixed"/>
        <w:tblLook w:firstColumn="1" w:firstRow="1" w:lastColumn="0" w:lastRow="0" w:noHBand="0" w:noVBand="1" w:val="04A0"/>
      </w:tblPr>
      <w:tblGrid>
        <w:gridCol w:w="4997"/>
        <w:gridCol w:w="4997"/>
      </w:tblGrid>
      <w:tr>
        <w:trPr>
          <w:cantSplit/>
          <w:tblHeader/>
        </w:trPr>
        <w:tc>
          <w:tcPr>
            <w:tcW w:type="dxa" w:w="2333"/>
            <w:vAlign w:val="center"/>
            <w:tcMar>
              <w:top w:w="90" w:type="dxa"/>
              <w:left w:w="90" w:type="dxa"/>
              <w:bottom w:w="90" w:type="dxa"/>
              <w:right w:w="90" w:type="dxa"/>
            </w:tcMar>
            <w:shd w:fill="10253E"/>
          </w:tcPr>
          <w:p>
            <w:pPr>
              <w:spacing w:after="0" w:line="252" w:lineRule="auto"/>
            </w:pPr>
            <w:r>
              <w:rPr>
                <w:rFonts w:ascii="Arial" w:hAnsi="Arial"/>
                <w:b/>
                <w:color w:val="FFFFFF"/>
                <w:sz w:val="18"/>
              </w:rPr>
              <w:t>Check before answering No</w:t>
            </w:r>
          </w:p>
        </w:tc>
        <w:tc>
          <w:tcPr>
            <w:tcW w:type="dxa" w:w="6235"/>
            <w:vAlign w:val="center"/>
            <w:tcMar>
              <w:top w:w="90" w:type="dxa"/>
              <w:left w:w="90" w:type="dxa"/>
              <w:bottom w:w="90" w:type="dxa"/>
              <w:right w:w="90" w:type="dxa"/>
            </w:tcMar>
            <w:shd w:fill="10253E"/>
          </w:tcPr>
          <w:p>
            <w:pPr>
              <w:spacing w:after="0" w:line="252" w:lineRule="auto"/>
            </w:pPr>
            <w:r>
              <w:rPr>
                <w:rFonts w:ascii="Arial" w:hAnsi="Arial"/>
                <w:b/>
                <w:color w:val="FFFFFF"/>
                <w:sz w:val="18"/>
              </w:rPr>
              <w:t xml:space="preserve">Examples only — answer the exact questions in AIG-INV-02</w:t>
            </w:r>
          </w:p>
        </w:tc>
      </w:tr>
      <w:tr>
        <w:trPr>
          <w:cantSplit/>
        </w:trPr>
        <w:tc>
          <w:tcPr>
            <w:tcW w:type="dxa" w:w="2333"/>
            <w:vAlign w:val="center"/>
            <w:tcMar>
              <w:top w:w="90" w:type="dxa"/>
              <w:left w:w="90" w:type="dxa"/>
              <w:bottom w:w="90" w:type="dxa"/>
              <w:right w:w="90" w:type="dxa"/>
            </w:tcMar>
            <w:shd w:fill="F1F5F9"/>
          </w:tcPr>
          <w:p>
            <w:pPr>
              <w:spacing w:after="0" w:line="252" w:lineRule="auto"/>
            </w:pPr>
            <w:r>
              <w:rPr>
                <w:rFonts w:ascii="Arial" w:hAnsi="Arial"/>
                <w:sz w:val="18"/>
              </w:rPr>
              <w:t>Action</w:t>
            </w:r>
          </w:p>
        </w:tc>
        <w:tc>
          <w:tcPr>
            <w:tcW w:type="dxa" w:w="6235"/>
            <w:vAlign w:val="center"/>
            <w:tcMar>
              <w:top w:w="90" w:type="dxa"/>
              <w:left w:w="90" w:type="dxa"/>
              <w:bottom w:w="90" w:type="dxa"/>
              <w:right w:w="90" w:type="dxa"/>
            </w:tcMar>
            <w:shd w:fill="F1F5F9"/>
          </w:tcPr>
          <w:p>
            <w:pPr>
              <w:spacing w:after="0" w:line="252" w:lineRule="auto"/>
            </w:pPr>
            <w:r>
              <w:rPr>
                <w:rFonts w:ascii="Arial" w:hAnsi="Arial"/>
                <w:sz w:val="18"/>
              </w:rPr>
              <w:t>Can the AI send, edit, pay, invoke an API or instruct another system, even within a limit?</w:t>
            </w:r>
          </w:p>
        </w:tc>
      </w:tr>
      <w:tr>
        <w:trPr>
          <w:cantSplit/>
        </w:trPr>
        <w:tc>
          <w:tcPr>
            <w:tcW w:type="dxa" w:w="2333"/>
            <w:vAlign w:val="center"/>
            <w:tcMar>
              <w:top w:w="90" w:type="dxa"/>
              <w:left w:w="90" w:type="dxa"/>
              <w:bottom w:w="90" w:type="dxa"/>
              <w:right w:w="90" w:type="dxa"/>
            </w:tcMar>
            <w:shd w:fill="FFFFFF"/>
          </w:tcPr>
          <w:p>
            <w:pPr>
              <w:spacing w:after="0" w:line="252" w:lineRule="auto"/>
            </w:pPr>
            <w:r>
              <w:rPr>
                <w:rFonts w:ascii="Arial" w:hAnsi="Arial"/>
                <w:sz w:val="18"/>
              </w:rPr>
              <w:t>Data</w:t>
            </w:r>
          </w:p>
        </w:tc>
        <w:tc>
          <w:tcPr>
            <w:tcW w:type="dxa" w:w="6235"/>
            <w:vAlign w:val="center"/>
            <w:tcMar>
              <w:top w:w="90" w:type="dxa"/>
              <w:left w:w="90" w:type="dxa"/>
              <w:bottom w:w="90" w:type="dxa"/>
              <w:right w:w="90" w:type="dxa"/>
            </w:tcMar>
            <w:shd w:fill="FFFFFF"/>
          </w:tcPr>
          <w:p>
            <w:pPr>
              <w:spacing w:after="0" w:line="252" w:lineRule="auto"/>
            </w:pPr>
            <w:r>
              <w:rPr>
                <w:rFonts w:ascii="Arial" w:hAnsi="Arial"/>
                <w:sz w:val="18"/>
              </w:rPr>
              <w:t>Does it receive or infer special-category, criminal offence, confidential or restricted information, profile people, or reach personal data the user could not already open? Names in your own emails or meeting notes are not a Yes on their own.</w:t>
            </w:r>
          </w:p>
        </w:tc>
      </w:tr>
      <w:tr>
        <w:trPr>
          <w:cantSplit/>
        </w:trPr>
        <w:tc>
          <w:tcPr>
            <w:tcW w:type="dxa" w:w="2333"/>
            <w:vAlign w:val="center"/>
            <w:tcMar>
              <w:top w:w="90" w:type="dxa"/>
              <w:left w:w="90" w:type="dxa"/>
              <w:bottom w:w="90" w:type="dxa"/>
              <w:right w:w="90" w:type="dxa"/>
            </w:tcMar>
            <w:shd w:fill="F1F5F9"/>
          </w:tcPr>
          <w:p>
            <w:pPr>
              <w:spacing w:after="0" w:line="252" w:lineRule="auto"/>
            </w:pPr>
            <w:r>
              <w:rPr>
                <w:rFonts w:ascii="Arial" w:hAnsi="Arial"/>
                <w:sz w:val="18"/>
              </w:rPr>
              <w:t>Individual decisions</w:t>
            </w:r>
          </w:p>
        </w:tc>
        <w:tc>
          <w:tcPr>
            <w:tcW w:type="dxa" w:w="6235"/>
            <w:vAlign w:val="center"/>
            <w:tcMar>
              <w:top w:w="90" w:type="dxa"/>
              <w:left w:w="90" w:type="dxa"/>
              <w:bottom w:w="90" w:type="dxa"/>
              <w:right w:w="90" w:type="dxa"/>
            </w:tcMar>
            <w:shd w:fill="F1F5F9"/>
          </w:tcPr>
          <w:p>
            <w:pPr>
              <w:spacing w:after="0" w:line="252" w:lineRule="auto"/>
            </w:pPr>
            <w:r>
              <w:rPr>
                <w:rFonts w:ascii="Arial" w:hAnsi="Arial"/>
                <w:sz w:val="18"/>
              </w:rPr>
              <w:t>Can an output influence a decision about a resident, employee or other person?</w:t>
            </w:r>
          </w:p>
        </w:tc>
      </w:tr>
      <w:tr>
        <w:trPr>
          <w:cantSplit/>
        </w:trPr>
        <w:tc>
          <w:tcPr>
            <w:tcW w:type="dxa" w:w="2333"/>
            <w:vAlign w:val="center"/>
            <w:tcMar>
              <w:top w:w="90" w:type="dxa"/>
              <w:left w:w="90" w:type="dxa"/>
              <w:bottom w:w="90" w:type="dxa"/>
              <w:right w:w="90" w:type="dxa"/>
            </w:tcMar>
            <w:shd w:fill="FFFFFF"/>
          </w:tcPr>
          <w:p>
            <w:pPr>
              <w:spacing w:after="0" w:line="252" w:lineRule="auto"/>
            </w:pPr>
            <w:r>
              <w:rPr>
                <w:rFonts w:ascii="Arial" w:hAnsi="Arial"/>
                <w:sz w:val="18"/>
              </w:rPr>
              <w:t>Public service impact</w:t>
            </w:r>
          </w:p>
        </w:tc>
        <w:tc>
          <w:tcPr>
            <w:tcW w:type="dxa" w:w="6235"/>
            <w:vAlign w:val="center"/>
            <w:tcMar>
              <w:top w:w="90" w:type="dxa"/>
              <w:left w:w="90" w:type="dxa"/>
              <w:bottom w:w="90" w:type="dxa"/>
              <w:right w:w="90" w:type="dxa"/>
            </w:tcMar>
            <w:shd w:fill="FFFFFF"/>
          </w:tcPr>
          <w:p>
            <w:pPr>
              <w:spacing w:after="0" w:line="252" w:lineRule="auto"/>
            </w:pPr>
            <w:r>
              <w:rPr>
                <w:rFonts w:ascii="Arial" w:hAnsi="Arial"/>
                <w:sz w:val="18"/>
              </w:rPr>
              <w:t>Could service access, housing, care, safeguarding, enforcement or statutory work be affected?</w:t>
            </w:r>
          </w:p>
        </w:tc>
      </w:tr>
      <w:tr>
        <w:trPr>
          <w:cantSplit/>
        </w:trPr>
        <w:tc>
          <w:tcPr>
            <w:tcW w:type="dxa" w:w="2333"/>
            <w:vAlign w:val="center"/>
            <w:tcMar>
              <w:top w:w="90" w:type="dxa"/>
              <w:left w:w="90" w:type="dxa"/>
              <w:bottom w:w="90" w:type="dxa"/>
              <w:right w:w="90" w:type="dxa"/>
            </w:tcMar>
            <w:shd w:fill="F1F5F9"/>
          </w:tcPr>
          <w:p>
            <w:pPr>
              <w:spacing w:after="0" w:line="252" w:lineRule="auto"/>
            </w:pPr>
            <w:r>
              <w:rPr>
                <w:rFonts w:ascii="Arial" w:hAnsi="Arial"/>
                <w:sz w:val="18"/>
              </w:rPr>
              <w:t>External interaction</w:t>
            </w:r>
          </w:p>
        </w:tc>
        <w:tc>
          <w:tcPr>
            <w:tcW w:type="dxa" w:w="6235"/>
            <w:vAlign w:val="center"/>
            <w:tcMar>
              <w:top w:w="90" w:type="dxa"/>
              <w:left w:w="90" w:type="dxa"/>
              <w:bottom w:w="90" w:type="dxa"/>
              <w:right w:w="90" w:type="dxa"/>
            </w:tcMar>
            <w:shd w:fill="F1F5F9"/>
          </w:tcPr>
          <w:p>
            <w:pPr>
              <w:spacing w:after="0" w:line="252" w:lineRule="auto"/>
            </w:pPr>
            <w:r>
              <w:rPr>
                <w:rFonts w:ascii="Arial" w:hAnsi="Arial"/>
                <w:sz w:val="18"/>
              </w:rPr>
              <w:t>Can it converse directly with residents or the public, or publish content externally? Staff using it for their own work is not a Yes.</w:t>
            </w:r>
          </w:p>
        </w:tc>
      </w:tr>
      <w:tr>
        <w:trPr>
          <w:cantSplit/>
        </w:trPr>
        <w:tc>
          <w:tcPr>
            <w:tcW w:type="dxa" w:w="2333"/>
            <w:vAlign w:val="center"/>
            <w:tcMar>
              <w:top w:w="90" w:type="dxa"/>
              <w:left w:w="90" w:type="dxa"/>
              <w:bottom w:w="90" w:type="dxa"/>
              <w:right w:w="90" w:type="dxa"/>
            </w:tcMar>
            <w:shd w:fill="FFFFFF"/>
          </w:tcPr>
          <w:p>
            <w:pPr>
              <w:spacing w:after="0" w:line="252" w:lineRule="auto"/>
            </w:pPr>
            <w:r>
              <w:rPr>
                <w:rFonts w:ascii="Arial" w:hAnsi="Arial"/>
                <w:sz w:val="18"/>
              </w:rPr>
              <w:t>Live connections</w:t>
            </w:r>
          </w:p>
        </w:tc>
        <w:tc>
          <w:tcPr>
            <w:tcW w:type="dxa" w:w="6235"/>
            <w:vAlign w:val="center"/>
            <w:tcMar>
              <w:top w:w="90" w:type="dxa"/>
              <w:left w:w="90" w:type="dxa"/>
              <w:bottom w:w="90" w:type="dxa"/>
              <w:right w:w="90" w:type="dxa"/>
            </w:tcMar>
            <w:shd w:fill="FFFFFF"/>
          </w:tcPr>
          <w:p>
            <w:pPr>
              <w:spacing w:after="0" w:line="252" w:lineRule="auto"/>
            </w:pPr>
            <w:r>
              <w:rPr>
                <w:rFonts w:ascii="Arial" w:hAnsi="Arial"/>
                <w:sz w:val="18"/>
              </w:rPr>
              <w:t>Can it read or write operational databases, tools or systems; does it have credentials?</w:t>
            </w:r>
          </w:p>
        </w:tc>
      </w:tr>
      <w:tr>
        <w:trPr>
          <w:cantSplit/>
        </w:trPr>
        <w:tc>
          <w:tcPr>
            <w:tcW w:type="dxa" w:w="2333"/>
            <w:vAlign w:val="center"/>
            <w:tcMar>
              <w:top w:w="90" w:type="dxa"/>
              <w:left w:w="90" w:type="dxa"/>
              <w:bottom w:w="90" w:type="dxa"/>
              <w:right w:w="90" w:type="dxa"/>
            </w:tcMar>
            <w:shd w:fill="F1F5F9"/>
          </w:tcPr>
          <w:p>
            <w:pPr>
              <w:spacing w:after="0" w:line="252" w:lineRule="auto"/>
            </w:pPr>
            <w:r>
              <w:rPr>
                <w:rFonts w:ascii="Arial" w:hAnsi="Arial"/>
                <w:sz w:val="18"/>
              </w:rPr>
              <w:t>Change and agency</w:t>
            </w:r>
          </w:p>
        </w:tc>
        <w:tc>
          <w:tcPr>
            <w:tcW w:type="dxa" w:w="6235"/>
            <w:vAlign w:val="center"/>
            <w:tcMar>
              <w:top w:w="90" w:type="dxa"/>
              <w:left w:w="90" w:type="dxa"/>
              <w:bottom w:w="90" w:type="dxa"/>
              <w:right w:w="90" w:type="dxa"/>
            </w:tcMar>
            <w:shd w:fill="F1F5F9"/>
          </w:tcPr>
          <w:p>
            <w:pPr>
              <w:spacing w:after="0" w:line="252" w:lineRule="auto"/>
            </w:pPr>
            <w:r>
              <w:rPr>
                <w:rFonts w:ascii="Arial" w:hAnsi="Arial"/>
                <w:sz w:val="18"/>
              </w:rPr>
              <w:t xml:space="preserve">Is it novel, materially changed, fine-tuned, self-learning, agentic, multi-agent, or able to select models or tools?</w:t>
            </w:r>
          </w:p>
        </w:tc>
      </w:tr>
      <w:tr>
        <w:trPr>
          <w:cantSplit/>
        </w:trPr>
        <w:tc>
          <w:tcPr>
            <w:tcW w:type="dxa" w:w="2333"/>
            <w:vAlign w:val="center"/>
            <w:tcMar>
              <w:top w:w="90" w:type="dxa"/>
              <w:left w:w="90" w:type="dxa"/>
              <w:bottom w:w="90" w:type="dxa"/>
              <w:right w:w="90" w:type="dxa"/>
            </w:tcMar>
            <w:shd w:fill="FFFFFF"/>
          </w:tcPr>
          <w:p>
            <w:pPr>
              <w:spacing w:after="0" w:line="252" w:lineRule="auto"/>
            </w:pPr>
            <w:r>
              <w:rPr>
                <w:rFonts w:ascii="Arial" w:hAnsi="Arial"/>
                <w:sz w:val="18"/>
              </w:rPr>
              <w:t>Plausible harm</w:t>
            </w:r>
          </w:p>
        </w:tc>
        <w:tc>
          <w:tcPr>
            <w:tcW w:type="dxa" w:w="6235"/>
            <w:vAlign w:val="center"/>
            <w:tcMar>
              <w:top w:w="90" w:type="dxa"/>
              <w:left w:w="90" w:type="dxa"/>
              <w:bottom w:w="90" w:type="dxa"/>
              <w:right w:w="90" w:type="dxa"/>
            </w:tcMar>
            <w:shd w:fill="FFFFFF"/>
          </w:tcPr>
          <w:p>
            <w:pPr>
              <w:spacing w:after="0" w:line="252" w:lineRule="auto"/>
            </w:pPr>
            <w:r>
              <w:rPr>
                <w:rFonts w:ascii="Arial" w:hAnsi="Arial"/>
                <w:sz w:val="18"/>
              </w:rPr>
              <w:t>Could a wrong answer cause material privacy, equality, security, safety, financial or service harm?</w:t>
            </w:r>
          </w:p>
        </w:tc>
      </w:tr>
      <w:tr>
        <w:trPr>
          <w:cantSplit/>
        </w:trPr>
        <w:tc>
          <w:tcPr>
            <w:tcW w:type="dxa" w:w="2333"/>
            <w:vAlign w:val="center"/>
            <w:tcMar>
              <w:top w:w="90" w:type="dxa"/>
              <w:left w:w="90" w:type="dxa"/>
              <w:bottom w:w="90" w:type="dxa"/>
              <w:right w:w="90" w:type="dxa"/>
            </w:tcMar>
            <w:shd w:fill="F1F5F9"/>
          </w:tcPr>
          <w:p>
            <w:pPr>
              <w:spacing w:after="0" w:line="252" w:lineRule="auto"/>
            </w:pPr>
            <w:r>
              <w:rPr>
                <w:rFonts w:ascii="Arial" w:hAnsi="Arial"/>
                <w:sz w:val="18"/>
              </w:rPr>
              <w:t>Supplier dependence</w:t>
            </w:r>
          </w:p>
        </w:tc>
        <w:tc>
          <w:tcPr>
            <w:tcW w:type="dxa" w:w="6235"/>
            <w:vAlign w:val="center"/>
            <w:tcMar>
              <w:top w:w="90" w:type="dxa"/>
              <w:left w:w="90" w:type="dxa"/>
              <w:bottom w:w="90" w:type="dxa"/>
              <w:right w:w="90" w:type="dxa"/>
            </w:tcMar>
            <w:shd w:fill="F1F5F9"/>
          </w:tcPr>
          <w:p>
            <w:pPr>
              <w:spacing w:after="0" w:line="252" w:lineRule="auto"/>
            </w:pPr>
            <w:r>
              <w:rPr>
                <w:rFonts w:ascii="Arial" w:hAnsi="Arial"/>
                <w:sz w:val="18"/>
              </w:rPr>
              <w:t>Is there material procurement exposure, reliance or lock-in?</w:t>
            </w:r>
          </w:p>
        </w:tc>
      </w:tr>
      <w:tr>
        <w:trPr>
          <w:cantSplit/>
        </w:trPr>
        <w:tc>
          <w:tcPr>
            <w:tcW w:type="dxa" w:w="2333"/>
            <w:vAlign w:val="center"/>
            <w:tcMar>
              <w:top w:w="90" w:type="dxa"/>
              <w:left w:w="90" w:type="dxa"/>
              <w:bottom w:w="90" w:type="dxa"/>
              <w:right w:w="90" w:type="dxa"/>
            </w:tcMar>
            <w:shd w:fill="FFFFFF"/>
          </w:tcPr>
          <w:p>
            <w:pPr>
              <w:spacing w:after="0" w:line="252" w:lineRule="auto"/>
            </w:pPr>
            <w:r>
              <w:rPr>
                <w:rFonts w:ascii="Arial" w:hAnsi="Arial"/>
                <w:sz w:val="18"/>
              </w:rPr>
              <w:t>Unknowns</w:t>
            </w:r>
          </w:p>
        </w:tc>
        <w:tc>
          <w:tcPr>
            <w:tcW w:type="dxa" w:w="6235"/>
            <w:vAlign w:val="center"/>
            <w:tcMar>
              <w:top w:w="90" w:type="dxa"/>
              <w:left w:w="90" w:type="dxa"/>
              <w:bottom w:w="90" w:type="dxa"/>
              <w:right w:w="90" w:type="dxa"/>
            </w:tcMar>
            <w:shd w:fill="FFFFFF"/>
          </w:tcPr>
          <w:p>
            <w:pPr>
              <w:spacing w:after="0" w:line="252" w:lineRule="auto"/>
            </w:pPr>
            <w:r>
              <w:rPr>
                <w:rFonts w:ascii="Arial" w:hAnsi="Arial"/>
                <w:sz w:val="18"/>
              </w:rPr>
              <w:t>Are the data, capability, access, intended use or environment still uncertain?</w:t>
            </w:r>
          </w:p>
        </w:tc>
      </w:tr>
    </w:tbl>
    <w:p>
      <w:pPr>
        <w:spacing w:after="0"/>
      </w:pPr>
    </w:p>
    <w:p>
      <w:r>
        <w:rPr>
          <w:b/>
        </w:rPr>
        <w:t xml:space="preserve">If all answers are No  </w:t>
      </w:r>
      <w:r>
        <w:t xml:space="preserve">Submit AIG-INV-02 with your Intake for validation. The Governance Lead validates the route and records the AIR-ID, owner, purpose and review date in the light Register entry. The proportionate delegated decision for the UC-ID is then recorded (AIG-DEC-03 or approved minutes) and a Gate Event logged (AIG-DEC-04) before use. The screen by itself does not allow use or deployment.</w:t>
      </w:r>
    </w:p>
    <w:p>
      <w:r>
        <w:rPr>
          <w:b/>
        </w:rPr>
        <w:t xml:space="preserve">If any answer changes  </w:t>
      </w:r>
      <w:r>
        <w:t>Tell governance. A new data source, connection, audience, supplier, model, decision use or action may end Light-touch eligibility and require full re-triage before the changed use continues.</w:t>
      </w:r>
    </w:p>
    <w:p>
      <w:r>
        <w:br w:type="page"/>
      </w:r>
    </w:p>
    <w:p>
      <w:pPr>
        <w:pStyle w:val="Heading1"/>
      </w:pPr>
      <w:r>
        <w:t>4  Complete only the assessments the case needs</w:t>
      </w:r>
    </w:p>
    <w:p>
      <w:r>
        <w:t>The Governance Lead issues a checklist after the route is assessed. The Service Owner supplies the service facts, completes the assessments assigned to them and obtains specialist input. “Proportionate” means evidenced decisions about applicability; it does not mean omitting a triggered legal or assurance check.</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1829"/>
            <w:vAlign w:val="center"/>
            <w:tcMar>
              <w:top w:w="90" w:type="dxa"/>
              <w:left w:w="90" w:type="dxa"/>
              <w:bottom w:w="90" w:type="dxa"/>
              <w:right w:w="90" w:type="dxa"/>
            </w:tcMar>
            <w:shd w:fill="10253E"/>
          </w:tcPr>
          <w:p>
            <w:pPr>
              <w:spacing w:after="0" w:line="252" w:lineRule="auto"/>
            </w:pPr>
            <w:r>
              <w:rPr>
                <w:rFonts w:ascii="Arial" w:hAnsi="Arial"/>
                <w:b/>
                <w:color w:val="FFFFFF"/>
                <w:sz w:val="18"/>
              </w:rPr>
              <w:t>Trigger / route</w:t>
            </w:r>
          </w:p>
        </w:tc>
        <w:tc>
          <w:tcPr>
            <w:tcW w:type="dxa" w:w="3989"/>
            <w:vAlign w:val="center"/>
            <w:tcMar>
              <w:top w:w="90" w:type="dxa"/>
              <w:left w:w="90" w:type="dxa"/>
              <w:bottom w:w="90" w:type="dxa"/>
              <w:right w:w="90" w:type="dxa"/>
            </w:tcMar>
            <w:shd w:fill="10253E"/>
          </w:tcPr>
          <w:p>
            <w:pPr>
              <w:spacing w:after="0" w:line="252" w:lineRule="auto"/>
            </w:pPr>
            <w:r>
              <w:rPr>
                <w:rFonts w:ascii="Arial" w:hAnsi="Arial"/>
                <w:b/>
                <w:color w:val="FFFFFF"/>
                <w:sz w:val="18"/>
              </w:rPr>
              <w:t>Service Owner contribution</w:t>
            </w:r>
          </w:p>
        </w:tc>
        <w:tc>
          <w:tcPr>
            <w:tcW w:type="dxa" w:w="2750"/>
            <w:vAlign w:val="center"/>
            <w:tcMar>
              <w:top w:w="90" w:type="dxa"/>
              <w:left w:w="90" w:type="dxa"/>
              <w:bottom w:w="90" w:type="dxa"/>
              <w:right w:w="90" w:type="dxa"/>
            </w:tcMar>
            <w:shd w:fill="10253E"/>
          </w:tcPr>
          <w:p>
            <w:pPr>
              <w:spacing w:after="0" w:line="252" w:lineRule="auto"/>
            </w:pPr>
            <w:r>
              <w:rPr>
                <w:rFonts w:ascii="Arial" w:hAnsi="Arial"/>
                <w:b/>
                <w:color w:val="FFFFFF"/>
                <w:sz w:val="18"/>
              </w:rPr>
              <w:t>Specialist / record</w:t>
            </w:r>
          </w:p>
        </w:tc>
      </w:tr>
      <w:tr>
        <w:trPr>
          <w:cantSplit/>
        </w:trPr>
        <w:tc>
          <w:tcPr>
            <w:tcW w:type="dxa" w:w="1829"/>
            <w:vAlign w:val="center"/>
            <w:tcMar>
              <w:top w:w="90" w:type="dxa"/>
              <w:left w:w="90" w:type="dxa"/>
              <w:bottom w:w="90" w:type="dxa"/>
              <w:right w:w="90" w:type="dxa"/>
            </w:tcMar>
            <w:shd w:fill="F1F5F9"/>
          </w:tcPr>
          <w:p>
            <w:pPr>
              <w:spacing w:after="0" w:line="252" w:lineRule="auto"/>
            </w:pPr>
            <w:r>
              <w:rPr>
                <w:rFonts w:ascii="Arial" w:hAnsi="Arial"/>
                <w:sz w:val="18"/>
              </w:rPr>
              <w:t>All full-triage cases</w:t>
            </w:r>
          </w:p>
        </w:tc>
        <w:tc>
          <w:tcPr>
            <w:tcW w:type="dxa" w:w="3989"/>
            <w:vAlign w:val="center"/>
            <w:tcMar>
              <w:top w:w="90" w:type="dxa"/>
              <w:left w:w="90" w:type="dxa"/>
              <w:bottom w:w="90" w:type="dxa"/>
              <w:right w:w="90" w:type="dxa"/>
            </w:tcMar>
            <w:shd w:fill="F1F5F9"/>
          </w:tcPr>
          <w:p>
            <w:pPr>
              <w:spacing w:after="0" w:line="252" w:lineRule="auto"/>
            </w:pPr>
            <w:r>
              <w:rPr>
                <w:rFonts w:ascii="Arial" w:hAnsi="Arial"/>
                <w:sz w:val="18"/>
              </w:rPr>
              <w:t>Explain impact, likelihood, failure modes, controls and who can intervene. Check that AGPI and risk assumptions reflect actual service use.</w:t>
            </w:r>
          </w:p>
        </w:tc>
        <w:tc>
          <w:tcPr>
            <w:tcW w:type="dxa" w:w="2750"/>
            <w:vAlign w:val="center"/>
            <w:tcMar>
              <w:top w:w="90" w:type="dxa"/>
              <w:left w:w="90" w:type="dxa"/>
              <w:bottom w:w="90" w:type="dxa"/>
              <w:right w:w="90" w:type="dxa"/>
            </w:tcMar>
            <w:shd w:fill="F1F5F9"/>
          </w:tcPr>
          <w:p>
            <w:pPr>
              <w:spacing w:after="0" w:line="252" w:lineRule="auto"/>
            </w:pPr>
            <w:r>
              <w:rPr>
                <w:rFonts w:ascii="Arial" w:hAnsi="Arial"/>
                <w:sz w:val="18"/>
              </w:rPr>
              <w:t>Governance maintains (AIG-ASS-01), (AIG-ASS-02) and Register (AIG-INV-04).</w:t>
            </w:r>
          </w:p>
        </w:tc>
      </w:tr>
      <w:tr>
        <w:trPr>
          <w:cantSplit/>
        </w:trPr>
        <w:tc>
          <w:tcPr>
            <w:tcW w:type="dxa" w:w="1829"/>
            <w:vAlign w:val="center"/>
            <w:tcMar>
              <w:top w:w="90" w:type="dxa"/>
              <w:left w:w="90" w:type="dxa"/>
              <w:bottom w:w="90" w:type="dxa"/>
              <w:right w:w="90" w:type="dxa"/>
            </w:tcMar>
            <w:shd w:fill="FFFFFF"/>
          </w:tcPr>
          <w:p>
            <w:pPr>
              <w:spacing w:after="0" w:line="252" w:lineRule="auto"/>
            </w:pPr>
            <w:r>
              <w:rPr>
                <w:rFonts w:ascii="Arial" w:hAnsi="Arial"/>
                <w:sz w:val="18"/>
              </w:rPr>
              <w:t>Medium, High or Critical</w:t>
            </w:r>
          </w:p>
        </w:tc>
        <w:tc>
          <w:tcPr>
            <w:tcW w:type="dxa" w:w="3989"/>
            <w:vAlign w:val="center"/>
            <w:tcMar>
              <w:top w:w="90" w:type="dxa"/>
              <w:left w:w="90" w:type="dxa"/>
              <w:bottom w:w="90" w:type="dxa"/>
              <w:right w:w="90" w:type="dxa"/>
            </w:tcMar>
            <w:shd w:fill="FFFFFF"/>
          </w:tcPr>
          <w:p>
            <w:pPr>
              <w:spacing w:after="0" w:line="252" w:lineRule="auto"/>
            </w:pPr>
            <w:r>
              <w:rPr>
                <w:rFonts w:ascii="Arial" w:hAnsi="Arial"/>
                <w:sz w:val="18"/>
              </w:rPr>
              <w:t>Complete Responsible AI Assessment (AIG-ASS-04): benefit, fairness, explainability, oversight, privacy, data quality and supplier controls.</w:t>
            </w:r>
          </w:p>
        </w:tc>
        <w:tc>
          <w:tcPr>
            <w:tcW w:type="dxa" w:w="2750"/>
            <w:vAlign w:val="center"/>
            <w:tcMar>
              <w:top w:w="90" w:type="dxa"/>
              <w:left w:w="90" w:type="dxa"/>
              <w:bottom w:w="90" w:type="dxa"/>
              <w:right w:w="90" w:type="dxa"/>
            </w:tcMar>
            <w:shd w:fill="FFFFFF"/>
          </w:tcPr>
          <w:p>
            <w:pPr>
              <w:spacing w:after="0" w:line="252" w:lineRule="auto"/>
            </w:pPr>
            <w:r>
              <w:rPr>
                <w:rFonts w:ascii="Arial" w:hAnsi="Arial"/>
                <w:sz w:val="18"/>
              </w:rPr>
              <w:t>Governance Lead quality assures (AIG-ASS-04).</w:t>
            </w:r>
          </w:p>
        </w:tc>
      </w:tr>
      <w:tr>
        <w:trPr>
          <w:cantSplit/>
        </w:trPr>
        <w:tc>
          <w:tcPr>
            <w:tcW w:type="dxa" w:w="1829"/>
            <w:vAlign w:val="center"/>
            <w:tcMar>
              <w:top w:w="90" w:type="dxa"/>
              <w:left w:w="90" w:type="dxa"/>
              <w:bottom w:w="90" w:type="dxa"/>
              <w:right w:w="90" w:type="dxa"/>
            </w:tcMar>
            <w:shd w:fill="F1F5F9"/>
          </w:tcPr>
          <w:p>
            <w:pPr>
              <w:spacing w:after="0" w:line="252" w:lineRule="auto"/>
            </w:pPr>
            <w:r>
              <w:rPr>
                <w:rFonts w:ascii="Arial" w:hAnsi="Arial"/>
                <w:sz w:val="18"/>
              </w:rPr>
              <w:t>Personal data / privacy impact</w:t>
            </w:r>
          </w:p>
        </w:tc>
        <w:tc>
          <w:tcPr>
            <w:tcW w:type="dxa" w:w="3989"/>
            <w:vAlign w:val="center"/>
            <w:tcMar>
              <w:top w:w="90" w:type="dxa"/>
              <w:left w:w="90" w:type="dxa"/>
              <w:bottom w:w="90" w:type="dxa"/>
              <w:right w:w="90" w:type="dxa"/>
            </w:tcMar>
            <w:shd w:fill="F1F5F9"/>
          </w:tcPr>
          <w:p>
            <w:pPr>
              <w:spacing w:after="0" w:line="252" w:lineRule="auto"/>
            </w:pPr>
            <w:r>
              <w:rPr>
                <w:rFonts w:ascii="Arial" w:hAnsi="Arial"/>
                <w:sz w:val="18"/>
              </w:rPr>
              <w:t>Supply purpose, data flows, affected people, retention, risks and safeguards; complete a DPIA (AIG-ASS-05) when required by the checklist.</w:t>
            </w:r>
          </w:p>
        </w:tc>
        <w:tc>
          <w:tcPr>
            <w:tcW w:type="dxa" w:w="2750"/>
            <w:vAlign w:val="center"/>
            <w:tcMar>
              <w:top w:w="90" w:type="dxa"/>
              <w:left w:w="90" w:type="dxa"/>
              <w:bottom w:w="90" w:type="dxa"/>
              <w:right w:w="90" w:type="dxa"/>
            </w:tcMar>
            <w:shd w:fill="F1F5F9"/>
          </w:tcPr>
          <w:p>
            <w:pPr>
              <w:spacing w:after="0" w:line="252" w:lineRule="auto"/>
            </w:pPr>
            <w:r>
              <w:rPr>
                <w:rFonts w:ascii="Arial" w:hAnsi="Arial"/>
                <w:sz w:val="18"/>
              </w:rPr>
              <w:t>DPO advises on DPIA screening and the assessment; governance links the outcome.</w:t>
            </w:r>
          </w:p>
        </w:tc>
      </w:tr>
      <w:tr>
        <w:trPr>
          <w:cantSplit/>
        </w:trPr>
        <w:tc>
          <w:tcPr>
            <w:tcW w:type="dxa" w:w="1829"/>
            <w:vAlign w:val="center"/>
            <w:tcMar>
              <w:top w:w="90" w:type="dxa"/>
              <w:left w:w="90" w:type="dxa"/>
              <w:bottom w:w="90" w:type="dxa"/>
              <w:right w:w="90" w:type="dxa"/>
            </w:tcMar>
            <w:shd w:fill="FFFFFF"/>
          </w:tcPr>
          <w:p>
            <w:pPr>
              <w:spacing w:after="0" w:line="252" w:lineRule="auto"/>
            </w:pPr>
            <w:r>
              <w:rPr>
                <w:rFonts w:ascii="Arial" w:hAnsi="Arial"/>
                <w:sz w:val="18"/>
              </w:rPr>
              <w:t>Equality effects</w:t>
            </w:r>
          </w:p>
        </w:tc>
        <w:tc>
          <w:tcPr>
            <w:tcW w:type="dxa" w:w="3989"/>
            <w:vAlign w:val="center"/>
            <w:tcMar>
              <w:top w:w="90" w:type="dxa"/>
              <w:left w:w="90" w:type="dxa"/>
              <w:bottom w:w="90" w:type="dxa"/>
              <w:right w:w="90" w:type="dxa"/>
            </w:tcMar>
            <w:shd w:fill="FFFFFF"/>
          </w:tcPr>
          <w:p>
            <w:pPr>
              <w:spacing w:after="0" w:line="252" w:lineRule="auto"/>
            </w:pPr>
            <w:r>
              <w:rPr>
                <w:rFonts w:ascii="Arial" w:hAnsi="Arial"/>
                <w:sz w:val="18"/>
              </w:rPr>
              <w:t>Describe who could be disadvantaged, evidence across groups, mitigations and monitoring; complete EIA (AIG-ASS-06) where assigned.</w:t>
            </w:r>
          </w:p>
        </w:tc>
        <w:tc>
          <w:tcPr>
            <w:tcW w:type="dxa" w:w="2750"/>
            <w:vAlign w:val="center"/>
            <w:tcMar>
              <w:top w:w="90" w:type="dxa"/>
              <w:left w:w="90" w:type="dxa"/>
              <w:bottom w:w="90" w:type="dxa"/>
              <w:right w:w="90" w:type="dxa"/>
            </w:tcMar>
            <w:shd w:fill="FFFFFF"/>
          </w:tcPr>
          <w:p>
            <w:pPr>
              <w:spacing w:after="0" w:line="252" w:lineRule="auto"/>
            </w:pPr>
            <w:r>
              <w:rPr>
                <w:rFonts w:ascii="Arial" w:hAnsi="Arial"/>
                <w:sz w:val="18"/>
              </w:rPr>
              <w:t>Equalities lead reviews; High / Critical cases require EIA under the playbook.</w:t>
            </w:r>
          </w:p>
        </w:tc>
      </w:tr>
      <w:tr>
        <w:trPr>
          <w:cantSplit/>
        </w:trPr>
        <w:tc>
          <w:tcPr>
            <w:tcW w:type="dxa" w:w="1829"/>
            <w:vAlign w:val="center"/>
            <w:tcMar>
              <w:top w:w="90" w:type="dxa"/>
              <w:left w:w="90" w:type="dxa"/>
              <w:bottom w:w="90" w:type="dxa"/>
              <w:right w:w="90" w:type="dxa"/>
            </w:tcMar>
            <w:shd w:fill="F1F5F9"/>
          </w:tcPr>
          <w:p>
            <w:pPr>
              <w:spacing w:after="0" w:line="252" w:lineRule="auto"/>
            </w:pPr>
            <w:r>
              <w:rPr>
                <w:rFonts w:ascii="Arial" w:hAnsi="Arial"/>
                <w:sz w:val="18"/>
              </w:rPr>
              <w:t>Rights, statutory decisions or legal uncertainty</w:t>
            </w:r>
          </w:p>
        </w:tc>
        <w:tc>
          <w:tcPr>
            <w:tcW w:type="dxa" w:w="3989"/>
            <w:vAlign w:val="center"/>
            <w:tcMar>
              <w:top w:w="90" w:type="dxa"/>
              <w:left w:w="90" w:type="dxa"/>
              <w:bottom w:w="90" w:type="dxa"/>
              <w:right w:w="90" w:type="dxa"/>
            </w:tcMar>
            <w:shd w:fill="F1F5F9"/>
          </w:tcPr>
          <w:p>
            <w:pPr>
              <w:spacing w:after="0" w:line="252" w:lineRule="auto"/>
            </w:pPr>
            <w:r>
              <w:rPr>
                <w:rFonts w:ascii="Arial" w:hAnsi="Arial"/>
                <w:sz w:val="18"/>
              </w:rPr>
              <w:t>Describe actual decisions, human review, appeals and resident consequences.</w:t>
            </w:r>
          </w:p>
        </w:tc>
        <w:tc>
          <w:tcPr>
            <w:tcW w:type="dxa" w:w="2750"/>
            <w:vAlign w:val="center"/>
            <w:tcMar>
              <w:top w:w="90" w:type="dxa"/>
              <w:left w:w="90" w:type="dxa"/>
              <w:bottom w:w="90" w:type="dxa"/>
              <w:right w:w="90" w:type="dxa"/>
            </w:tcMar>
            <w:shd w:fill="F1F5F9"/>
          </w:tcPr>
          <w:p>
            <w:pPr>
              <w:spacing w:after="0" w:line="252" w:lineRule="auto"/>
            </w:pPr>
            <w:r>
              <w:rPr>
                <w:rFonts w:ascii="Arial" w:hAnsi="Arial"/>
                <w:sz w:val="18"/>
              </w:rPr>
              <w:t>Legal Services leads Human Rights Assessment (AIG-ASS-07) when triggered and advises on rights.</w:t>
            </w:r>
          </w:p>
        </w:tc>
      </w:tr>
      <w:tr>
        <w:trPr>
          <w:cantSplit/>
        </w:trPr>
        <w:tc>
          <w:tcPr>
            <w:tcW w:type="dxa" w:w="1829"/>
            <w:vAlign w:val="center"/>
            <w:tcMar>
              <w:top w:w="90" w:type="dxa"/>
              <w:left w:w="90" w:type="dxa"/>
              <w:bottom w:w="90" w:type="dxa"/>
              <w:right w:w="90" w:type="dxa"/>
            </w:tcMar>
            <w:shd w:fill="FFFFFF"/>
          </w:tcPr>
          <w:p>
            <w:pPr>
              <w:spacing w:after="0" w:line="252" w:lineRule="auto"/>
            </w:pPr>
            <w:r>
              <w:rPr>
                <w:rFonts w:ascii="Arial" w:hAnsi="Arial"/>
                <w:sz w:val="18"/>
              </w:rPr>
              <w:t>Supplier, security or procurement exposure</w:t>
            </w:r>
          </w:p>
        </w:tc>
        <w:tc>
          <w:tcPr>
            <w:tcW w:type="dxa" w:w="3989"/>
            <w:vAlign w:val="center"/>
            <w:tcMar>
              <w:top w:w="90" w:type="dxa"/>
              <w:left w:w="90" w:type="dxa"/>
              <w:bottom w:w="90" w:type="dxa"/>
              <w:right w:w="90" w:type="dxa"/>
            </w:tcMar>
            <w:shd w:fill="FFFFFF"/>
          </w:tcPr>
          <w:p>
            <w:pPr>
              <w:spacing w:after="0" w:line="252" w:lineRule="auto"/>
            </w:pPr>
            <w:r>
              <w:rPr>
                <w:rFonts w:ascii="Arial" w:hAnsi="Arial"/>
                <w:sz w:val="18"/>
              </w:rPr>
              <w:t>Obtain supplier answers, system architecture and contract facts; own actions to close gaps.</w:t>
            </w:r>
          </w:p>
        </w:tc>
        <w:tc>
          <w:tcPr>
            <w:tcW w:type="dxa" w:w="2750"/>
            <w:vAlign w:val="center"/>
            <w:tcMar>
              <w:top w:w="90" w:type="dxa"/>
              <w:left w:w="90" w:type="dxa"/>
              <w:bottom w:w="90" w:type="dxa"/>
              <w:right w:w="90" w:type="dxa"/>
            </w:tcMar>
            <w:shd w:fill="FFFFFF"/>
          </w:tcPr>
          <w:p>
            <w:pPr>
              <w:spacing w:after="0" w:line="252" w:lineRule="auto"/>
            </w:pPr>
            <w:r>
              <w:rPr>
                <w:rFonts w:ascii="Arial" w:hAnsi="Arial"/>
                <w:sz w:val="18"/>
              </w:rPr>
              <w:t>Procurement (AIG-ASS-08) and Security (AIG-ASS-11) assess their specialist controls.</w:t>
            </w:r>
          </w:p>
        </w:tc>
      </w:tr>
      <w:tr>
        <w:trPr>
          <w:cantSplit/>
        </w:trPr>
        <w:tc>
          <w:tcPr>
            <w:tcW w:type="dxa" w:w="1829"/>
            <w:vAlign w:val="center"/>
            <w:tcMar>
              <w:top w:w="90" w:type="dxa"/>
              <w:left w:w="90" w:type="dxa"/>
              <w:bottom w:w="90" w:type="dxa"/>
              <w:right w:w="90" w:type="dxa"/>
            </w:tcMar>
            <w:shd w:fill="F1F5F9"/>
          </w:tcPr>
          <w:p>
            <w:pPr>
              <w:spacing w:after="0" w:line="252" w:lineRule="auto"/>
            </w:pPr>
            <w:r>
              <w:rPr>
                <w:rFonts w:ascii="Arial" w:hAnsi="Arial"/>
                <w:sz w:val="18"/>
              </w:rPr>
              <w:t>AI can take actions</w:t>
            </w:r>
          </w:p>
        </w:tc>
        <w:tc>
          <w:tcPr>
            <w:tcW w:type="dxa" w:w="3989"/>
            <w:vAlign w:val="center"/>
            <w:tcMar>
              <w:top w:w="90" w:type="dxa"/>
              <w:left w:w="90" w:type="dxa"/>
              <w:bottom w:w="90" w:type="dxa"/>
              <w:right w:w="90" w:type="dxa"/>
            </w:tcMar>
            <w:shd w:fill="F1F5F9"/>
          </w:tcPr>
          <w:p>
            <w:pPr>
              <w:spacing w:after="0" w:line="252" w:lineRule="auto"/>
            </w:pPr>
            <w:r>
              <w:rPr>
                <w:rFonts w:ascii="Arial" w:hAnsi="Arial"/>
                <w:sz w:val="18"/>
              </w:rPr>
              <w:t>Describe approved purpose, tools, credentials, delegation, action limits, intervention and rollback. Provide demonstrations and test results.</w:t>
            </w:r>
          </w:p>
        </w:tc>
        <w:tc>
          <w:tcPr>
            <w:tcW w:type="dxa" w:w="2750"/>
            <w:vAlign w:val="center"/>
            <w:tcMar>
              <w:top w:w="90" w:type="dxa"/>
              <w:left w:w="90" w:type="dxa"/>
              <w:bottom w:w="90" w:type="dxa"/>
              <w:right w:w="90" w:type="dxa"/>
            </w:tcMar>
            <w:shd w:fill="F1F5F9"/>
          </w:tcPr>
          <w:p>
            <w:pPr>
              <w:spacing w:after="0" w:line="252" w:lineRule="auto"/>
            </w:pPr>
            <w:r>
              <w:rPr>
                <w:rFonts w:ascii="Arial" w:hAnsi="Arial"/>
                <w:sz w:val="18"/>
              </w:rPr>
              <w:t>Governance invokes (AIG-AGT-03), maintains (AIG-AGT-04); technology/security prove runtime enforcement.</w:t>
            </w:r>
          </w:p>
        </w:tc>
      </w:tr>
    </w:tbl>
    <w:p>
      <w:pPr>
        <w:spacing w:after="0"/>
      </w:pPr>
    </w:p>
    <w:p>
      <w:r>
        <w:t>A mandatory escalation trigger in playbook section 4.4.6, such as special-category data, vulnerable residents, statutory decisions, material supplier/model change, novelty or autonomous action without review of each action, raises the minimum pathway. The Governance Lead identifies the floor; you must supply the facts and work to close its conditions. The relevant delegated forum makes the decision after assurance.</w:t>
      </w:r>
    </w:p>
    <w:p>
      <w:pPr>
        <w:pStyle w:val="Heading1"/>
      </w:pPr>
      <w:r>
        <w:t>Examples</w:t>
      </w:r>
    </w:p>
    <w:p>
      <w:r>
        <w:rPr>
          <w:b/>
        </w:rPr>
        <w:t xml:space="preserve">Routine internal drafting  </w:t>
      </w:r>
      <w:r>
        <w:t>If an isolated tool has all ten No answers, Fast Track may be validated. Ordinary personal data the user already handles, such as names in their own meeting notes, does not rule it out; special-category data, data the user could not already open, or external publication takes it to full triage.</w:t>
      </w:r>
    </w:p>
    <w:p>
      <w:r>
        <w:rPr>
          <w:b/>
        </w:rPr>
        <w:t xml:space="preserve">Medium-risk analytics  </w:t>
      </w:r>
      <w:r>
        <w:t>An internal forecasting tool with a live read-only connection may answer Yes on connections, so it receives full triage even if it cannot act. If Medium is confirmed, the Service Owner completes (AIG-ASS-04) and any specialist checks triggered by its actual data and use.</w:t>
      </w:r>
    </w:p>
    <w:p>
      <w:r>
        <w:rPr>
          <w:b/>
        </w:rPr>
        <w:t xml:space="preserve">Agent that changes a case record  </w:t>
      </w:r>
      <w:r>
        <w:t>The action answer is Yes. It requires full intake plus Agentic Triage, authority boundaries and control evidence. Action capability alone does not mean every agent is Critical; action without human review of each individual action is a Critical minimum under the playbook trigger.</w:t>
      </w:r>
    </w:p>
    <w:p>
      <w:r>
        <w:br w:type="page"/>
      </w:r>
    </w:p>
    <w:p>
      <w:pPr>
        <w:pStyle w:val="Heading1"/>
      </w:pPr>
      <w:r>
        <w:t>5  From assessment to a decision</w:t>
      </w:r>
    </w:p>
    <w:p>
      <w:r>
        <w:rPr>
          <w:b/>
        </w:rPr>
        <w:t xml:space="preserve">1.  </w:t>
      </w:r>
      <w:r>
        <w:t>Check the Governance Lead’s route and checklist. Agree who will provide each piece of evidence and a due date. Ask for a written explanation where an assessment is marked not applicable.</w:t>
      </w:r>
    </w:p>
    <w:p>
      <w:r>
        <w:rPr>
          <w:b/>
        </w:rPr>
        <w:t xml:space="preserve">2.  </w:t>
      </w:r>
      <w:r>
        <w:t>Review the case presented to the forum. Confirm that the purpose, actual system configuration, affected people, human oversight, known limits and residual risks are accurate. Supply existing artefact references against the AIR-ID.</w:t>
      </w:r>
    </w:p>
    <w:p>
      <w:r>
        <w:rPr>
          <w:b/>
        </w:rPr>
        <w:t xml:space="preserve">3.  </w:t>
      </w:r>
      <w:r>
        <w:t>Ask the relevant specialist to sign off their area. An unresolved privacy, security, legal, equality or procurement issue goes to the responsible specialist and delegated authority; the Service Owner cannot self-waive it.</w:t>
      </w:r>
    </w:p>
    <w:p>
      <w:r>
        <w:rPr>
          <w:b/>
        </w:rPr>
        <w:t xml:space="preserve">4.  </w:t>
      </w:r>
      <w:r>
        <w:t>Follow the decision made under the Council’s delegation. Governance maintains the Decision Record (AIG-DEC-03) and Gate Log (AIG-DEC-04), including conditions and the next gate. Approval with conditions does not itself close those conditions.</w:t>
      </w:r>
    </w:p>
    <w:p>
      <w:r>
        <w:rPr>
          <w:b/>
        </w:rPr>
        <w:t xml:space="preserve">5.  </w:t>
      </w:r>
      <w:r>
        <w:t>Before live use, work with governance on Deployment and Rollout Plan (AIG-OPS-01). Demonstrate readiness, staff training, human oversight, monitoring, rollback and the closure or formal acceptance of each condition. Confirm the delegated decision for your UC-ID is recorded (AIG-DEC-03) and the Register system baseline shows Approved and Active for the actual configuration; the system status alone is not permission to use.</w:t>
      </w:r>
    </w:p>
    <w:p>
      <w:pPr>
        <w:pStyle w:val="Heading1"/>
      </w:pPr>
      <w:r>
        <w:t>6  Operate, monitor and re-enter the route</w:t>
      </w:r>
    </w:p>
    <w:p>
      <w:r>
        <w:t>During use, monitor the measures and cadence assigned to the case: performance and quality, errors, fairness where relevant, complaints, human overrides, supplier performance and condition breaches. The Service Owner is accountable for the monitoring response; the operating team may collect measurements, and governance keeps the portfolio view. Use Monitoring and Review Log (AIG-OPS-02) where assigned. Light-touch cases still need the recorded review date and a fresh eligibility check if circumstances change.</w:t>
      </w:r>
    </w:p>
    <w:tbl>
      <w:tblPr>
        <w:tblStyle w:val="TableGrid"/>
        <w:tblW w:type="auto" w:w="0"/>
        <w:jc w:val="center"/>
        <w:tblLayout w:type="fixed"/>
        <w:tblLook w:firstColumn="1" w:firstRow="1" w:lastColumn="0" w:lastRow="0" w:noHBand="0" w:noVBand="1" w:val="04A0"/>
      </w:tblPr>
      <w:tblGrid>
        <w:gridCol w:w="4997"/>
        <w:gridCol w:w="4997"/>
      </w:tblGrid>
      <w:tr>
        <w:trPr>
          <w:cantSplit/>
          <w:tblHeader/>
        </w:trPr>
        <w:tc>
          <w:tcPr>
            <w:tcW w:type="dxa" w:w="2563"/>
            <w:vAlign w:val="center"/>
            <w:tcMar>
              <w:top w:w="90" w:type="dxa"/>
              <w:left w:w="90" w:type="dxa"/>
              <w:bottom w:w="90" w:type="dxa"/>
              <w:right w:w="90" w:type="dxa"/>
            </w:tcMar>
            <w:shd w:fill="10253E"/>
          </w:tcPr>
          <w:p>
            <w:pPr>
              <w:spacing w:after="0" w:line="252" w:lineRule="auto"/>
            </w:pPr>
            <w:r>
              <w:rPr>
                <w:rFonts w:ascii="Arial" w:hAnsi="Arial"/>
                <w:b/>
                <w:color w:val="FFFFFF"/>
                <w:sz w:val="18"/>
              </w:rPr>
              <w:t>When this happens</w:t>
            </w:r>
          </w:p>
        </w:tc>
        <w:tc>
          <w:tcPr>
            <w:tcW w:type="dxa" w:w="6005"/>
            <w:vAlign w:val="center"/>
            <w:tcMar>
              <w:top w:w="90" w:type="dxa"/>
              <w:left w:w="90" w:type="dxa"/>
              <w:bottom w:w="90" w:type="dxa"/>
              <w:right w:w="90" w:type="dxa"/>
            </w:tcMar>
            <w:shd w:fill="10253E"/>
          </w:tcPr>
          <w:p>
            <w:pPr>
              <w:spacing w:after="0" w:line="252" w:lineRule="auto"/>
            </w:pPr>
            <w:r>
              <w:rPr>
                <w:rFonts w:ascii="Arial" w:hAnsi="Arial"/>
                <w:b/>
                <w:color w:val="FFFFFF"/>
                <w:sz w:val="18"/>
              </w:rPr>
              <w:t>Immediate Service Owner action</w:t>
            </w:r>
          </w:p>
        </w:tc>
      </w:tr>
      <w:tr>
        <w:trPr>
          <w:cantSplit/>
        </w:trPr>
        <w:tc>
          <w:tcPr>
            <w:tcW w:type="dxa" w:w="2563"/>
            <w:vAlign w:val="center"/>
            <w:tcMar>
              <w:top w:w="90" w:type="dxa"/>
              <w:left w:w="90" w:type="dxa"/>
              <w:bottom w:w="90" w:type="dxa"/>
              <w:right w:w="90" w:type="dxa"/>
            </w:tcMar>
            <w:shd w:fill="F1F5F9"/>
          </w:tcPr>
          <w:p>
            <w:pPr>
              <w:spacing w:after="0" w:line="252" w:lineRule="auto"/>
            </w:pPr>
            <w:r>
              <w:rPr>
                <w:rFonts w:ascii="Arial" w:hAnsi="Arial"/>
                <w:sz w:val="18"/>
              </w:rPr>
              <w:t>Harm, suspected breach, unsafe output or unexpected action</w:t>
            </w:r>
          </w:p>
        </w:tc>
        <w:tc>
          <w:tcPr>
            <w:tcW w:type="dxa" w:w="6005"/>
            <w:vAlign w:val="center"/>
            <w:tcMar>
              <w:top w:w="90" w:type="dxa"/>
              <w:left w:w="90" w:type="dxa"/>
              <w:bottom w:w="90" w:type="dxa"/>
              <w:right w:w="90" w:type="dxa"/>
            </w:tcMar>
            <w:shd w:fill="F1F5F9"/>
          </w:tcPr>
          <w:p>
            <w:pPr>
              <w:spacing w:after="0" w:line="252" w:lineRule="auto"/>
            </w:pPr>
            <w:r>
              <w:rPr>
                <w:rFonts w:ascii="Arial" w:hAnsi="Arial"/>
                <w:sz w:val="18"/>
              </w:rPr>
              <w:t>Contain or pause the use where needed and protect residents. Report it to your Service Owner without delay using Part A of the AI Incident Report Form (AIG-OPS-03); the Service Owner notifies the AI Governance Lead the same working day. Refer a suspected personal-data breach to the DPO immediately. Link the incident to the AIR-ID and each affected UC-ID.</w:t>
            </w:r>
          </w:p>
        </w:tc>
      </w:tr>
      <w:tr>
        <w:trPr>
          <w:cantSplit/>
        </w:trPr>
        <w:tc>
          <w:tcPr>
            <w:tcW w:type="dxa" w:w="2563"/>
            <w:vAlign w:val="center"/>
            <w:tcMar>
              <w:top w:w="90" w:type="dxa"/>
              <w:left w:w="90" w:type="dxa"/>
              <w:bottom w:w="90" w:type="dxa"/>
              <w:right w:w="90" w:type="dxa"/>
            </w:tcMar>
            <w:shd w:fill="FFFFFF"/>
          </w:tcPr>
          <w:p>
            <w:pPr>
              <w:spacing w:after="0" w:line="252" w:lineRule="auto"/>
            </w:pPr>
            <w:r>
              <w:rPr>
                <w:rFonts w:ascii="Arial" w:hAnsi="Arial"/>
                <w:sz w:val="18"/>
              </w:rPr>
              <w:t>Model, supplier, data, tool, authority or purpose changes</w:t>
            </w:r>
          </w:p>
        </w:tc>
        <w:tc>
          <w:tcPr>
            <w:tcW w:type="dxa" w:w="6005"/>
            <w:vAlign w:val="center"/>
            <w:tcMar>
              <w:top w:w="90" w:type="dxa"/>
              <w:left w:w="90" w:type="dxa"/>
              <w:bottom w:w="90" w:type="dxa"/>
              <w:right w:w="90" w:type="dxa"/>
            </w:tcMar>
            <w:shd w:fill="FFFFFF"/>
          </w:tcPr>
          <w:p>
            <w:pPr>
              <w:spacing w:after="0" w:line="252" w:lineRule="auto"/>
            </w:pPr>
            <w:r>
              <w:rPr>
                <w:rFonts w:ascii="Arial" w:hAnsi="Arial"/>
                <w:sz w:val="18"/>
              </w:rPr>
              <w:t>Tell the Governance Lead before the changed use proceeds. Supply the change facts for re-triage, new evidence and approval conditions as required.</w:t>
            </w:r>
          </w:p>
        </w:tc>
      </w:tr>
      <w:tr>
        <w:trPr>
          <w:cantSplit/>
        </w:trPr>
        <w:tc>
          <w:tcPr>
            <w:tcW w:type="dxa" w:w="2563"/>
            <w:vAlign w:val="center"/>
            <w:tcMar>
              <w:top w:w="90" w:type="dxa"/>
              <w:left w:w="90" w:type="dxa"/>
              <w:bottom w:w="90" w:type="dxa"/>
              <w:right w:w="90" w:type="dxa"/>
            </w:tcMar>
            <w:shd w:fill="F1F5F9"/>
          </w:tcPr>
          <w:p>
            <w:pPr>
              <w:spacing w:after="0" w:line="252" w:lineRule="auto"/>
            </w:pPr>
            <w:r>
              <w:rPr>
                <w:rFonts w:ascii="Arial" w:hAnsi="Arial"/>
                <w:sz w:val="18"/>
              </w:rPr>
              <w:t>Complaint or challenge to a decision</w:t>
            </w:r>
          </w:p>
        </w:tc>
        <w:tc>
          <w:tcPr>
            <w:tcW w:type="dxa" w:w="6005"/>
            <w:vAlign w:val="center"/>
            <w:tcMar>
              <w:top w:w="90" w:type="dxa"/>
              <w:left w:w="90" w:type="dxa"/>
              <w:bottom w:w="90" w:type="dxa"/>
              <w:right w:w="90" w:type="dxa"/>
            </w:tcMar>
            <w:shd w:fill="F1F5F9"/>
          </w:tcPr>
          <w:p>
            <w:pPr>
              <w:spacing w:after="0" w:line="252" w:lineRule="auto"/>
            </w:pPr>
            <w:r>
              <w:rPr>
                <w:rFonts w:ascii="Arial" w:hAnsi="Arial"/>
                <w:sz w:val="18"/>
              </w:rPr>
              <w:t>Ensure human review and the applicable contestability route (AIG-OPS-04); record patterns and escalate repeated or serious issues.</w:t>
            </w:r>
          </w:p>
        </w:tc>
      </w:tr>
      <w:tr>
        <w:trPr>
          <w:cantSplit/>
        </w:trPr>
        <w:tc>
          <w:tcPr>
            <w:tcW w:type="dxa" w:w="2563"/>
            <w:vAlign w:val="center"/>
            <w:tcMar>
              <w:top w:w="90" w:type="dxa"/>
              <w:left w:w="90" w:type="dxa"/>
              <w:bottom w:w="90" w:type="dxa"/>
              <w:right w:w="90" w:type="dxa"/>
            </w:tcMar>
            <w:shd w:fill="FFFFFF"/>
          </w:tcPr>
          <w:p>
            <w:pPr>
              <w:spacing w:after="0" w:line="252" w:lineRule="auto"/>
            </w:pPr>
            <w:r>
              <w:rPr>
                <w:rFonts w:ascii="Arial" w:hAnsi="Arial"/>
                <w:sz w:val="18"/>
              </w:rPr>
              <w:t>Review or retirement</w:t>
            </w:r>
          </w:p>
        </w:tc>
        <w:tc>
          <w:tcPr>
            <w:tcW w:type="dxa" w:w="6005"/>
            <w:vAlign w:val="center"/>
            <w:tcMar>
              <w:top w:w="90" w:type="dxa"/>
              <w:left w:w="90" w:type="dxa"/>
              <w:bottom w:w="90" w:type="dxa"/>
              <w:right w:w="90" w:type="dxa"/>
            </w:tcMar>
            <w:shd w:fill="FFFFFF"/>
          </w:tcPr>
          <w:p>
            <w:pPr>
              <w:spacing w:after="0" w:line="252" w:lineRule="auto"/>
            </w:pPr>
            <w:r>
              <w:rPr>
                <w:rFonts w:ascii="Arial" w:hAnsi="Arial"/>
                <w:sz w:val="18"/>
              </w:rPr>
              <w:t>Confirm the Register record, monitoring evidence, outstanding conditions, contractual and data actions. Follow the authorised retirement decision.</w:t>
            </w:r>
          </w:p>
        </w:tc>
      </w:tr>
    </w:tbl>
    <w:p>
      <w:pPr>
        <w:spacing w:after="0"/>
      </w:pPr>
    </w:p>
    <w:p>
      <w:r>
        <w:br w:type="page"/>
      </w:r>
    </w:p>
    <w:p>
      <w:pPr>
        <w:pStyle w:val="Heading1"/>
      </w:pPr>
      <w:r>
        <w:t>Who does what at a glance</w:t>
      </w:r>
    </w:p>
    <w:tbl>
      <w:tblPr>
        <w:tblStyle w:val="TableGrid"/>
        <w:tblW w:type="auto" w:w="0"/>
        <w:jc w:val="center"/>
        <w:tblLayout w:type="fixed"/>
        <w:tblLook w:firstColumn="1" w:firstRow="1" w:lastColumn="0" w:lastRow="0" w:noHBand="0" w:noVBand="1" w:val="04A0"/>
      </w:tblPr>
      <w:tblGrid>
        <w:gridCol w:w="4997"/>
        <w:gridCol w:w="4997"/>
      </w:tblGrid>
      <w:tr>
        <w:trPr>
          <w:cantSplit/>
          <w:tblHeader/>
        </w:trPr>
        <w:tc>
          <w:tcPr>
            <w:tcW w:type="dxa" w:w="2707"/>
            <w:vAlign w:val="center"/>
            <w:tcMar>
              <w:top w:w="90" w:type="dxa"/>
              <w:left w:w="90" w:type="dxa"/>
              <w:bottom w:w="90" w:type="dxa"/>
              <w:right w:w="90" w:type="dxa"/>
            </w:tcMar>
            <w:shd w:fill="10253E"/>
          </w:tcPr>
          <w:p>
            <w:pPr>
              <w:spacing w:after="0" w:line="252" w:lineRule="auto"/>
            </w:pPr>
            <w:r>
              <w:rPr>
                <w:rFonts w:ascii="Arial" w:hAnsi="Arial"/>
                <w:b/>
                <w:color w:val="FFFFFF"/>
                <w:sz w:val="18"/>
              </w:rPr>
              <w:t>Role</w:t>
            </w:r>
          </w:p>
        </w:tc>
        <w:tc>
          <w:tcPr>
            <w:tcW w:type="dxa" w:w="5861"/>
            <w:vAlign w:val="center"/>
            <w:tcMar>
              <w:top w:w="90" w:type="dxa"/>
              <w:left w:w="90" w:type="dxa"/>
              <w:bottom w:w="90" w:type="dxa"/>
              <w:right w:w="90" w:type="dxa"/>
            </w:tcMar>
            <w:shd w:fill="10253E"/>
          </w:tcPr>
          <w:p>
            <w:pPr>
              <w:spacing w:after="0" w:line="252" w:lineRule="auto"/>
            </w:pPr>
            <w:r>
              <w:rPr>
                <w:rFonts w:ascii="Arial" w:hAnsi="Arial"/>
                <w:b/>
                <w:color w:val="FFFFFF"/>
                <w:sz w:val="18"/>
              </w:rPr>
              <w:t>Accountability</w:t>
            </w:r>
          </w:p>
        </w:tc>
      </w:tr>
      <w:tr>
        <w:trPr>
          <w:cantSplit/>
        </w:trPr>
        <w:tc>
          <w:tcPr>
            <w:tcW w:type="dxa" w:w="2707"/>
            <w:vAlign w:val="center"/>
            <w:tcMar>
              <w:top w:w="90" w:type="dxa"/>
              <w:left w:w="90" w:type="dxa"/>
              <w:bottom w:w="90" w:type="dxa"/>
              <w:right w:w="90" w:type="dxa"/>
            </w:tcMar>
            <w:shd w:fill="F1F5F9"/>
          </w:tcPr>
          <w:p>
            <w:pPr>
              <w:spacing w:after="0" w:line="252" w:lineRule="auto"/>
            </w:pPr>
            <w:r>
              <w:rPr>
                <w:rFonts w:ascii="Arial" w:hAnsi="Arial"/>
                <w:sz w:val="18"/>
              </w:rPr>
              <w:t>Service Owner</w:t>
            </w:r>
          </w:p>
        </w:tc>
        <w:tc>
          <w:tcPr>
            <w:tcW w:type="dxa" w:w="5861"/>
            <w:vAlign w:val="center"/>
            <w:tcMar>
              <w:top w:w="90" w:type="dxa"/>
              <w:left w:w="90" w:type="dxa"/>
              <w:bottom w:w="90" w:type="dxa"/>
              <w:right w:w="90" w:type="dxa"/>
            </w:tcMar>
            <w:shd w:fill="F1F5F9"/>
          </w:tcPr>
          <w:p>
            <w:pPr>
              <w:spacing w:after="0" w:line="252" w:lineRule="auto"/>
            </w:pPr>
            <w:r>
              <w:rPr>
                <w:rFonts w:ascii="Arial" w:hAnsi="Arial"/>
                <w:sz w:val="18"/>
              </w:rPr>
              <w:t>Owns service purpose, truthful facts, assigned assessments, operational controls, monitoring and escalation.</w:t>
            </w:r>
          </w:p>
        </w:tc>
      </w:tr>
      <w:tr>
        <w:trPr>
          <w:cantSplit/>
        </w:trPr>
        <w:tc>
          <w:tcPr>
            <w:tcW w:type="dxa" w:w="2707"/>
            <w:vAlign w:val="center"/>
            <w:tcMar>
              <w:top w:w="90" w:type="dxa"/>
              <w:left w:w="90" w:type="dxa"/>
              <w:bottom w:w="90" w:type="dxa"/>
              <w:right w:w="90" w:type="dxa"/>
            </w:tcMar>
            <w:shd w:fill="FFFFFF"/>
          </w:tcPr>
          <w:p>
            <w:pPr>
              <w:spacing w:after="0" w:line="252" w:lineRule="auto"/>
            </w:pPr>
            <w:r>
              <w:rPr>
                <w:rFonts w:ascii="Arial" w:hAnsi="Arial"/>
                <w:sz w:val="18"/>
              </w:rPr>
              <w:t>AI Governance Lead / function</w:t>
            </w:r>
          </w:p>
        </w:tc>
        <w:tc>
          <w:tcPr>
            <w:tcW w:type="dxa" w:w="5861"/>
            <w:vAlign w:val="center"/>
            <w:tcMar>
              <w:top w:w="90" w:type="dxa"/>
              <w:left w:w="90" w:type="dxa"/>
              <w:bottom w:w="90" w:type="dxa"/>
              <w:right w:w="90" w:type="dxa"/>
            </w:tcMar>
            <w:shd w:fill="FFFFFF"/>
          </w:tcPr>
          <w:p>
            <w:pPr>
              <w:spacing w:after="0" w:line="252" w:lineRule="auto"/>
            </w:pPr>
            <w:r>
              <w:rPr>
                <w:rFonts w:ascii="Arial" w:hAnsi="Arial"/>
                <w:sz w:val="18"/>
              </w:rPr>
              <w:t>Validates screening and route; maintains AIR-ID, Register, triage, Gate Log and decision continuity; issues checklist and coordinates assurance.</w:t>
            </w:r>
          </w:p>
        </w:tc>
      </w:tr>
      <w:tr>
        <w:trPr>
          <w:cantSplit/>
        </w:trPr>
        <w:tc>
          <w:tcPr>
            <w:tcW w:type="dxa" w:w="2707"/>
            <w:vAlign w:val="center"/>
            <w:tcMar>
              <w:top w:w="90" w:type="dxa"/>
              <w:left w:w="90" w:type="dxa"/>
              <w:bottom w:w="90" w:type="dxa"/>
              <w:right w:w="90" w:type="dxa"/>
            </w:tcMar>
            <w:shd w:fill="F1F5F9"/>
          </w:tcPr>
          <w:p>
            <w:pPr>
              <w:spacing w:after="0" w:line="252" w:lineRule="auto"/>
            </w:pPr>
            <w:r>
              <w:rPr>
                <w:rFonts w:ascii="Arial" w:hAnsi="Arial"/>
                <w:sz w:val="18"/>
              </w:rPr>
              <w:t>DPO, Legal, Equalities, Security, Procurement</w:t>
            </w:r>
          </w:p>
        </w:tc>
        <w:tc>
          <w:tcPr>
            <w:tcW w:type="dxa" w:w="5861"/>
            <w:vAlign w:val="center"/>
            <w:tcMar>
              <w:top w:w="90" w:type="dxa"/>
              <w:left w:w="90" w:type="dxa"/>
              <w:bottom w:w="90" w:type="dxa"/>
              <w:right w:w="90" w:type="dxa"/>
            </w:tcMar>
            <w:shd w:fill="F1F5F9"/>
          </w:tcPr>
          <w:p>
            <w:pPr>
              <w:spacing w:after="0" w:line="252" w:lineRule="auto"/>
            </w:pPr>
            <w:r>
              <w:rPr>
                <w:rFonts w:ascii="Arial" w:hAnsi="Arial"/>
                <w:sz w:val="18"/>
              </w:rPr>
              <w:t>Own specialist advice, review or controls within their remit; identify unresolved issues.</w:t>
            </w:r>
          </w:p>
        </w:tc>
      </w:tr>
      <w:tr>
        <w:trPr>
          <w:cantSplit/>
        </w:trPr>
        <w:tc>
          <w:tcPr>
            <w:tcW w:type="dxa" w:w="2707"/>
            <w:vAlign w:val="center"/>
            <w:tcMar>
              <w:top w:w="90" w:type="dxa"/>
              <w:left w:w="90" w:type="dxa"/>
              <w:bottom w:w="90" w:type="dxa"/>
              <w:right w:w="90" w:type="dxa"/>
            </w:tcMar>
            <w:shd w:fill="FFFFFF"/>
          </w:tcPr>
          <w:p>
            <w:pPr>
              <w:spacing w:after="0" w:line="252" w:lineRule="auto"/>
            </w:pPr>
            <w:r>
              <w:rPr>
                <w:rFonts w:ascii="Arial" w:hAnsi="Arial"/>
                <w:sz w:val="18"/>
              </w:rPr>
              <w:t>Delegated decision forum / SRO</w:t>
            </w:r>
          </w:p>
        </w:tc>
        <w:tc>
          <w:tcPr>
            <w:tcW w:type="dxa" w:w="5861"/>
            <w:vAlign w:val="center"/>
            <w:tcMar>
              <w:top w:w="90" w:type="dxa"/>
              <w:left w:w="90" w:type="dxa"/>
              <w:bottom w:w="90" w:type="dxa"/>
              <w:right w:w="90" w:type="dxa"/>
            </w:tcMar>
            <w:shd w:fill="FFFFFF"/>
          </w:tcPr>
          <w:p>
            <w:pPr>
              <w:spacing w:after="0" w:line="252" w:lineRule="auto"/>
            </w:pPr>
            <w:r>
              <w:rPr>
                <w:rFonts w:ascii="Arial" w:hAnsi="Arial"/>
                <w:sz w:val="18"/>
              </w:rPr>
              <w:t>Decides under the Council’s authority and owns the formal approval / risk decision.</w:t>
            </w:r>
          </w:p>
        </w:tc>
      </w:tr>
    </w:tbl>
    <w:p>
      <w:pPr>
        <w:spacing w:after="0"/>
      </w:pPr>
    </w:p>
    <w:p>
      <w:pPr>
        <w:pStyle w:val="Heading1"/>
      </w:pPr>
      <w:r>
        <w:t>Controlled references and document control</w:t>
      </w:r>
    </w:p>
    <w:p>
      <w:r>
        <w:t>Use current approved versions when the Council adopts this draft. Route rules are in Playbook sections 3.8, 3.10, 4.4.6, 4.6 and the Lean Governance Operating Model. Linked artefacts: AIG-INV-03, AIG-INV-02, AIG-ASS-01, AIG-ASS-02, AIG-ASS-04–AIG-ASS-08, AIG-DEC-03, AIG-OPS-03, AIG-ASS-11, AIG-OPS-01, AIG-DEC-04, AIG-OPS-02, AIG-OPS-04, AIG-AGT-04 and AIG-AGT-03. Their names and use points are given in the route and assessment sections above.</w:t>
      </w:r>
    </w:p>
    <w:tbl>
      <w:tblPr>
        <w:tblStyle w:val="TableGrid"/>
        <w:tblW w:type="auto" w:w="0"/>
        <w:jc w:val="center"/>
        <w:tblLayout w:type="fixed"/>
        <w:tblLook w:firstColumn="1" w:firstRow="1" w:lastColumn="0" w:lastRow="0" w:noHBand="0" w:noVBand="1" w:val="04A0"/>
      </w:tblPr>
      <w:tblGrid>
        <w:gridCol w:w="4997"/>
        <w:gridCol w:w="4997"/>
      </w:tblGrid>
      <w:tr>
        <w:trPr>
          <w:cantSplit/>
          <w:tblHeader/>
        </w:trPr>
        <w:tc>
          <w:tcPr>
            <w:tcW w:type="dxa" w:w="2275"/>
            <w:vAlign w:val="center"/>
            <w:tcMar>
              <w:top w:w="90" w:type="dxa"/>
              <w:left w:w="90" w:type="dxa"/>
              <w:bottom w:w="90" w:type="dxa"/>
              <w:right w:w="90" w:type="dxa"/>
            </w:tcMar>
            <w:shd w:fill="10253E"/>
          </w:tcPr>
          <w:p>
            <w:pPr>
              <w:spacing w:after="0" w:line="252" w:lineRule="auto"/>
            </w:pPr>
            <w:r>
              <w:rPr>
                <w:rFonts w:ascii="Arial" w:hAnsi="Arial"/>
                <w:b/>
                <w:color w:val="FFFFFF"/>
                <w:sz w:val="18"/>
              </w:rPr>
              <w:t>Field</w:t>
            </w:r>
          </w:p>
        </w:tc>
        <w:tc>
          <w:tcPr>
            <w:tcW w:type="dxa" w:w="6293"/>
            <w:vAlign w:val="center"/>
            <w:tcMar>
              <w:top w:w="90" w:type="dxa"/>
              <w:left w:w="90" w:type="dxa"/>
              <w:bottom w:w="90" w:type="dxa"/>
              <w:right w:w="90" w:type="dxa"/>
            </w:tcMar>
            <w:shd w:fill="10253E"/>
          </w:tcPr>
          <w:p>
            <w:pPr>
              <w:spacing w:after="0" w:line="252" w:lineRule="auto"/>
            </w:pPr>
            <w:r>
              <w:rPr>
                <w:rFonts w:ascii="Arial" w:hAnsi="Arial"/>
                <w:b/>
                <w:color w:val="FFFFFF"/>
                <w:sz w:val="18"/>
              </w:rPr>
              <w:t>Controlled value</w:t>
            </w:r>
          </w:p>
        </w:tc>
      </w:tr>
      <w:tr>
        <w:trPr>
          <w:cantSplit/>
        </w:trPr>
        <w:tc>
          <w:tcPr>
            <w:tcW w:type="dxa" w:w="2275"/>
            <w:vAlign w:val="center"/>
            <w:tcMar>
              <w:top w:w="90" w:type="dxa"/>
              <w:left w:w="90" w:type="dxa"/>
              <w:bottom w:w="90" w:type="dxa"/>
              <w:right w:w="90" w:type="dxa"/>
            </w:tcMar>
            <w:shd w:fill="F1F5F9"/>
          </w:tcPr>
          <w:p>
            <w:pPr>
              <w:spacing w:after="0" w:line="252" w:lineRule="auto"/>
            </w:pPr>
            <w:r>
              <w:rPr>
                <w:rFonts w:ascii="Arial" w:hAnsi="Arial"/>
                <w:sz w:val="18"/>
              </w:rPr>
              <w:t>Document ID</w:t>
            </w:r>
          </w:p>
        </w:tc>
        <w:tc>
          <w:tcPr>
            <w:tcW w:type="dxa" w:w="6293"/>
            <w:vAlign w:val="center"/>
            <w:tcMar>
              <w:top w:w="90" w:type="dxa"/>
              <w:left w:w="90" w:type="dxa"/>
              <w:bottom w:w="90" w:type="dxa"/>
              <w:right w:w="90" w:type="dxa"/>
            </w:tcMar>
            <w:shd w:fill="F1F5F9"/>
          </w:tcPr>
          <w:p>
            <w:pPr>
              <w:spacing w:after="0" w:line="252" w:lineRule="auto"/>
            </w:pPr>
            <w:r>
              <w:rPr>
                <w:rFonts w:ascii="Arial" w:hAnsi="Arial"/>
                <w:sz w:val="18"/>
              </w:rPr>
              <w:t>AIG-INV-01</w:t>
            </w:r>
          </w:p>
        </w:tc>
      </w:tr>
      <w:tr>
        <w:trPr>
          <w:cantSplit/>
        </w:trPr>
        <w:tc>
          <w:tcPr>
            <w:tcW w:type="dxa" w:w="2275"/>
            <w:vAlign w:val="center"/>
            <w:tcMar>
              <w:top w:w="90" w:type="dxa"/>
              <w:left w:w="90" w:type="dxa"/>
              <w:bottom w:w="90" w:type="dxa"/>
              <w:right w:w="90" w:type="dxa"/>
            </w:tcMar>
            <w:shd w:fill="FFFFFF"/>
          </w:tcPr>
          <w:p>
            <w:pPr>
              <w:spacing w:after="0" w:line="252" w:lineRule="auto"/>
            </w:pPr>
            <w:r>
              <w:rPr>
                <w:rFonts w:ascii="Arial" w:hAnsi="Arial"/>
                <w:sz w:val="18"/>
              </w:rPr>
              <w:t>Version</w:t>
            </w:r>
          </w:p>
        </w:tc>
        <w:tc>
          <w:tcPr>
            <w:tcW w:type="dxa" w:w="6293"/>
            <w:vAlign w:val="center"/>
            <w:tcMar>
              <w:top w:w="90" w:type="dxa"/>
              <w:left w:w="90" w:type="dxa"/>
              <w:bottom w:w="90" w:type="dxa"/>
              <w:right w:w="90" w:type="dxa"/>
            </w:tcMar>
            <w:shd w:fill="FFFFFF"/>
          </w:tcPr>
          <w:p>
            <w:pPr>
              <w:spacing w:after="0" w:line="252" w:lineRule="auto"/>
            </w:pPr>
            <w:r>
              <w:rPr>
                <w:rFonts w:ascii="Arial" w:hAnsi="Arial"/>
                <w:sz w:val="18"/>
              </w:rPr>
              <w:t>1.10 draft</w:t>
            </w:r>
          </w:p>
        </w:tc>
      </w:tr>
      <w:tr>
        <w:trPr>
          <w:cantSplit/>
        </w:trPr>
        <w:tc>
          <w:tcPr>
            <w:tcW w:type="dxa" w:w="2275"/>
            <w:vAlign w:val="center"/>
            <w:tcMar>
              <w:top w:w="90" w:type="dxa"/>
              <w:left w:w="90" w:type="dxa"/>
              <w:bottom w:w="90" w:type="dxa"/>
              <w:right w:w="90" w:type="dxa"/>
            </w:tcMar>
            <w:shd w:fill="F1F5F9"/>
          </w:tcPr>
          <w:p>
            <w:pPr>
              <w:spacing w:after="0" w:line="252" w:lineRule="auto"/>
            </w:pPr>
            <w:r>
              <w:rPr>
                <w:rFonts w:ascii="Arial" w:hAnsi="Arial"/>
                <w:sz w:val="18"/>
              </w:rPr>
              <w:t>Status</w:t>
            </w:r>
          </w:p>
        </w:tc>
        <w:tc>
          <w:tcPr>
            <w:tcW w:type="dxa" w:w="6293"/>
            <w:vAlign w:val="center"/>
            <w:tcMar>
              <w:top w:w="90" w:type="dxa"/>
              <w:left w:w="90" w:type="dxa"/>
              <w:bottom w:w="90" w:type="dxa"/>
              <w:right w:w="90" w:type="dxa"/>
            </w:tcMar>
            <w:shd w:fill="F1F5F9"/>
          </w:tcPr>
          <w:p>
            <w:pPr>
              <w:spacing w:after="0" w:line="252" w:lineRule="auto"/>
            </w:pPr>
            <w:r>
              <w:rPr>
                <w:rFonts w:ascii="Arial" w:hAnsi="Arial"/>
                <w:sz w:val="18"/>
              </w:rPr>
              <w:t>Draft for Council review</w:t>
            </w:r>
          </w:p>
        </w:tc>
      </w:tr>
      <w:tr>
        <w:trPr>
          <w:cantSplit/>
        </w:trPr>
        <w:tc>
          <w:tcPr>
            <w:tcW w:type="dxa" w:w="2275"/>
            <w:vAlign w:val="center"/>
            <w:tcMar>
              <w:top w:w="90" w:type="dxa"/>
              <w:left w:w="90" w:type="dxa"/>
              <w:bottom w:w="90" w:type="dxa"/>
              <w:right w:w="90" w:type="dxa"/>
            </w:tcMar>
            <w:shd w:fill="FFFFFF"/>
          </w:tcPr>
          <w:p>
            <w:pPr>
              <w:spacing w:after="0" w:line="252" w:lineRule="auto"/>
            </w:pPr>
            <w:r>
              <w:rPr>
                <w:rFonts w:ascii="Arial" w:hAnsi="Arial"/>
                <w:sz w:val="18"/>
              </w:rPr>
              <w:t>Document owner</w:t>
            </w:r>
          </w:p>
        </w:tc>
        <w:tc>
          <w:tcPr>
            <w:tcW w:type="dxa" w:w="6293"/>
            <w:vAlign w:val="center"/>
            <w:tcMar>
              <w:top w:w="90" w:type="dxa"/>
              <w:left w:w="90" w:type="dxa"/>
              <w:bottom w:w="90" w:type="dxa"/>
              <w:right w:w="90" w:type="dxa"/>
            </w:tcMar>
            <w:shd w:fill="FFFFFF"/>
          </w:tcPr>
          <w:p>
            <w:pPr>
              <w:spacing w:after="0" w:line="252" w:lineRule="auto"/>
            </w:pPr>
            <w:r>
              <w:rPr>
                <w:rFonts w:ascii="Arial" w:hAnsi="Arial"/>
                <w:sz w:val="18"/>
              </w:rPr>
              <w:t>AI Governance Lead</w:t>
            </w:r>
          </w:p>
        </w:tc>
      </w:tr>
      <w:tr>
        <w:trPr>
          <w:cantSplit/>
        </w:trPr>
        <w:tc>
          <w:tcPr>
            <w:tcW w:type="dxa" w:w="2275"/>
            <w:vAlign w:val="center"/>
            <w:tcMar>
              <w:top w:w="90" w:type="dxa"/>
              <w:left w:w="90" w:type="dxa"/>
              <w:bottom w:w="90" w:type="dxa"/>
              <w:right w:w="90" w:type="dxa"/>
            </w:tcMar>
            <w:shd w:fill="F1F5F9"/>
          </w:tcPr>
          <w:p>
            <w:pPr>
              <w:spacing w:after="0" w:line="252" w:lineRule="auto"/>
            </w:pPr>
            <w:r>
              <w:rPr>
                <w:rFonts w:ascii="Arial" w:hAnsi="Arial"/>
                <w:sz w:val="18"/>
              </w:rPr>
              <w:t>Approving body</w:t>
            </w:r>
          </w:p>
        </w:tc>
        <w:tc>
          <w:tcPr>
            <w:tcW w:type="dxa" w:w="6293"/>
            <w:vAlign w:val="center"/>
            <w:tcMar>
              <w:top w:w="90" w:type="dxa"/>
              <w:left w:w="90" w:type="dxa"/>
              <w:bottom w:w="90" w:type="dxa"/>
              <w:right w:w="90" w:type="dxa"/>
            </w:tcMar>
            <w:shd w:fill="F1F5F9"/>
          </w:tcPr>
          <w:p>
            <w:r>
              <w:t>Pending confirmation — Competent Council authority under Constitution and Scheme of Delegation; AI Assurance Board provides assurance where applicable; exact delegation and publication authority to be verified by Monitoring Officer.</w:t>
            </w:r>
          </w:p>
        </w:tc>
      </w:tr>
      <w:tr>
        <w:trPr>
          <w:cantSplit/>
        </w:trPr>
        <w:tc>
          <w:tcPr>
            <w:tcW w:type="dxa" w:w="2275"/>
            <w:vAlign w:val="center"/>
            <w:tcMar>
              <w:top w:w="90" w:type="dxa"/>
              <w:left w:w="90" w:type="dxa"/>
              <w:bottom w:w="90" w:type="dxa"/>
              <w:right w:w="90" w:type="dxa"/>
            </w:tcMar>
            <w:shd w:fill="FFFFFF"/>
          </w:tcPr>
          <w:p>
            <w:pPr>
              <w:spacing w:after="0" w:line="252" w:lineRule="auto"/>
            </w:pPr>
            <w:r>
              <w:rPr>
                <w:rFonts w:ascii="Arial" w:hAnsi="Arial"/>
                <w:sz w:val="18"/>
              </w:rPr>
              <w:t>Approval / effective date</w:t>
            </w:r>
          </w:p>
        </w:tc>
        <w:tc>
          <w:tcPr>
            <w:tcW w:type="dxa" w:w="6293"/>
            <w:vAlign w:val="center"/>
            <w:tcMar>
              <w:top w:w="90" w:type="dxa"/>
              <w:left w:w="90" w:type="dxa"/>
              <w:bottom w:w="90" w:type="dxa"/>
              <w:right w:w="90" w:type="dxa"/>
            </w:tcMar>
            <w:shd w:fill="FFFFFF"/>
          </w:tcPr>
          <w:p>
            <w:pPr>
              <w:spacing w:after="0" w:line="252" w:lineRule="auto"/>
            </w:pPr>
            <w:r>
              <w:rPr>
                <w:rFonts w:ascii="Arial" w:hAnsi="Arial"/>
                <w:sz w:val="18"/>
              </w:rPr>
              <w:t>Not yet approved / Not yet effective</w:t>
            </w:r>
          </w:p>
        </w:tc>
      </w:tr>
      <w:tr>
        <w:trPr>
          <w:cantSplit/>
        </w:trPr>
        <w:tc>
          <w:tcPr>
            <w:tcW w:type="dxa" w:w="2275"/>
            <w:vAlign w:val="center"/>
            <w:tcMar>
              <w:top w:w="90" w:type="dxa"/>
              <w:left w:w="90" w:type="dxa"/>
              <w:bottom w:w="90" w:type="dxa"/>
              <w:right w:w="90" w:type="dxa"/>
            </w:tcMar>
            <w:shd w:fill="F1F5F9"/>
          </w:tcPr>
          <w:p>
            <w:pPr>
              <w:spacing w:after="0" w:line="252" w:lineRule="auto"/>
            </w:pPr>
            <w:r>
              <w:rPr>
                <w:rFonts w:ascii="Arial" w:hAnsi="Arial"/>
                <w:sz w:val="18"/>
              </w:rPr>
              <w:t>Next review date</w:t>
            </w:r>
          </w:p>
        </w:tc>
        <w:tc>
          <w:tcPr>
            <w:tcW w:type="dxa" w:w="6293"/>
            <w:vAlign w:val="center"/>
            <w:tcMar>
              <w:top w:w="90" w:type="dxa"/>
              <w:left w:w="90" w:type="dxa"/>
              <w:bottom w:w="90" w:type="dxa"/>
              <w:right w:w="90" w:type="dxa"/>
            </w:tcMar>
            <w:shd w:fill="F1F5F9"/>
          </w:tcPr>
          <w:p>
            <w:pPr>
              <w:spacing w:after="0" w:line="252" w:lineRule="auto"/>
            </w:pPr>
            <w:r>
              <w:rPr>
                <w:rFonts w:ascii="Arial" w:hAnsi="Arial"/>
                <w:sz w:val="18"/>
              </w:rPr>
              <w:t>To be set on approval: 12 months after the effective date, or sooner after material change</w:t>
            </w:r>
          </w:p>
        </w:tc>
      </w:tr>
      <w:tr>
        <w:trPr>
          <w:cantSplit/>
        </w:trPr>
        <w:tc>
          <w:tcPr>
            <w:tcW w:type="dxa" w:w="2275"/>
            <w:vAlign w:val="center"/>
            <w:tcMar>
              <w:top w:w="90" w:type="dxa"/>
              <w:left w:w="90" w:type="dxa"/>
              <w:bottom w:w="90" w:type="dxa"/>
              <w:right w:w="90" w:type="dxa"/>
            </w:tcMar>
            <w:shd w:fill="FFFFFF"/>
          </w:tcPr>
          <w:p>
            <w:pPr>
              <w:spacing w:after="0" w:line="252" w:lineRule="auto"/>
            </w:pPr>
            <w:r>
              <w:rPr>
                <w:rFonts w:ascii="Arial" w:hAnsi="Arial"/>
                <w:sz w:val="18"/>
              </w:rPr>
              <w:t>Classification</w:t>
            </w:r>
          </w:p>
        </w:tc>
        <w:tc>
          <w:tcPr>
            <w:tcW w:type="dxa" w:w="6293"/>
            <w:vAlign w:val="center"/>
            <w:tcMar>
              <w:top w:w="90" w:type="dxa"/>
              <w:left w:w="90" w:type="dxa"/>
              <w:bottom w:w="90" w:type="dxa"/>
              <w:right w:w="90" w:type="dxa"/>
            </w:tcMar>
            <w:shd w:fill="FFFFFF"/>
          </w:tcPr>
          <w:p>
            <w:pPr>
              <w:spacing w:after="0" w:line="252" w:lineRule="auto"/>
            </w:pPr>
            <w:r>
              <w:rPr>
                <w:rFonts w:ascii="Arial" w:hAnsi="Arial"/>
                <w:sz w:val="18"/>
              </w:rPr>
              <w:t>OFFICIAL</w:t>
            </w:r>
          </w:p>
        </w:tc>
      </w:tr>
    </w:tbl>
    <w:p>
      <w:pPr>
        <w:spacing w:after="0"/>
      </w:pPr>
    </w:p>
    <w:p>
      <w:pPr>
        <w:pStyle w:val="Heading1"/>
      </w:pPr>
      <w:r>
        <w:t>Change history</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1555"/>
            <w:vAlign w:val="center"/>
            <w:tcMar>
              <w:top w:w="90" w:type="dxa"/>
              <w:left w:w="90" w:type="dxa"/>
              <w:bottom w:w="90" w:type="dxa"/>
              <w:right w:w="90" w:type="dxa"/>
            </w:tcMar>
            <w:shd w:fill="10253E"/>
          </w:tcPr>
          <w:p>
            <w:pPr>
              <w:spacing w:after="0" w:line="252" w:lineRule="auto"/>
            </w:pPr>
            <w:r>
              <w:rPr>
                <w:rFonts w:ascii="Arial" w:hAnsi="Arial"/>
                <w:b/>
                <w:color w:val="FFFFFF"/>
                <w:sz w:val="18"/>
              </w:rPr>
              <w:t>Version</w:t>
            </w:r>
          </w:p>
        </w:tc>
        <w:tc>
          <w:tcPr>
            <w:tcW w:type="dxa" w:w="1872"/>
            <w:vAlign w:val="center"/>
            <w:tcMar>
              <w:top w:w="90" w:type="dxa"/>
              <w:left w:w="90" w:type="dxa"/>
              <w:bottom w:w="90" w:type="dxa"/>
              <w:right w:w="90" w:type="dxa"/>
            </w:tcMar>
            <w:shd w:fill="10253E"/>
          </w:tcPr>
          <w:p>
            <w:pPr>
              <w:spacing w:after="0" w:line="252" w:lineRule="auto"/>
            </w:pPr>
            <w:r>
              <w:rPr>
                <w:rFonts w:ascii="Arial" w:hAnsi="Arial"/>
                <w:b/>
                <w:color w:val="FFFFFF"/>
                <w:sz w:val="18"/>
              </w:rPr>
              <w:t>Date</w:t>
            </w:r>
          </w:p>
        </w:tc>
        <w:tc>
          <w:tcPr>
            <w:tcW w:type="dxa" w:w="5141"/>
            <w:vAlign w:val="center"/>
            <w:tcMar>
              <w:top w:w="90" w:type="dxa"/>
              <w:left w:w="90" w:type="dxa"/>
              <w:bottom w:w="90" w:type="dxa"/>
              <w:right w:w="90" w:type="dxa"/>
            </w:tcMar>
            <w:shd w:fill="10253E"/>
          </w:tcPr>
          <w:p>
            <w:pPr>
              <w:spacing w:after="0" w:line="252" w:lineRule="auto"/>
            </w:pPr>
            <w:r>
              <w:rPr>
                <w:rFonts w:ascii="Arial" w:hAnsi="Arial"/>
                <w:b/>
                <w:color w:val="FFFFFF"/>
                <w:sz w:val="18"/>
              </w:rPr>
              <w:t>Change summary</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1.0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6 August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Document-control baseline.</w:t>
            </w:r>
          </w:p>
        </w:tc>
      </w:tr>
      <w:tr>
        <w:trPr>
          <w:cantSplit/>
        </w:trPr>
        <w:tc>
          <w:tcPr>
            <w:tcW w:type="dxa" w:w="1555"/>
            <w:vAlign w:val="center"/>
            <w:tcMar>
              <w:top w:w="90" w:type="dxa"/>
              <w:left w:w="90" w:type="dxa"/>
              <w:bottom w:w="90" w:type="dxa"/>
              <w:right w:w="90" w:type="dxa"/>
            </w:tcMar>
            <w:shd w:fill="FFFFFF"/>
          </w:tcPr>
          <w:p>
            <w:pPr>
              <w:spacing w:after="0" w:line="252" w:lineRule="auto"/>
            </w:pPr>
            <w:r>
              <w:rPr>
                <w:rFonts w:ascii="Arial" w:hAnsi="Arial"/>
                <w:sz w:val="18"/>
              </w:rPr>
              <w:t>1.1 draft</w:t>
            </w:r>
          </w:p>
        </w:tc>
        <w:tc>
          <w:tcPr>
            <w:tcW w:type="dxa" w:w="1872"/>
            <w:vAlign w:val="center"/>
            <w:tcMar>
              <w:top w:w="90" w:type="dxa"/>
              <w:left w:w="90" w:type="dxa"/>
              <w:bottom w:w="90" w:type="dxa"/>
              <w:right w:w="90" w:type="dxa"/>
            </w:tcMar>
            <w:shd w:fill="FFFFFF"/>
          </w:tcPr>
          <w:p>
            <w:pPr>
              <w:spacing w:after="0" w:line="252" w:lineRule="auto"/>
            </w:pPr>
            <w:r>
              <w:rPr>
                <w:rFonts w:ascii="Arial" w:hAnsi="Arial"/>
                <w:sz w:val="18"/>
              </w:rPr>
              <w:t>20 September 2026</w:t>
            </w:r>
          </w:p>
        </w:tc>
        <w:tc>
          <w:tcPr>
            <w:tcW w:type="dxa" w:w="5141"/>
            <w:vAlign w:val="center"/>
            <w:tcMar>
              <w:top w:w="90" w:type="dxa"/>
              <w:left w:w="90" w:type="dxa"/>
              <w:bottom w:w="90" w:type="dxa"/>
              <w:right w:w="90" w:type="dxa"/>
            </w:tcMar>
            <w:shd w:fill="FFFFFF"/>
          </w:tcPr>
          <w:p>
            <w:pPr>
              <w:spacing w:after="0" w:line="252" w:lineRule="auto"/>
            </w:pPr>
            <w:r>
              <w:rPr>
                <w:rFonts w:ascii="Arial" w:hAnsi="Arial"/>
                <w:sz w:val="18"/>
              </w:rPr>
              <w:t>Lean staff route and governance-maintained records clarified.</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1.2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24 September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Added Service Owner routes, proportionate assessment, decisions and monitoring.</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 xml:space="preserve">1.3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 xml:space="preserve">29 September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 xml:space="preserve">QA remediation — applied findings QA-012, QA-013, QA-130, QA-135, QA-200 (see QA change log). Fast Track stated as a step within AI Intake; delegated decision and Gate Event step added before light-touch use; Fast-Track examples aligned to AIG-INV-02; Operational Status field named; incident route via the Service Owner (Part A of AIG-OPS-03) and go-live tied to the UC-ID decision. Final tidy-up: self-referencing cross-reference removed from the standards row(s) REQ-008. v3.8 (30 September 2026, no version change): “Two different readings” now describes the governing tier as in Playbook §3.10.1 (risk tier, §4.4.6 trigger floors, Severe impact → at least Medium, agency minimum for AI that can act); AGPI priority sets urgency, not the route.</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 xml:space="preserve">1.4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 xml:space="preserve">30 September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 xml:space="preserve">v3.9.1: standards cross-reference note updated to the 54-entry requirement inventory (AIG-AIMS-05 REQ-054, Civil Contingencies Act 2004, added).</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 xml:space="preserve">1.5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 xml:space="preserve">1 October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 xml:space="preserve">v3.9.3: standards cross-reference note cites the 55-entry requirement inventory (AIG-AIMS-05 REQ-055, NIST AI 600-1 Generative AI Profile, added).</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1.6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2 October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v3.9.5: standards cross-reference note cites the 56-entry requirement inventory (AIG-AIMS-05 REQ-056, SI 2026/425 ICO statutory code of practice on AI and automated decision-making, added). Proposed — for Council confirmation.</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1.7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3 October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v3.9.7: Fast-Track examples aligned to the reworded AIG-INV-02 v1.8 Q2 and Q5. Ordinary personal data the user already handles, and staff using a tool for their own work, are no longer a Yes on their own. Light-touch is now recorded as “Light-touch / Low / Priority 4 or 5”, matching the Playbook rule that Light-touch is open to Priority 4 and 5 uses (AGPI Priority 5 – Observe was previously left out of the wording). Proposed for Council confirmation.</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1.8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3 October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v3.9.8: “Already Approved and Active” row: another team’s approval does not cover your team; submit intake for your own UC-ID (Playbook §3.10). Proposed — for Council confirmation.</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1.9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4 October 2026</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v3.9.9: the Agent Record is proportionate (core record for most agents; full record for higher-agency ones; Playbook F.3). Proposed — for Council confirmation.</w:t>
            </w:r>
          </w:p>
        </w:tc>
      </w:tr>
      <w:tr>
        <w:trPr>
          <w:cantSplit/>
        </w:trPr>
        <w:tc>
          <w:tcPr>
            <w:tcW w:type="dxa" w:w="1555"/>
            <w:vAlign w:val="center"/>
            <w:tcMar>
              <w:top w:w="90" w:type="dxa"/>
              <w:left w:w="90" w:type="dxa"/>
              <w:bottom w:w="90" w:type="dxa"/>
              <w:right w:w="90" w:type="dxa"/>
            </w:tcMar>
            <w:shd w:fill="F1F5F9"/>
          </w:tcPr>
          <w:p>
            <w:pPr>
              <w:spacing w:after="0" w:line="252" w:lineRule="auto"/>
            </w:pPr>
            <w:r>
              <w:rPr>
                <w:rFonts w:ascii="Arial" w:hAnsi="Arial"/>
                <w:sz w:val="18"/>
              </w:rPr>
              <w:t>1.10 draft</w:t>
            </w:r>
          </w:p>
        </w:tc>
        <w:tc>
          <w:tcPr>
            <w:tcW w:type="dxa" w:w="1872"/>
            <w:vAlign w:val="center"/>
            <w:tcMar>
              <w:top w:w="90" w:type="dxa"/>
              <w:left w:w="90" w:type="dxa"/>
              <w:bottom w:w="90" w:type="dxa"/>
              <w:right w:w="90" w:type="dxa"/>
            </w:tcMar>
            <w:shd w:fill="F1F5F9"/>
          </w:tcPr>
          <w:p>
            <w:pPr>
              <w:spacing w:after="0" w:line="252" w:lineRule="auto"/>
            </w:pPr>
            <w:r>
              <w:rPr>
                <w:rFonts w:ascii="Arial" w:hAnsi="Arial"/>
                <w:sz w:val="18"/>
              </w:rPr>
              <w:t>12 October 2026: v3.9.10: standards cross-reference note cites the 58-entry requirement inventory (AIG-AIMS-05 REQ-057 DAMA-DMBOK and REQ-058 ISO/IEC 5259, added as voluntary data governance references).</w:t>
            </w:r>
          </w:p>
        </w:tc>
        <w:tc>
          <w:tcPr>
            <w:tcW w:type="dxa" w:w="5141"/>
            <w:vAlign w:val="center"/>
            <w:tcMar>
              <w:top w:w="90" w:type="dxa"/>
              <w:left w:w="90" w:type="dxa"/>
              <w:bottom w:w="90" w:type="dxa"/>
              <w:right w:w="90" w:type="dxa"/>
            </w:tcMar>
            <w:shd w:fill="F1F5F9"/>
          </w:tcPr>
          <w:p>
            <w:pPr>
              <w:spacing w:after="0" w:line="252" w:lineRule="auto"/>
            </w:pPr>
            <w:r>
              <w:rPr>
                <w:rFonts w:ascii="Arial" w:hAnsi="Arial"/>
                <w:sz w:val="18"/>
              </w:rPr>
              <w:t>v3.9.9: the Agent Record is proportionate (core record for most agents; full record for higher-agency ones; Playbook F.3). Proposed — for Council confirmation.</w:t>
            </w:r>
          </w:p>
        </w:tc>
      </w:tr>
    </w:tbl>
    <w:p>
      <w:pPr>
        <w:spacing w:after="0"/>
      </w:pPr>
    </w:p>
    <w:p>
      <w:r>
        <w:br w:type="page"/>
      </w:r>
    </w:p>
    <w:p>
      <w:r>
        <w:rPr>
          <w:b/>
          <w:sz w:val="30"/>
        </w:rPr>
        <w:t>Annex — Staff guide integration</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Identity and discovery</w:t>
      </w:r>
    </w:p>
    <w:p>
      <w:r>
        <w:t>• A discovery/case reference used before registration is provisional only, not an AIR-ID or permanent register key. The AI Governance Lead assigns the permanent AIR-ID when the system is registered in AI Register (AIG-INV-04). Disclose discovered AI promptly through full Intake (AIG-INV-03) even when no AIR-ID exists yet; retain the provisional reference as a cross-reference.</w:t>
      </w:r>
    </w:p>
    <w:p>
      <w:r>
        <w:t>• For an individual agent, pair its stable AG-ID with the AIR-ID; one AIR-ID may link to multiple agents. Cite the exact ASBOM (AIG-AGT-04) version/revision assessed, not merely “latest”.</w:t>
      </w:r>
    </w:p>
    <w:p>
      <w:r>
        <w:rPr>
          <w:b/>
          <w:sz w:val="24"/>
        </w:rPr>
        <w:t>Agentic route and re-entry</w:t>
      </w:r>
    </w:p>
    <w:p>
      <w:r>
        <w:t>• Where a system can act, invoke tools or delegate, governance updates ASBOM (AIG-AGT-04) and invokes Agentic Triage (AIG-AGT-03). Authority Graph (AIG-AGT-05) is a derived view of ASBOM delegation edges, not a separate permission grant.</w:t>
      </w:r>
    </w:p>
    <w:p>
      <w:r>
        <w:t>• Any material change to purpose, model, supplier, data, audience, connection, capability, permission, delegated authority, action or environment requires full Intake (AIG-INV-03) and full triage re-entry before changed use proceeds, with relevant assessments refreshed. Any Yes/Unsure, agentic capability or mandatory trigger exits Fast Track (AIG-INV-02).</w:t>
      </w:r>
    </w:p>
    <w:p>
      <w:r>
        <w:rPr>
          <w:b/>
          <w:sz w:val="24"/>
        </w:rPr>
        <w:t>Action evidence</w:t>
      </w:r>
    </w:p>
    <w:p>
      <w:r>
        <w:t>• For consequential action, AIG-AGT-06 records a unique Action ID, AIR-ID, AG-ID, exact ASBOM version, invoked authority and execution evidence/log reference. Reference Action ID from Incident Report (AIG-OPS-03), Monitoring and Review Log (AIG-OPS-02) and Gate Log (AIG-DEC-04) as applicable. Execution evidence is not permission or a gate decision; formal approval and conditions remain in Council decision/gate records.</w:t>
      </w:r>
    </w:p>
    <w:p>
      <w:r>
        <w:rPr>
          <w:b/>
          <w:sz w:val="24"/>
        </w:rPr>
        <w:t>Status of this proposed copy</w:t>
      </w:r>
    </w:p>
    <w:p>
      <w:pPr>
        <w:pStyle w:val="Heading2"/>
      </w:pPr>
      <w:r>
        <w:t>Proposed map handoff — disclose first; map later</w:t>
      </w:r>
    </w:p>
    <w:p>
      <w:pPr/>
      <w:r>
        <w:t xml:space="preserve">The proposed AIG-INV-05 map is not a staff permission check and is not required before disclosure. Use existing Intake (AIG-INV-03) as the source for the outcome/service/workflow. Governance may assign a UC-ID and propose a UC-to-CAP relationship without AIR-ID; only after the authorised steward issues AIR-ID in AIG-INV-04 may governance reconcile a system link. Staff must continue to rely on approved purpose, status and conditions in AIG-INV-04/AIG-DEC-04, never on a map entry.</w:t>
      </w:r>
    </w:p>
    <w:p>
      <w:r>
        <w:t>Proposed integrated draft; not approved and not effective. Original baseline content and tables are retained above. Formal approval, owner confirmation and document-control updates remain for the competent Council authority.</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331"/>
        <w:gridCol w:w="3331"/>
        <w:gridCol w:w="3331"/>
      </w:tblGrid>
      <w:tr>
        <w:tc>
          <w:tcPr>
            <w:tcW w:type="dxa" w:w="3331"/>
          </w:tcPr>
          <w:p>
            <w:r>
              <w:t>Requirement / instrument</w:t>
            </w:r>
          </w:p>
        </w:tc>
        <w:tc>
          <w:tcPr>
            <w:tcW w:type="dxa" w:w="3331"/>
          </w:tcPr>
          <w:p>
            <w:r>
              <w:t>Why check it here</w:t>
            </w:r>
          </w:p>
        </w:tc>
        <w:tc>
          <w:tcPr>
            <w:tcW w:type="dxa" w:w="3331"/>
          </w:tcPr>
          <w:p>
            <w:r>
              <w:t>Source</w:t>
            </w:r>
          </w:p>
        </w:tc>
      </w:tr>
      <w:tr>
        <w:tc>
          <w:tcPr>
            <w:tcW w:type="dxa" w:w="3331"/>
          </w:tcPr>
          <w:p>
            <w:r>
              <w:t>REQ-001 — UK General Data Protection Regulation (UK GDPR), as amended</w:t>
            </w:r>
          </w:p>
        </w:tc>
        <w:tc>
          <w:tcPr>
            <w:tcW w:type="dxa" w:w="3331"/>
          </w:tcPr>
          <w:p>
            <w:r>
              <w:t>Where personal data is processed; test each UK GDPR provision separately.</w:t>
            </w:r>
          </w:p>
        </w:tc>
        <w:tc>
          <w:tcPr>
            <w:tcW w:type="dxa" w:w="3331"/>
          </w:tcPr>
          <w:p>
            <w:r>
              <w:t>https://www.legislation.gov.uk/eur/2016/679/contents</w:t>
            </w:r>
          </w:p>
        </w:tc>
      </w:tr>
      <w:tr>
        <w:tc>
          <w:tcPr>
            <w:tcW w:type="dxa" w:w="3331"/>
          </w:tcPr>
          <w:p>
            <w:r>
              <w:t>REQ-005 — Equality Act 2010, including Public Sector Equality Duty section 149</w:t>
            </w:r>
          </w:p>
        </w:tc>
        <w:tc>
          <w:tcPr>
            <w:tcW w:type="dxa" w:w="3331"/>
          </w:tcPr>
          <w:p>
            <w:r>
              <w:t>Public authority due regard under s.149; case-level equality screening is not risk-tier gated.</w:t>
            </w:r>
          </w:p>
        </w:tc>
        <w:tc>
          <w:tcPr>
            <w:tcW w:type="dxa" w:w="3331"/>
          </w:tcPr>
          <w:p>
            <w:r>
              <w:t>https://www.legislation.gov.uk/ukpga/2010/15/section/149</w:t>
            </w:r>
          </w:p>
        </w:tc>
      </w:tr>
      <w:tr>
        <w:tc>
          <w:tcPr>
            <w:tcW w:type="dxa" w:w="3331"/>
          </w:tcPr>
          <w:p>
            <w:r>
              <w:t>REQ-006 — Human Rights Act 1998</w:t>
            </w:r>
          </w:p>
        </w:tc>
        <w:tc>
          <w:tcPr>
            <w:tcW w:type="dxa" w:w="3331"/>
          </w:tcPr>
          <w:p>
            <w:r>
              <w:t>Public-authority compatibility under s.6; assess Convention rights engaged by the case.</w:t>
            </w:r>
          </w:p>
        </w:tc>
        <w:tc>
          <w:tcPr>
            <w:tcW w:type="dxa" w:w="3331"/>
          </w:tcPr>
          <w:p>
            <w:r>
              <w:t>https://www.legislation.gov.uk/ukpga/1998/42/contents</w:t>
            </w:r>
          </w:p>
        </w:tc>
      </w:tr>
      <w:tr>
        <w:tc>
          <w:tcPr>
            <w:tcW w:type="dxa" w:w="3331"/>
          </w:tcPr>
          <w:p>
            <w:r>
              <w:t>REQ-008 — Public Sector Bodies (Websites and Mobile Applications) (No. 2) Accessibility Regulations 2018</w:t>
            </w:r>
          </w:p>
        </w:tc>
        <w:tc>
          <w:tcPr>
            <w:tcW w:type="dxa" w:w="3331"/>
          </w:tcPr>
          <w:p>
            <w:r>
              <w:t>Screen the legislation requirement against this artefact's actual use and record evidence/version.</w:t>
            </w:r>
          </w:p>
        </w:tc>
        <w:tc>
          <w:tcPr>
            <w:tcW w:type="dxa" w:w="3331"/>
          </w:tcPr>
          <w:p>
            <w:r>
              <w:t>https://www.gov.uk/guidance/accessibility-requirements-for-public-sector-websites-and-apps</w:t>
            </w:r>
          </w:p>
        </w:tc>
      </w:tr>
      <w:tr>
        <w:tc>
          <w:tcPr>
            <w:tcW w:type="dxa" w:w="3331"/>
          </w:tcPr>
          <w:p>
            <w:r>
              <w:t>REQ-032 — Regulation (EU) 2024/1689 (EU AI Act), consolidated and amended by enacted Regulation (EU) 2026/1744</w:t>
            </w:r>
          </w:p>
        </w:tc>
        <w:tc>
          <w:tcPr>
            <w:tcW w:type="dxa" w:w="3331"/>
          </w:tcPr>
          <w:p>
            <w:r>
              <w:t>Only after case-specific EU territorial, actor-role and material scope assessment.</w:t>
            </w:r>
          </w:p>
        </w:tc>
        <w:tc>
          <w:tcPr>
            <w:tcW w:type="dxa" w:w="3331"/>
          </w:tcPr>
          <w:p>
            <w:r>
              <w:t>https://eur-lex.europa.eu/legal-content/EN/TXT/HTML?uri=CELEX:02024R1689-20260727 ; amending Regulation (EU) 2026/1744: https://eur-lex.europa.eu/legal-content/EN/TXT/HTML/?uri=CELEX:32026R1744</w:t>
            </w:r>
          </w:p>
        </w:tc>
      </w:tr>
    </w:tbl>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2240" w:h="15840"/>
      <w:pgMar w:top="878" w:right="1123" w:bottom="87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E5966"/>
        <w:sz w:val="16"/>
      </w:rPr>
      <w:t xml:space="preserve">AIG-INV-01  ·  v1.10 draft  ·  Draft for Council review  ·  OFFICIAL  ·  Page </w:t>
    </w:r>
    <w:fldSimple w:instr="PAGE"/>
    <w:r>
      <w:rPr>
        <w:color w:val="4E5966"/>
        <w:sz w:val="16"/>
      </w:rP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Council  |  AI Governance  |  AIG-INV-01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E29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AIG-INV-01 Staff Guide to Registering and Governing AI</dc:title>
  <dc:subject>Proposed grouped-ID suite; not approved</dc:subject>
  <dc:creator>AI Governance working draft</dc:creator>
  <cp:keywords>Proposed grouped-ID suite; not approved</cp:keywords>
  <dc:description>Proposed grouped-ID suite; not approved</dc:description>
  <cp:lastModifiedBy>AI Governance working draft</cp:lastModifiedBy>
  <cp:revision>1</cp:revision>
  <dcterms:created xsi:type="dcterms:W3CDTF">2013-12-23T23:15:00Z</dcterms:created>
  <dcterms:modified xsi:type="dcterms:W3CDTF">2013-12-23T23:15:00Z</dcterms:modified>
  <cp:category/>
  <cp:version>1.9 draft</cp:version>
</cp:coreProperties>
</file>