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14="http://schemas.microsoft.com/office/word/2010/wordml" xmlns:w15="http://schemas.microsoft.com/office/word/2012/wordml" xmlns:wp14="http://schemas.microsoft.com/office/word/2010/wordprocessingDrawing" xmlns:mc="http://schemas.openxmlformats.org/markup-compatibility/2006" xmlns:r="http://schemas.openxmlformats.org/officeDocument/2006/relationships" xmlns:w="http://schemas.openxmlformats.org/wordprocessingml/2006/main" mc:Ignorable="w14 w15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spacing w:after="40"/>
      </w:pPr>
      <w:r>
        <w:t>The Council  ·  AI GOVERNANCE</w:t>
      </w:r>
    </w:p>
    <w:p>
      <w:pPr>
        <w:pBdr>
          <w:bottom w:val="single" w:color="122C47" w:sz="18" w:space="6"/>
        </w:pBdr>
        <w:spacing w:after="20"/>
      </w:pPr>
      <w:r>
        <w:t>AI Fast-Track Screening</w:t>
      </w:r>
    </w:p>
    <w:p>
      <w:pPr>
        <w:spacing w:after="140" w:before="100"/>
      </w:pPr>
      <w:r>
        <w:t>One page for low-risk AI, with light registration</w:t>
      </w:r>
    </w:p>
    <w:p>
      <w:pPr>
        <w:spacing w:after="120" w:line="270"/>
      </w:pPr>
      <w:r>
        <w:t xml:space="preserve">Use this only, as a step within AI Intake (AIG-INV-03), to test a named UC-ID under its governed system for the light-touch route. Complete Part B separately for each materially distinct use; only ten No answers for that UC-ID may proceed for AI Governance Lead validation. Any Yes or Unsure stops Fast Track for that use and routes it to the full AI Intake Form (AIG-INV-03) and normal triage; other uses remain separately screened. The Service Owner supplies the facts and the governance function confirms the route and creates any light Register entry. This form does not authorise use or deployment or approve other UC-IDs: after AI Governance Lead validation, the proportionate delegated decision for the UC-ID is recorded (AIG-DEC-03 or approved minutes) and a Gate Event is logged (AIG-DEC-04) before operation. A materially changed use returns to full intake.</w:t>
      </w:r>
    </w:p>
    <w:p>
      <w:pPr>
        <w:spacing w:after="80" w:before="170"/>
      </w:pPr>
      <w:r>
        <w:t xml:space="preserve">Part A. Screening identity (cross-reference to the AI Intake Form)</w:t>
      </w:r>
    </w:p>
    <w:p>
      <w:pPr>
        <w:spacing w:after="80" w:before="170"/>
      </w:pPr>
      <w:r/>
      <w:r>
        <w:rPr>
          <w:b/>
        </w:rPr>
        <w:t xml:space="preserve">Screening unit — Fast-Track Screening is a step within AI Intake: submit it with the AI Intake Form (AIG-INV-03) Sections 1–7, which hold the intake facts; this screen does not replace them. The AIR-ID, once assigned by Governance on registration, is the system identifier.</w:t>
      </w:r>
      <w:r>
        <w:t xml:space="preserve"> Record a distinct UC-ID and purpose/outcome for each proposed use; assess Fast-Track eligibility and Low / Priority 4 or 5 separately for each use. Any Yes/Unsure, materially different audience/data/decision/action or material change exits this use from Fast Track for full triage. One use's result does not approve another; agentic controls apply only to configurations that can take actions. If every answer is No but triage gives a governing tier above Low, the higher tier stands and the mismatch is flagged to the AI Governance Lead (Playbook §3.8.1).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38"/>
      </w:tblGrid>
      <w:tr>
        <w:tc>
          <w:tcPr>
            <w:tcW w:type="dxa" w:w="2900"/>
            <w:shd w:fill="EEF1F5" w:val="clear"/>
            <w:tcMar>
              <w:top w:type="dxa" w:w="55"/>
              <w:left w:type="dxa" w:w="90"/>
              <w:bottom w:type="dxa" w:w="55"/>
              <w:right w:type="dxa" w:w="90"/>
            </w:tcMar>
          </w:tcPr>
          <w:p>
            <w:r>
              <w:t>System / model name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Service Owner</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Purpose (one line)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Supplier / source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 xml:space="preserve">Provisional discovery/case reference</w:t>
            </w:r>
          </w:p>
        </w:tc>
        <w:tc>
          <w:tcPr>
            <w:tcW w:type="dxa" w:w="6738"/>
            <w:tcMar>
              <w:top w:type="dxa" w:w="55"/>
              <w:left w:type="dxa" w:w="90"/>
              <w:bottom w:type="dxa" w:w="55"/>
              <w:right w:type="dxa" w:w="90"/>
            </w:tcMar>
          </w:tcPr>
          <w:p>
            <w:r>
              <w:t xml:space="preserve">Intake reference until Governance assigns the AIR-ID on registration (see Part C)</w:t>
            </w:r>
          </w:p>
        </w:tc>
      </w:tr>
      <w:tr>
        <w:tc>
          <w:tcPr>
            <w:tcW w:type="dxa" w:w="2900"/>
            <w:shd w:fill="EEF1F5" w:val="clear"/>
            <w:tcMar>
              <w:top w:type="dxa" w:w="55"/>
              <w:left w:type="dxa" w:w="90"/>
              <w:bottom w:type="dxa" w:w="55"/>
              <w:right w:type="dxa" w:w="90"/>
            </w:tcMar>
          </w:tcPr>
          <w:p>
            <w:r>
              <w:t xml:space="preserve">UC-ID / use screened</w:t>
            </w:r>
          </w:p>
        </w:tc>
        <w:tc>
          <w:tcPr>
            <w:tcW w:type="dxa" w:w="6738"/>
            <w:tcMar>
              <w:top w:type="dxa" w:w="55"/>
              <w:left w:type="dxa" w:w="90"/>
              <w:bottom w:type="dxa" w:w="55"/>
              <w:right w:type="dxa" w:w="90"/>
            </w:tcMar>
          </w:tcPr>
          <w:p>
            <w:r>
              <w:t xml:space="preserve">Separate purpose/outcome and screen per materially distinct use.</w:t>
            </w:r>
          </w:p>
        </w:tc>
      </w:tr>
    </w:tbl>
    <w:p>
      <w:pPr>
        <w:spacing w:after="80" w:before="170"/>
      </w:pPr>
      <w:r>
        <w:t>Part B. Fast-track eligibility</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8138"/>
        <w:gridCol w:w="1500"/>
      </w:tblGrid>
      <w:tr>
        <w:trPr>
          <w:tblHeader/>
        </w:trPr>
        <w:tc>
          <w:tcPr>
            <w:tcW w:type="dxa" w:w="8138"/>
            <w:shd w:fill="122C47" w:val="clear"/>
            <w:tcMar>
              <w:top w:type="dxa" w:w="55"/>
              <w:left w:type="dxa" w:w="90"/>
              <w:bottom w:type="dxa" w:w="55"/>
              <w:right w:type="dxa" w:w="90"/>
            </w:tcMar>
          </w:tcPr>
          <w:p>
            <w:r>
              <w:rPr>
                <w:rFonts w:ascii="Arial" w:hAnsi="Arial" w:eastAsia="Arial" w:cs="Arial"/>
                <w:b/>
                <w:bCs/>
                <w:color w:val="FFFFFF"/>
                <w:sz w:val="19"/>
                <w:szCs w:val="19"/>
              </w:rPr>
              <w:t>Eligibility question (all ten must be No; any Yes or Unsure = full triage)</w:t>
            </w:r>
          </w:p>
        </w:tc>
        <w:tc>
          <w:tcPr>
            <w:tcW w:type="dxa" w:w="1500"/>
            <w:shd w:fill="122C47" w:val="clear"/>
            <w:tcMar>
              <w:top w:type="dxa" w:w="55"/>
              <w:left w:type="dxa" w:w="90"/>
              <w:bottom w:type="dxa" w:w="55"/>
              <w:right w:type="dxa" w:w="90"/>
            </w:tcMar>
          </w:tcPr>
          <w:p>
            <w:r>
              <w:rPr>
                <w:rFonts w:ascii="Arial" w:hAnsi="Arial" w:eastAsia="Arial" w:cs="Arial"/>
                <w:b/>
                <w:bCs/>
                <w:color w:val="FFFFFF"/>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Can it take or initiate any action, rather than only produce information for a person to act on (for example sending communications, updating records, invoking tools/APIs, creating transactions or instructing another system)?</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Does it process special-category or criminal offence data or confidential/restricted data, create profiles or inferences about identifiable people, or give access to personal data the user could not already open? (Ordinary personal data the user already handles in their own work, such as names in their own emails or meeting notes, is No.)</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Could its output influence or support a decision about a resident, employee or other individual, even where a human makes the final decision?</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Could it affect access to services, benefits, housing, care, safeguarding, enforcement, eligibility or another statutory function?</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Does it interact directly with residents or the public, or publish content externally? (Staff using it themselves for their own work is No.)</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Does it connect to live databases, operational systems, APIs, credentials or tools, including any write access?</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Is it novel, first-of-type, materially changed, fine-tuned, self-learning, agentic, multi-agent, or using dynamic model/tool routing? (A new use of an existing approved system that is itself unchanged is not “materially changed”.)</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Could an incorrect output or action cause material legal, equality, privacy, security, safety, financial, service-delivery or reputational harm?</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Does it create significant procurement exposure, a new supplier dependency or material operational reliance on a supplier/service?</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r>
        <w:trPr>
          <w:tblHeader/>
        </w:trPr>
        <w:tc>
          <w:tcPr>
            <w:tcW w:type="dxa" w:w="8138"/>
            <w:shd w:fill="EEF1F5" w:val="clear"/>
            <w:tcMar>
              <w:top w:type="dxa" w:w="55"/>
              <w:left w:type="dxa" w:w="90"/>
              <w:bottom w:type="dxa" w:w="55"/>
              <w:right w:type="dxa" w:w="90"/>
            </w:tcMar>
          </w:tcPr>
          <w:p>
            <w:r>
              <w:rPr>
                <w:rFonts w:ascii="Arial" w:hAnsi="Arial" w:eastAsia="Arial" w:cs="Arial"/>
                <w:b w:val="0"/>
                <w:bCs/>
                <w:color w:val="122C47"/>
                <w:sz w:val="19"/>
                <w:szCs w:val="19"/>
              </w:rPr>
              <w:t>Is anything about its data, capability, integration, authority, intended use or operating environment currently unknown or uncertain?</w:t>
            </w:r>
          </w:p>
        </w:tc>
        <w:tc>
          <w:tcPr>
            <w:tcW w:type="dxa" w:w="1500"/>
            <w:shd w:fill="FFFFFF" w:val="clear"/>
            <w:tcMar>
              <w:top w:type="dxa" w:w="55"/>
              <w:left w:type="dxa" w:w="90"/>
              <w:bottom w:type="dxa" w:w="55"/>
              <w:right w:type="dxa" w:w="90"/>
            </w:tcMar>
          </w:tcPr>
          <w:p>
            <w:r>
              <w:rPr>
                <w:rFonts w:ascii="Arial" w:hAnsi="Arial" w:eastAsia="Arial" w:cs="Arial"/>
                <w:b w:val="0"/>
                <w:bCs/>
                <w:color w:val="6B7280"/>
                <w:sz w:val="20"/>
                <w:szCs w:val="20"/>
              </w:rPr>
              <w:t>Yes / No / Unsure</w:t>
            </w:r>
          </w:p>
        </w:tc>
      </w:tr>
    </w:tbl>
    <w:p>
      <w:pPr>
        <w:spacing w:after="80" w:line="270"/>
      </w:pPr>
      <w:r>
        <w:t>Any Yes or Unsure: stop and route to the full Intake (AIG-INV-03) and triage. Where the system can take actions, the Agentic Triage Function (AIG-AGT-03) is mandatory; Fast Track must never bypass Agentic Triage. All ten No answers mean provisionally eligible only; continue to Part C for Governance Lead validation.</w:t>
      </w:r>
    </w:p>
    <w:p>
      <w:pPr>
        <w:spacing w:after="80" w:line="270"/>
      </w:pPr>
      <w:r>
        <w:t>This form is the only place the ten screening questions are held. The AI Intake Form (AIG-INV-03) records the reference and result of this screen; it does not repeat the questions. Change the questions here only.</w:t>
      </w:r>
    </w:p>
    <w:p>
      <w:pPr>
        <w:spacing w:after="80" w:before="170"/>
      </w:pPr>
      <w:r>
        <w:t>Part C. Light registration outcome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38"/>
      </w:tblGrid>
      <w:tr>
        <w:tc>
          <w:tcPr>
            <w:tcW w:type="dxa" w:w="2900"/>
            <w:shd w:fill="EEF1F5" w:val="clear"/>
            <w:tcMar>
              <w:top w:type="dxa" w:w="55"/>
              <w:left w:type="dxa" w:w="90"/>
              <w:bottom w:type="dxa" w:w="55"/>
              <w:right w:type="dxa" w:w="90"/>
            </w:tcMar>
          </w:tcPr>
          <w:p>
            <w:r>
              <w:t>Screening outcome</w:t>
            </w:r>
          </w:p>
        </w:tc>
        <w:tc>
          <w:tcPr>
            <w:tcW w:type="dxa" w:w="6738"/>
            <w:tcMar>
              <w:top w:type="dxa" w:w="55"/>
              <w:left w:type="dxa" w:w="90"/>
              <w:bottom w:type="dxa" w:w="55"/>
              <w:right w:type="dxa" w:w="90"/>
            </w:tcMar>
          </w:tcPr>
          <w:p>
            <w:r>
              <w:t>Provisionally eligible for Light-touch — pending AI Governance Lead validation</w:t>
            </w:r>
          </w:p>
        </w:tc>
      </w:tr>
      <w:tr>
        <w:tc>
          <w:tcPr>
            <w:tcW w:type="dxa" w:w="2900"/>
            <w:shd w:fill="EEF1F5" w:val="clear"/>
            <w:tcMar>
              <w:top w:type="dxa" w:w="55"/>
              <w:left w:type="dxa" w:w="90"/>
              <w:bottom w:type="dxa" w:w="55"/>
              <w:right w:type="dxa" w:w="90"/>
            </w:tcMar>
          </w:tcPr>
          <w:p>
            <w:r>
              <w:t>Lifecycle stage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Register row created?</w:t>
            </w:r>
          </w:p>
        </w:tc>
        <w:tc>
          <w:tcPr>
            <w:tcW w:type="dxa" w:w="6738"/>
            <w:tcMar>
              <w:top w:type="dxa" w:w="55"/>
              <w:left w:type="dxa" w:w="90"/>
              <w:bottom w:type="dxa" w:w="55"/>
              <w:right w:type="dxa" w:w="90"/>
            </w:tcMar>
          </w:tcPr>
          <w:p>
            <w:r>
              <w:t>Create only after Governance Lead confirmation: light AI Register (AIG-INV-04) row with AIR-ID, name, owner, purpose, lifecycle and confirmed Light-touch / Low / Priority 4 or 5 classification</w:t>
            </w:r>
          </w:p>
        </w:tc>
      </w:tr>
      <w:tr>
        <w:tc>
          <w:tcPr>
            <w:tcW w:type="dxa" w:w="2900"/>
            <w:shd w:fill="EEF1F5" w:val="clear"/>
            <w:tcMar>
              <w:top w:type="dxa" w:w="55"/>
              <w:left w:type="dxa" w:w="90"/>
              <w:bottom w:type="dxa" w:w="55"/>
              <w:right w:type="dxa" w:w="90"/>
            </w:tcMar>
          </w:tcPr>
          <w:p>
            <w:r>
              <w:t xml:space="preserve">AIR-ID (assigned by Governance on registration)</w:t>
            </w:r>
          </w:p>
        </w:tc>
        <w:tc>
          <w:tcPr>
            <w:tcW w:type="dxa" w:w="6738"/>
            <w:tcMar>
              <w:top w:type="dxa" w:w="55"/>
              <w:left w:type="dxa" w:w="90"/>
              <w:bottom w:type="dxa" w:w="55"/>
              <w:right w:type="dxa" w:w="90"/>
            </w:tcMar>
          </w:tcPr>
          <w:p>
            <w:r>
              <w:t>AIR-____ — entered by the AI Governance Lead when the light AI Register (AIG-INV-04) row is created; this screen does not assign it. Where the system is already registered, enter its existing AIR-ID; the new use gets its own UC-ID.</w:t>
            </w:r>
          </w:p>
        </w:tc>
      </w:tr>
      <w:tr>
        <w:tc>
          <w:tcPr>
            <w:tcW w:type="dxa" w:w="2900"/>
            <w:shd w:fill="EEF1F5" w:val="clear"/>
            <w:tcMar>
              <w:top w:type="dxa" w:w="55"/>
              <w:left w:type="dxa" w:w="90"/>
              <w:bottom w:type="dxa" w:w="55"/>
              <w:right w:type="dxa" w:w="90"/>
            </w:tcMar>
          </w:tcPr>
          <w:p>
            <w:r>
              <w:t>Monitoring</w:t>
            </w:r>
          </w:p>
        </w:tc>
        <w:tc>
          <w:tcPr>
            <w:tcW w:type="dxa" w:w="6738"/>
            <w:tcMar>
              <w:top w:type="dxa" w:w="55"/>
              <w:left w:type="dxa" w:w="90"/>
              <w:bottom w:type="dxa" w:w="55"/>
              <w:right w:type="dxa" w:w="90"/>
            </w:tcMar>
          </w:tcPr>
          <w:p>
            <w:r>
              <w:t>Light: confirm still low-risk at the review date below</w:t>
            </w:r>
          </w:p>
        </w:tc>
      </w:tr>
      <w:tr>
        <w:tc>
          <w:tcPr>
            <w:tcW w:type="dxa" w:w="2900"/>
            <w:shd w:fill="EEF1F5" w:val="clear"/>
            <w:tcMar>
              <w:top w:type="dxa" w:w="55"/>
              <w:left w:type="dxa" w:w="90"/>
              <w:bottom w:type="dxa" w:w="55"/>
              <w:right w:type="dxa" w:w="90"/>
            </w:tcMar>
          </w:tcPr>
          <w:p>
            <w:r>
              <w:t>Next review date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 xml:space="preserve">Delegated decision for this UC-ID</w:t>
            </w:r>
          </w:p>
        </w:tc>
        <w:tc>
          <w:tcPr>
            <w:tcW w:type="dxa" w:w="6738"/>
            <w:tcMar>
              <w:top w:type="dxa" w:w="55"/>
              <w:left w:type="dxa" w:w="90"/>
              <w:bottom w:type="dxa" w:w="55"/>
              <w:right w:type="dxa" w:w="90"/>
            </w:tcMar>
          </w:tcPr>
          <w:p>
            <w:r>
              <w:t xml:space="preserve">AIG-DEC-03 reference (or approved minutes) / decision-maker with confirmed delegation / date / conditions — recorded after Governance Lead validation and before any use</w:t>
            </w:r>
          </w:p>
        </w:tc>
      </w:tr>
      <w:tr>
        <w:tc>
          <w:tcPr>
            <w:tcW w:type="dxa" w:w="2900"/>
            <w:shd w:fill="EEF1F5" w:val="clear"/>
            <w:tcMar>
              <w:top w:type="dxa" w:w="55"/>
              <w:left w:type="dxa" w:w="90"/>
              <w:bottom w:type="dxa" w:w="55"/>
              <w:right w:type="dxa" w:w="90"/>
            </w:tcMar>
          </w:tcPr>
          <w:p>
            <w:r>
              <w:t xml:space="preserve">Gate Event (AIG-DEC-04)</w:t>
            </w:r>
          </w:p>
        </w:tc>
        <w:tc>
          <w:tcPr>
            <w:tcW w:type="dxa" w:w="6738"/>
            <w:tcMar>
              <w:top w:type="dxa" w:w="55"/>
              <w:left w:type="dxa" w:w="90"/>
              <w:bottom w:type="dxa" w:w="55"/>
              <w:right w:type="dxa" w:w="90"/>
            </w:tcMar>
          </w:tcPr>
          <w:p>
            <w:r>
              <w:t xml:space="preserve">Gate Event reference and date — logged before operation; points to the decision above</w:t>
            </w:r>
          </w:p>
        </w:tc>
      </w:tr>
      <w:tr>
        <w:tc>
          <w:tcPr>
            <w:tcW w:type="dxa" w:w="2900"/>
            <w:shd w:fill="EEF1F5" w:val="clear"/>
            <w:tcMar>
              <w:top w:type="dxa" w:w="55"/>
              <w:left w:type="dxa" w:w="90"/>
              <w:bottom w:type="dxa" w:w="55"/>
              <w:right w:type="dxa" w:w="90"/>
            </w:tcMar>
          </w:tcPr>
          <w:p>
            <w:r>
              <w:t>Further artefacts required</w:t>
            </w:r>
          </w:p>
        </w:tc>
        <w:tc>
          <w:tcPr>
            <w:tcW w:type="dxa" w:w="6738"/>
            <w:tcMar>
              <w:top w:type="dxa" w:w="55"/>
              <w:left w:type="dxa" w:w="90"/>
              <w:bottom w:type="dxa" w:w="55"/>
              <w:right w:type="dxa" w:w="90"/>
            </w:tcMar>
          </w:tcPr>
          <w:p>
            <w:r>
              <w:t>Complete the Screening by reference rows below (or the short screenings), then record the proportionate delegated decision (AIG-DEC-03) and Gate Event (AIG-DEC-04) before use. No other artefact unless a Part B answer becomes Yes/Unsure, a mandatory trigger emerges or the system materially changes</w:t>
            </w:r>
          </w:p>
        </w:tc>
      </w:tr>
      <w:tr>
        <w:tc>
          <w:tcPr>
            <w:tcW w:type="dxa" w:w="2900"/>
            <w:shd w:fill="EEF1F5" w:val="clear"/>
            <w:tcMar>
              <w:top w:type="dxa" w:w="55"/>
              <w:left w:type="dxa" w:w="90"/>
              <w:bottom w:type="dxa" w:w="55"/>
              <w:right w:type="dxa" w:w="90"/>
            </w:tcMar>
          </w:tcPr>
          <w:p>
            <w:r>
              <w:t>Screening by reference: equality (Equality Act s149)</w:t>
            </w:r>
          </w:p>
        </w:tc>
        <w:tc>
          <w:tcPr>
            <w:tcW w:type="dxa" w:w="6738"/>
            <w:tcMar>
              <w:top w:type="dxa" w:w="55"/>
              <w:left w:type="dxa" w:w="90"/>
              <w:bottom w:type="dxa" w:w="55"/>
              <w:right w:type="dxa" w:w="90"/>
            </w:tcMar>
          </w:tcPr>
          <w:p>
            <w:r>
              <w:t>Covering assessment, Evidence ID, version or as-at date, owner, status (must be Accepted), and date completed or last reviewed (within 12 months, review date not passed; if older, the owner’s recorded “still holds” review ref): ______ · Within scope (same kind of data, same people affected, same type of purpose, same decision impact; no change to model, configuration or controls since)? Yes / No · Reasoned outcome, naming the groups considered: ______ · Conditions and mitigations carried over: ______</w:t>
            </w:r>
          </w:p>
        </w:tc>
      </w:tr>
      <w:tr>
        <w:tc>
          <w:tcPr>
            <w:tcW w:type="dxa" w:w="2900"/>
            <w:shd w:fill="EEF1F5" w:val="clear"/>
            <w:tcMar>
              <w:top w:type="dxa" w:w="55"/>
              <w:left w:type="dxa" w:w="90"/>
              <w:bottom w:type="dxa" w:w="55"/>
              <w:right w:type="dxa" w:w="90"/>
            </w:tcMar>
          </w:tcPr>
          <w:p>
            <w:r>
              <w:t>Screening by reference: human rights (HRA s6)</w:t>
            </w:r>
          </w:p>
        </w:tc>
        <w:tc>
          <w:tcPr>
            <w:tcW w:type="dxa" w:w="6738"/>
            <w:tcMar>
              <w:top w:type="dxa" w:w="55"/>
              <w:left w:type="dxa" w:w="90"/>
              <w:bottom w:type="dxa" w:w="55"/>
              <w:right w:type="dxa" w:w="90"/>
            </w:tcMar>
          </w:tcPr>
          <w:p>
            <w:r>
              <w:t>Covering assessment, Evidence ID, version or as-at date, owner, status (must be Accepted), and date completed or last reviewed (within 12 months, review date not passed; if older, the owner’s recorded “still holds” review ref): ______ · Within scope? Yes / No · Reasoned outcome, naming the rights considered: ______ · Conditions carried over: ______ · Legal Services consulted if engagement is possible or uncertain</w:t>
            </w:r>
          </w:p>
        </w:tc>
      </w:tr>
      <w:tr>
        <w:tc>
          <w:tcPr>
            <w:tcW w:type="dxa" w:w="2900"/>
            <w:shd w:fill="EEF1F5" w:val="clear"/>
            <w:tcMar>
              <w:top w:type="dxa" w:w="55"/>
              <w:left w:type="dxa" w:w="90"/>
              <w:bottom w:type="dxa" w:w="55"/>
              <w:right w:type="dxa" w:w="90"/>
            </w:tcMar>
          </w:tcPr>
          <w:p>
            <w:r>
              <w:t>Screening by reference: data protection</w:t>
            </w:r>
          </w:p>
        </w:tc>
        <w:tc>
          <w:tcPr>
            <w:tcW w:type="dxa" w:w="6738"/>
            <w:tcMar>
              <w:top w:type="dxa" w:w="55"/>
              <w:left w:type="dxa" w:w="90"/>
              <w:bottom w:type="dxa" w:w="55"/>
              <w:right w:type="dxa" w:w="90"/>
            </w:tcMar>
          </w:tcPr>
          <w:p>
            <w:r>
              <w:t>Covering DPIA or screening, Evidence ID, version or as-at date, owner, status (must be Accepted), and date completed or last reviewed (within 12 months, review date not passed; if older, the owner’s recorded “still holds” review ref): ______ · Within scope? Yes / No · DPO confirms applicability, purpose compatibility, lawful basis, records of processing and privacy information for this use: ______ · Conditions carried over: ______ · If any row is No or has no covering assessment, screen what is new (AIG-ASS-06, AIG-ASS-07, AIG-ASS-05). The decision-maker sees these outcomes before deciding (Playbook §4.6).</w:t>
            </w:r>
          </w:p>
        </w:tc>
      </w:tr>
    </w:tbl>
    <w:p>
      <w:pPr>
        <w:spacing w:after="80" w:before="170"/>
      </w:pPr>
      <w:r>
        <w:t>Part D. Confirmation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38"/>
      </w:tblGrid>
      <w:tr>
        <w:tc>
          <w:tcPr>
            <w:tcW w:type="dxa" w:w="2900"/>
            <w:shd w:fill="EEF1F5" w:val="clear"/>
            <w:tcMar>
              <w:top w:type="dxa" w:w="55"/>
              <w:left w:type="dxa" w:w="90"/>
              <w:bottom w:type="dxa" w:w="55"/>
              <w:right w:type="dxa" w:w="90"/>
            </w:tcMar>
          </w:tcPr>
          <w:p>
            <w:r>
              <w:t>Completed by (Service Owner)</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Date</w:t>
            </w:r>
          </w:p>
        </w:tc>
        <w:tc>
          <w:tcPr>
            <w:tcW w:type="dxa" w:w="6738"/>
            <w:tcMar>
              <w:top w:type="dxa" w:w="55"/>
              <w:left w:type="dxa" w:w="90"/>
              <w:bottom w:type="dxa" w:w="55"/>
              <w:right w:type="dxa" w:w="90"/>
            </w:tcMar>
          </w:tcPr>
          <w:p>
            <w:r>
              <w:rPr>
                <w:rFonts w:ascii="Arial" w:cs="Arial" w:eastAsia="Arial" w:hAnsi="Arial"/>
                <w:color w:val="1A1A1A"/>
                <w:sz w:val="20"/>
                <w:szCs w:val="20"/>
              </w:rPr>
            </w:r>
          </w:p>
        </w:tc>
      </w:tr>
      <w:tr>
        <w:tc>
          <w:tcPr>
            <w:tcW w:type="dxa" w:w="2900"/>
            <w:shd w:fill="EEF1F5" w:val="clear"/>
            <w:tcMar>
              <w:top w:type="dxa" w:w="55"/>
              <w:left w:type="dxa" w:w="90"/>
              <w:bottom w:type="dxa" w:w="55"/>
              <w:right w:type="dxa" w:w="90"/>
            </w:tcMar>
          </w:tcPr>
          <w:p>
            <w:r>
              <w:t>AI Governance Lead validation / confirmation</w:t>
            </w:r>
          </w:p>
        </w:tc>
        <w:tc>
          <w:tcPr>
            <w:tcW w:type="dxa" w:w="6738"/>
            <w:tcMar>
              <w:top w:type="dxa" w:w="55"/>
              <w:left w:type="dxa" w:w="90"/>
              <w:bottom w:type="dxa" w:w="55"/>
              <w:right w:type="dxa" w:w="90"/>
            </w:tcMar>
          </w:tcPr>
          <w:p>
            <w:r>
              <w:rPr>
                <w:rFonts w:ascii="Arial" w:cs="Arial" w:eastAsia="Arial" w:hAnsi="Arial"/>
                <w:color w:val="1A1A1A"/>
                <w:sz w:val="20"/>
                <w:szCs w:val="20"/>
              </w:rPr>
              <w:t>Confirm all ten answers are No, submission is complete, no mandatory trigger applies, and Light-touch / Low / Priority 4 or 5 may be entered in the Register</w:t>
            </w:r>
          </w:p>
        </w:tc>
      </w:tr>
      <w:tr>
        <w:tc>
          <w:tcPr>
            <w:tcW w:type="dxa" w:w="2900"/>
            <w:shd w:fill="EEF1F5" w:val="clear"/>
            <w:tcMar>
              <w:top w:type="dxa" w:w="55"/>
              <w:left w:type="dxa" w:w="90"/>
              <w:bottom w:type="dxa" w:w="55"/>
              <w:right w:type="dxa" w:w="90"/>
            </w:tcMar>
          </w:tcPr>
          <w:p>
            <w:r>
              <w:t>Re-triage trigger</w:t>
            </w:r>
          </w:p>
        </w:tc>
        <w:tc>
          <w:tcPr>
            <w:tcW w:type="dxa" w:w="6738"/>
            <w:tcMar>
              <w:top w:type="dxa" w:w="55"/>
              <w:left w:type="dxa" w:w="90"/>
              <w:bottom w:type="dxa" w:w="55"/>
              <w:right w:type="dxa" w:w="90"/>
            </w:tcMar>
          </w:tcPr>
          <w:p>
            <w:r>
              <w:t>If any Part B answer changes to Yes or Unsure, a mandatory trigger appears, or a material change occurs, re-enter full Intake (AIG-INV-03) and triage</w:t>
            </w:r>
          </w:p>
        </w:tc>
      </w:tr>
    </w:tbl>
    <w:p>
      <w:pPr>
        <w:spacing w:after="60" w:before="160"/>
      </w:pPr>
      <w:r>
        <w:t>Document control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738"/>
      </w:tblGrid>
      <w:tr>
        <w:tc>
          <w:tcPr>
            <w:tcW w:type="dxa" w:w="2900"/>
            <w:shd w:fill="EEF1F5" w:val="clear"/>
            <w:tcMar>
              <w:top w:type="dxa" w:w="55"/>
              <w:left w:type="dxa" w:w="90"/>
              <w:bottom w:type="dxa" w:w="55"/>
              <w:right w:type="dxa" w:w="90"/>
            </w:tcMar>
          </w:tcPr>
          <w:p>
            <w:r>
              <w:t>Document ID</w:t>
            </w:r>
          </w:p>
        </w:tc>
        <w:tc>
          <w:tcPr>
            <w:tcW w:type="dxa" w:w="6738"/>
            <w:tcMar>
              <w:top w:type="dxa" w:w="55"/>
              <w:left w:type="dxa" w:w="90"/>
              <w:bottom w:type="dxa" w:w="55"/>
              <w:right w:type="dxa" w:w="90"/>
            </w:tcMar>
          </w:tcPr>
          <w:p>
            <w:r>
              <w:t>AIG-INV-02</w:t>
            </w:r>
          </w:p>
        </w:tc>
      </w:tr>
      <w:tr>
        <w:tc>
          <w:tcPr>
            <w:tcW w:type="dxa" w:w="2900"/>
            <w:shd w:fill="EEF1F5" w:val="clear"/>
            <w:tcMar>
              <w:top w:type="dxa" w:w="55"/>
              <w:left w:type="dxa" w:w="90"/>
              <w:bottom w:type="dxa" w:w="55"/>
              <w:right w:type="dxa" w:w="90"/>
            </w:tcMar>
          </w:tcPr>
          <w:p>
            <w:r>
              <w:t>Version</w:t>
            </w:r>
          </w:p>
        </w:tc>
        <w:tc>
          <w:tcPr>
            <w:tcW w:type="dxa" w:w="6738"/>
            <w:tcMar>
              <w:top w:type="dxa" w:w="55"/>
              <w:left w:type="dxa" w:w="90"/>
              <w:bottom w:type="dxa" w:w="55"/>
              <w:right w:type="dxa" w:w="90"/>
            </w:tcMar>
          </w:tcPr>
          <w:p>
            <w:r>
              <w:t>1.10 draft</w:t>
            </w:r>
          </w:p>
        </w:tc>
      </w:tr>
      <w:tr>
        <w:tc>
          <w:tcPr>
            <w:tcW w:type="dxa" w:w="2900"/>
            <w:shd w:fill="EEF1F5" w:val="clear"/>
            <w:tcMar>
              <w:top w:type="dxa" w:w="55"/>
              <w:left w:type="dxa" w:w="90"/>
              <w:bottom w:type="dxa" w:w="55"/>
              <w:right w:type="dxa" w:w="90"/>
            </w:tcMar>
          </w:tcPr>
          <w:p>
            <w:r>
              <w:t>Status</w:t>
            </w:r>
          </w:p>
        </w:tc>
        <w:tc>
          <w:tcPr>
            <w:tcW w:type="dxa" w:w="6738"/>
            <w:tcMar>
              <w:top w:type="dxa" w:w="55"/>
              <w:left w:type="dxa" w:w="90"/>
              <w:bottom w:type="dxa" w:w="55"/>
              <w:right w:type="dxa" w:w="90"/>
            </w:tcMar>
          </w:tcPr>
          <w:p>
            <w:r>
              <w:t xml:space="preserve">Draft for Council review</w:t>
            </w:r>
          </w:p>
        </w:tc>
      </w:tr>
      <w:tr>
        <w:tc>
          <w:tcPr>
            <w:tcW w:type="dxa" w:w="2900"/>
            <w:shd w:fill="EEF1F5" w:val="clear"/>
            <w:tcMar>
              <w:top w:type="dxa" w:w="55"/>
              <w:left w:type="dxa" w:w="90"/>
              <w:bottom w:type="dxa" w:w="55"/>
              <w:right w:type="dxa" w:w="90"/>
            </w:tcMar>
          </w:tcPr>
          <w:p>
            <w:r>
              <w:t>Owner</w:t>
            </w:r>
          </w:p>
        </w:tc>
        <w:tc>
          <w:tcPr>
            <w:tcW w:type="dxa" w:w="6738"/>
            <w:tcMar>
              <w:top w:type="dxa" w:w="55"/>
              <w:left w:type="dxa" w:w="90"/>
              <w:bottom w:type="dxa" w:w="55"/>
              <w:right w:type="dxa" w:w="90"/>
            </w:tcMar>
          </w:tcPr>
          <w:p>
            <w:r>
              <w:t>AI Governance Lead</w:t>
            </w:r>
          </w:p>
        </w:tc>
      </w:tr>
      <w:tr>
        <w:tc>
          <w:tcPr>
            <w:tcW w:type="dxa" w:w="2900"/>
            <w:shd w:fill="EEF1F5" w:val="clear"/>
            <w:tcMar>
              <w:top w:type="dxa" w:w="55"/>
              <w:left w:type="dxa" w:w="90"/>
              <w:bottom w:type="dxa" w:w="55"/>
              <w:right w:type="dxa" w:w="90"/>
            </w:tcMar>
          </w:tcPr>
          <w:p>
            <w:r>
              <w:t>Date</w:t>
            </w:r>
          </w:p>
        </w:tc>
        <w:tc>
          <w:tcPr>
            <w:tcW w:type="dxa" w:w="6738"/>
            <w:tcMar>
              <w:top w:type="dxa" w:w="55"/>
              <w:left w:type="dxa" w:w="90"/>
              <w:bottom w:type="dxa" w:w="55"/>
              <w:right w:type="dxa" w:w="90"/>
            </w:tcMar>
          </w:tcPr>
          <w:p>
            <w:r>
              <w:t>12 October 2026</w:t>
            </w:r>
          </w:p>
        </w:tc>
      </w:tr>
      <w:tr>
        <w:tc>
          <w:tcPr>
            <w:tcW w:type="dxa" w:w="2900"/>
            <w:shd w:fill="EEF1F5" w:val="clear"/>
            <w:tcMar>
              <w:top w:type="dxa" w:w="55"/>
              <w:left w:type="dxa" w:w="90"/>
              <w:bottom w:type="dxa" w:w="55"/>
              <w:right w:type="dxa" w:w="90"/>
            </w:tcMar>
          </w:tcPr>
          <w:p>
            <w:r>
              <w:t>Purpose</w:t>
            </w:r>
          </w:p>
        </w:tc>
        <w:tc>
          <w:tcPr>
            <w:tcW w:type="dxa" w:w="6738"/>
            <w:tcMar>
              <w:top w:type="dxa" w:w="55"/>
              <w:left w:type="dxa" w:w="90"/>
              <w:bottom w:type="dxa" w:w="55"/>
              <w:right w:type="dxa" w:w="90"/>
            </w:tcMar>
          </w:tcPr>
          <w:p>
            <w:r>
              <w:t>A proportionate light path with a conservative front-door screen. Fast Track is a routing aid only; it cannot authorise deployment, accept risk or bypass legal, privacy, security, procurement, specialist or agentic governance.</w:t>
            </w:r>
          </w:p>
        </w:tc>
      </w:tr>
      <w:tr>
        <w:tc>
          <w:tcPr>
            <w:tcW w:type="dxa" w:w="2900"/>
            <w:shd w:fill="EEF1F5" w:val="clear"/>
            <w:tcMar>
              <w:top w:type="dxa" w:w="55"/>
              <w:left w:type="dxa" w:w="90"/>
              <w:bottom w:type="dxa" w:w="55"/>
              <w:right w:type="dxa" w:w="90"/>
            </w:tcMar>
          </w:tcPr>
          <w:p>
            <w:r>
              <w:t>Classification</w:t>
            </w:r>
          </w:p>
        </w:tc>
        <w:tc>
          <w:tcPr>
            <w:tcW w:type="dxa" w:w="6738"/>
            <w:tcMar>
              <w:top w:type="dxa" w:w="55"/>
              <w:left w:type="dxa" w:w="90"/>
              <w:bottom w:type="dxa" w:w="55"/>
              <w:right w:type="dxa" w:w="90"/>
            </w:tcMar>
          </w:tcPr>
          <w:p>
            <w:r>
              <w:t>OFFICIAL</w:t>
            </w:r>
          </w:p>
        </w:tc>
      </w:tr>
      <w:tr>
        <w:tc>
          <w:tcPr>
            <w:tcW w:type="dxa" w:w="2900"/>
            <w:shd w:fill="EEF1F5" w:val="clear"/>
            <w:tcMar>
              <w:top w:type="dxa" w:w="55"/>
              <w:left w:type="dxa" w:w="90"/>
              <w:bottom w:type="dxa" w:w="55"/>
              <w:right w:type="dxa" w:w="90"/>
            </w:tcMar>
          </w:tcPr>
          <w:p>
            <w:r>
              <w:t>Change (1.3 draft)</w:t>
            </w:r>
          </w:p>
        </w:tc>
        <w:tc>
          <w:tcPr>
            <w:tcW w:type="dxa" w:w="6738"/>
            <w:tcMar>
              <w:top w:type="dxa" w:w="55"/>
              <w:left w:type="dxa" w:w="90"/>
              <w:bottom w:type="dxa" w:w="55"/>
              <w:right w:type="dxa" w:w="90"/>
            </w:tcMar>
          </w:tcPr>
          <w:p>
            <w:r>
              <w:t>This form is now the single home of the ten screening questions; the AI Intake Form (AIG-INV-03) records its result instead of repeating them.</w:t>
            </w:r>
          </w:p>
        </w:tc>
      </w:tr>
      <w:tr>
        <w:tc>
          <w:tcPr>
            <w:tcW w:type="dxa" w:w="2900"/>
            <w:shd w:fill="EEF1F5" w:val="clear"/>
            <w:tcMar>
              <w:top w:type="dxa" w:w="55"/>
              <w:left w:type="dxa" w:w="90"/>
              <w:bottom w:type="dxa" w:w="55"/>
              <w:right w:type="dxa" w:w="90"/>
            </w:tcMar>
          </w:tcPr>
          <w:p>
            <w:r>
              <w:t xml:space="preserve">Change (1.4 draft, 29 September 2026)</w:t>
            </w:r>
          </w:p>
        </w:tc>
        <w:tc>
          <w:tcPr>
            <w:tcW w:type="dxa" w:w="6738"/>
            <w:tcMar>
              <w:top w:type="dxa" w:w="55"/>
              <w:left w:type="dxa" w:w="90"/>
              <w:bottom w:type="dxa" w:w="55"/>
              <w:right w:type="dxa" w:w="90"/>
            </w:tcMar>
          </w:tcPr>
          <w:p>
            <w:r>
              <w:t xml:space="preserve">QA remediation — applied findings QA-012, QA-013, QA-097, QA-120, QA-185, QA-200 (see QA change log). Fast Track stated as a step within AI Intake; provisional reference replaces the AIR-ID field in Part A; AIR-ID, delegated decision (AIG-DEC-03) and Gate Event (AIG-DEC-04) rows added to Part C.</w:t>
            </w:r>
          </w:p>
        </w:tc>
      </w:tr>
      <w:tr>
        <w:tc>
          <w:tcPr>
            <w:tcW w:type="dxa" w:w="2900"/>
            <w:shd w:fill="EEF1F5" w:val="clear"/>
            <w:tcMar>
              <w:top w:type="dxa" w:w="55"/>
              <w:left w:type="dxa" w:w="90"/>
              <w:bottom w:type="dxa" w:w="55"/>
              <w:right w:type="dxa" w:w="90"/>
            </w:tcMar>
          </w:tcPr>
          <w:p>
            <w:r>
              <w:t xml:space="preserve">Change (1.5 draft, 30 September 2026)</w:t>
            </w:r>
          </w:p>
        </w:tc>
        <w:tc>
          <w:tcPr>
            <w:tcW w:type="dxa" w:w="6738"/>
            <w:tcMar>
              <w:top w:type="dxa" w:w="55"/>
              <w:left w:type="dxa" w:w="90"/>
              <w:bottom w:type="dxa" w:w="55"/>
              <w:right w:type="dxa" w:w="90"/>
            </w:tcMar>
          </w:tcPr>
          <w:p>
            <w:r>
              <w:t xml:space="preserve">v3.9.1: standards cross-reference note updated to the 54-entry requirement inventory (AIG-AIMS-05 REQ-054, Civil Contingencies Act 2004, added).</w:t>
            </w:r>
          </w:p>
        </w:tc>
      </w:tr>
      <w:tr>
        <w:tc>
          <w:tcPr>
            <w:tcW w:type="dxa" w:w="2900"/>
            <w:shd w:fill="EEF1F5" w:val="clear"/>
            <w:tcMar>
              <w:top w:type="dxa" w:w="55"/>
              <w:left w:type="dxa" w:w="90"/>
              <w:bottom w:type="dxa" w:w="55"/>
              <w:right w:type="dxa" w:w="90"/>
            </w:tcMar>
          </w:tcPr>
          <w:p>
            <w:r>
              <w:t xml:space="preserve">Change (1.6 draft, 1 October 2026)</w:t>
            </w:r>
          </w:p>
        </w:tc>
        <w:tc>
          <w:tcPr>
            <w:tcW w:type="dxa" w:w="6738"/>
            <w:tcMar>
              <w:top w:type="dxa" w:w="55"/>
              <w:left w:type="dxa" w:w="90"/>
              <w:bottom w:type="dxa" w:w="55"/>
              <w:right w:type="dxa" w:w="90"/>
            </w:tcMar>
          </w:tcPr>
          <w:p>
            <w:r>
              <w:t xml:space="preserve">v3.9.3: standards cross-reference note cites the 55-entry requirement inventory (AIG-AIMS-05 REQ-055, NIST AI 600-1 Generative AI Profile, added).</w:t>
            </w:r>
          </w:p>
        </w:tc>
      </w:tr>
      <w:tr>
        <w:tc>
          <w:tcPr>
            <w:tcW w:type="dxa" w:w="2900"/>
            <w:shd w:fill="EEF1F5" w:val="clear"/>
            <w:tcMar>
              <w:top w:type="dxa" w:w="55"/>
              <w:left w:type="dxa" w:w="90"/>
              <w:bottom w:type="dxa" w:w="55"/>
              <w:right w:type="dxa" w:w="90"/>
            </w:tcMar>
          </w:tcPr>
          <w:p>
            <w:r>
              <w:t>Change (1.7 draft, 2 October 2026)</w:t>
            </w:r>
          </w:p>
        </w:tc>
        <w:tc>
          <w:tcPr>
            <w:tcW w:type="dxa" w:w="6738"/>
            <w:tcMar>
              <w:top w:type="dxa" w:w="55"/>
              <w:left w:type="dxa" w:w="90"/>
              <w:bottom w:type="dxa" w:w="55"/>
              <w:right w:type="dxa" w:w="90"/>
            </w:tcMar>
          </w:tcPr>
          <w:p>
            <w:r>
              <w:t>v3.9.5: standards cross-reference note cites the 56-entry requirement inventory (AIG-AIMS-05 REQ-056, SI 2026/425 ICO statutory code of practice on AI and automated decision-making, added). Proposed — for Council confirmation.</w:t>
            </w:r>
          </w:p>
        </w:tc>
      </w:tr>
      <w:tr>
        <w:tc>
          <w:tcPr>
            <w:tcW w:type="dxa" w:w="2900"/>
            <w:shd w:fill="EEF1F5" w:val="clear"/>
            <w:tcMar>
              <w:top w:type="dxa" w:w="55"/>
              <w:left w:type="dxa" w:w="90"/>
              <w:bottom w:type="dxa" w:w="55"/>
              <w:right w:type="dxa" w:w="90"/>
            </w:tcMar>
          </w:tcPr>
          <w:p>
            <w:r>
              <w:t>Change (1.8 draft, 3 October 2026)</w:t>
            </w:r>
          </w:p>
        </w:tc>
        <w:tc>
          <w:tcPr>
            <w:tcW w:type="dxa" w:w="6738"/>
            <w:tcMar>
              <w:top w:type="dxa" w:w="55"/>
              <w:left w:type="dxa" w:w="90"/>
              <w:bottom w:type="dxa" w:w="55"/>
              <w:right w:type="dxa" w:w="90"/>
            </w:tcMar>
          </w:tcPr>
          <w:p>
            <w:r>
              <w:t>v3.9.7: Q2 and Q5 reworded so ordinary staff tools are not screened out by default. Q2 now asks about special-category, criminal offence or confidential/restricted data, profiling, or personal data the user could not already open; ordinary personal data the user already handles is No. Q5 now asks about residents or the public, or external publication; staff using a tool for their own work is No. Q3 still catches any output that could influence a decision about a resident or employee. Formatting fix: question rows were shaded as header rows, so typed answers were hard to read; answers now sit on white. Light-touch is now recorded as “Light-touch / Low / Priority 4 or 5”, matching the Playbook rule that Light-touch is open to Priority 4 and 5 uses (AGPI Priority 5 – Observe was previously left out of the wording). Part C adds three Screening by reference rows (equality, human rights, data protection) so a Light-touch use can cite a current covering assessment with its applicability checked (Playbook §4.6); Q7 notes that a new use of an unchanged approved system is not “materially changed”; the AIR-ID row allows an existing AIR-ID. Proposed for Council confirmation.</w:t>
            </w:r>
          </w:p>
        </w:tc>
      </w:tr>
      <w:tr>
        <w:tc>
          <w:tcPr>
            <w:tcW w:type="dxa" w:w="2900"/>
            <w:shd w:fill="EEF1F5" w:val="clear"/>
            <w:tcMar>
              <w:top w:type="dxa" w:w="55"/>
              <w:left w:type="dxa" w:w="90"/>
              <w:bottom w:type="dxa" w:w="55"/>
              <w:right w:type="dxa" w:w="90"/>
            </w:tcMar>
          </w:tcPr>
          <w:p>
            <w:r>
              <w:t>Change (1.9 draft, 3 October 2026)</w:t>
            </w:r>
          </w:p>
        </w:tc>
        <w:tc>
          <w:tcPr>
            <w:tcW w:type="dxa" w:w="6738"/>
            <w:tcMar>
              <w:top w:type="dxa" w:w="55"/>
              <w:left w:type="dxa" w:w="90"/>
              <w:bottom w:type="dxa" w:w="55"/>
              <w:right w:type="dxa" w:w="90"/>
            </w:tcMar>
          </w:tcPr>
          <w:p>
            <w:r>
              <w:t>v3.9.8: a cited assessment must be Accepted and completed or last reviewed within 12 months, with its own review date not passed, or carry its owner’s recorded “still holds” review (Playbook §4.6); the Screening unit line reads Low / Priority 4 or 5 and notes that an all-No screen with a tier above Low keeps the higher tier. Proposed for Council confirmation.</w:t>
            </w:r>
          </w:p>
        </w:tc>
      </w:tr>
      <w:tr>
        <w:tc>
          <w:tcPr>
            <w:tcW w:type="dxa" w:w="2900"/>
            <w:shd w:fill="EEF1F5" w:val="clear"/>
            <w:tcMar>
              <w:top w:type="dxa" w:w="55"/>
              <w:left w:type="dxa" w:w="90"/>
              <w:bottom w:type="dxa" w:w="55"/>
              <w:right w:type="dxa" w:w="90"/>
            </w:tcMar>
          </w:tcPr>
          <w:p>
            <w:r>
              <w:t>Change (1.10 draft, 12 October 2026)</w:t>
            </w:r>
          </w:p>
        </w:tc>
        <w:tc>
          <w:tcPr>
            <w:tcW w:type="dxa" w:w="6738"/>
            <w:tcMar>
              <w:top w:type="dxa" w:w="55"/>
              <w:left w:type="dxa" w:w="90"/>
              <w:bottom w:type="dxa" w:w="55"/>
              <w:right w:type="dxa" w:w="90"/>
            </w:tcMar>
          </w:tcPr>
          <w:p>
            <w:r>
              <w:t>v3.9.10: standards cross-reference note cites the 58-entry requirement inventory (AIG-AIMS-05 REQ-057 DAMA-DMBOK and REQ-058 ISO/IEC 5259, added as voluntary data governance references). Proposed — for Council confirmation.</w:t>
            </w:r>
          </w:p>
        </w:tc>
      </w:tr>
    </w:tbl>
    <w:p>
      <w:r>
        <w:t>Fast-Track control boundary</w:t>
      </w:r>
    </w:p>
    <w:p>
      <w:r>
        <w:t>This screen is a routing aid only. It cannot authorise deployment, accept risk or override legal, security, privacy, procurement or other specialist authority.</w:t>
      </w:r>
    </w:p>
    <w:p>
      <w:r>
        <w:t>• Light-touch applies only where every Part B answer is No, no mandatory trigger is present and the AI Governance Lead validates the route.</w:t>
      </w:r>
    </w:p>
    <w:p>
      <w:r>
        <w:t>• If any trigger is present, the screen routes the AI into the appropriate standard or enhanced pathway.</w:t>
      </w:r>
    </w:p>
    <w:p>
      <w:r>
        <w:t>• The screen should not repeat questions already answered in the Intake or Register.</w:t>
      </w:r>
    </w:p>
    <w:p>
      <w:r>
        <w:br w:type="page"/>
      </w:r>
    </w:p>
    <w:p>
      <w:r>
        <w:rPr>
          <w:b/>
          <w:sz w:val="30"/>
        </w:rPr>
        <w:t>Annex — Fast-track identity and re-entry rules</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w:t>
      </w:r>
    </w:p>
    <w:p>
      <w:r>
        <w:t>• A provisional discovery/case reference tracks disclosure while facts are established; it is not AIR-ID or permanent key. Governance assigns AIR-ID when registering in AI Register (AIG-INV-04). An all-No outcome is only provisional eligibility: it creates neither AIR-ID nor permission to use/deploy. Governance validates completeness/no trigger, creates light Register entry and assigns AIR-ID.</w:t>
      </w:r>
    </w:p>
    <w:p>
      <w:r>
        <w:rPr>
          <w:b/>
          <w:sz w:val="24"/>
        </w:rPr>
        <w:t>Fast Track boundary</w:t>
      </w:r>
    </w:p>
    <w:p>
      <w:r>
        <w:t>• Any Yes/Unsure, incomplete/unknown facts, mandatory trigger or discovery of already-operating AI routes to full Intake (AIG-INV-03) and full triage. If it can act, use tools or delegate, Agentic Triage (AIG-AGT-03) is mandatory.</w:t>
      </w:r>
    </w:p>
    <w:p>
      <w:r>
        <w:t>• Material change to purpose, data, model/supplier, audience, connection, capability, permission, action, authority or environment requires full Intake and triage re-entry before changed use, with AGPI (AIG-ASS-01), Risk Worksheet (AIG-ASS-02) and specialist reviews refreshed as applicable. A previous light route is not continuing approval.</w:t>
      </w:r>
    </w:p>
    <w:p>
      <w:r>
        <w:t>• For action-capable cases identify stable AG-ID paired with AIR-ID, cite exact ASBOM (AIG-AGT-04) version, and treat Authority Graph (AIG-AGT-05) solely as a derived view of ASBOM delegation edges. Low AGPI/risk does not remove agentic review.</w:t>
      </w:r>
    </w:p>
    <w:p>
      <w:r>
        <w:rPr>
          <w:b/>
          <w:sz w:val="24"/>
        </w:rPr>
        <w:t>Execution evidence</w:t>
      </w:r>
    </w:p>
    <w:p>
      <w:r>
        <w:t>• For consequential action, AIG-AGT-06 provides Action ID/evidence linked to AIR-ID, AG-ID and exact ASBOM version. Cross-reference AIG-OPS-03/AIG-OPS-02/AIG-DEC-04 when an incident, monitoring finding or gate follow-up applies. This evidence does not validate Fast Track, grant permission or constitute a gate decision.</w:t>
      </w:r>
    </w:p>
    <w:p>
      <w:r>
        <w:rPr>
          <w:b/>
          <w:sz w:val="24"/>
        </w:rPr>
        <w:t>Status of this proposed copy</w:t>
      </w:r>
    </w:p>
    <w:p>
      <w:pPr/>
      <w:r>
        <w:t>Fast Track boundary — proposed map does not determine eligibility</w:t>
      </w:r>
    </w:p>
    <w:p>
      <w:pPr/>
      <w:r>
        <w:t>Do not use AIG-INV-05 to qualify a system for Fast Track or to infer a low-risk/approved status. If the map is adopted, it may retain a descriptive UC/CAP draft alongside Intake (AIG-INV-03), but every eligibility answer and mandatory trigger must be validated from source evidence. A material change to the use case, system relationship, model, data, interface, tool or authority triggers the existing intake/re-entry and assessment route; AIR-ID and live status remain in AIG-INV-04.</w:t>
      </w:r>
    </w:p>
    <w:p>
      <w:r>
        <w:t>Proposed integrated draft; not approved and not effective. Original baseline content and tables are retained above. Formal approval, owner confirmation and document-control updates remain for the competent Council authority.</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REQ-032 — Regulation (EU) 2024/1689 (EU AI Act), consolidated and amended by enacted Regulation (EU) 2026/1744</w:t>
            </w:r>
          </w:p>
        </w:tc>
        <w:tc>
          <w:tcPr>
            <w:tcW w:type="dxa" w:w="3213"/>
          </w:tcPr>
          <w:p>
            <w:r>
              <w:t>Only after case-specific EU territorial, actor-role and material scope assessment.</w:t>
            </w:r>
          </w:p>
        </w:tc>
        <w:tc>
          <w:tcPr>
            <w:tcW w:type="dxa" w:w="3213"/>
          </w:tcPr>
          <w:p>
            <w:r>
              <w:t>https://eur-lex.europa.eu/legal-content/EN/TXT/HTML?uri=CELEX:02024R1689-20260727 ; amending Regulation (EU) 2026/1744: https://eur-lex.europa.eu/legal-content/EN/TXT/HTML/?uri=CELEX:32026R1744</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bl>
    <w:sectPr>
      <w:headerReference w:type="default" r:id="rId8"/>
      <w:footerReference w:type="default" r:id="rId9"/>
      <w:headerReference w:type="first" r:id="rId10"/>
      <w:headerReference w:type="even" r:id="rId11"/>
      <w:footerReference w:type="first"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AIG-INV-02  ·  v1.10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The Council — AI Fast-Track Screening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AIG-INV-02 AI Fast-Track Screening</dc:title>
  <dc:creator>AI Governance working draft</dc:creator>
  <cp:lastModifiedBy>AI Governance working draft</cp:lastModifiedBy>
  <cp:revision>1</cp:revision>
  <dcterms:created xsi:type="dcterms:W3CDTF">2026-09-19T16:15:44.391Z</dcterms:created>
  <dcterms:modified xsi:type="dcterms:W3CDTF">2026-09-19T16:15:44.392Z</dcterms:modified>
  <cp:version>1.9 draft</cp:version>
</cp:coreProperties>
</file>

<file path=docProps/custom.xml><?xml version="1.0" encoding="utf-8"?>
<Properties xmlns="http://schemas.openxmlformats.org/officeDocument/2006/custom-properties" xmlns:vt="http://schemas.openxmlformats.org/officeDocument/2006/docPropsVTypes"/>
</file>