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mc:Ignorable="w14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pStyle w:val="Title"/>
      </w:pPr>
      <w:r>
        <w:t>AIG-AGT-06 — Agentic Action / Decision Record</w:t>
      </w:r>
    </w:p>
    <w:p>
      <w:r>
        <w:t>The Council AI Governance Suite — Runtime Evidence Schema · v1.6 draft</w:t>
      </w:r>
    </w:p>
    <w:p>
      <w:pPr>
        <w:pStyle w:val="Heading1"/>
      </w:pPr>
      <w:r>
        <w:t>Purpose</w:t>
      </w:r>
    </w:p>
    <w:p>
      <w:r>
        <w:t>This is a runtime evidence record for consequential actions taken by an agentic AI system. It is normally generated automatically by the platform or runtime control plane and linked to the AIR-ID. It is not a manual form for Service Owners and does not require private chain-of-thought.</w:t>
      </w:r>
    </w:p>
    <w:p>
      <w:pPr>
        <w:pStyle w:val="Heading1"/>
      </w:pPr>
      <w:r>
        <w:t>When required</w:t>
      </w:r>
    </w:p>
    <w:p>
      <w:r>
        <w:t>Retain for consequential agentic actions, including actions that affect residents, alter authoritative records, invoke external systems, create material external side effects, exercise delegated authority, spend or commit funds, or otherwise meet the Council-defined action-evidence threshold.</w:t>
      </w:r>
    </w:p>
    <w:p>
      <w:pPr>
        <w:pStyle w:val="Heading1"/>
      </w:pPr>
      <w:r>
        <w:t>Minimum evidence schema</w:t>
      </w:r>
    </w:p>
    <w:p>
      <w:r>
        <w:t xml:space="preserve">The canonical field list is below, in this order. The Controlled fields table and the annex use the same fields and add none.</w:t>
      </w:r>
    </w:p>
    <w:p>
      <w:pPr>
        <w:pStyle w:val="ListBullet"/>
      </w:pPr>
      <w:r>
        <w:t xml:space="preserve">Action ID (unique identifier of this consequential execution)</w:t>
      </w:r>
    </w:p>
    <w:p>
      <w:pPr>
        <w:pStyle w:val="ListBullet"/>
      </w:pPr>
      <w:r>
        <w:t>AIR-ID</w:t>
      </w:r>
    </w:p>
    <w:p>
      <w:pPr>
        <w:pStyle w:val="ListBullet"/>
      </w:pPr>
      <w:r>
        <w:t xml:space="preserve">AG-ID (stable identifier of the individual agent, paired with the AIR-ID)</w:t>
      </w:r>
    </w:p>
    <w:p>
      <w:pPr>
        <w:pStyle w:val="ListBullet"/>
      </w:pPr>
      <w:r/>
      <w:r>
        <w:rPr>
          <w:b/>
        </w:rPr>
        <w:t xml:space="preserve">UC-ID / governed use — </w:t>
      </w:r>
      <w:r>
        <w:t xml:space="preserve">required for each consequential action. Every event links AIR-ID + UC-ID + action/authority version + UC-specific decision reference. If scope cannot be established, mark it unknown and escalate; AIR-ID alone is insufficient authorisation.</w:t>
      </w:r>
    </w:p>
    <w:p>
      <w:pPr>
        <w:pStyle w:val="ListBullet"/>
      </w:pPr>
      <w:r>
        <w:t xml:space="preserve">AIG-AGT-04 ASBOM version/revision and snapshot against which authority was evaluated</w:t>
      </w:r>
    </w:p>
    <w:p>
      <w:pPr>
        <w:pStyle w:val="ListBullet"/>
      </w:pPr>
      <w:r>
        <w:t xml:space="preserve">Source Edge ID(s) from the ASBOM Authority &amp; Delegations sheet</w:t>
      </w:r>
    </w:p>
    <w:p>
      <w:pPr>
        <w:pStyle w:val="ListBullet"/>
      </w:pPr>
      <w:r>
        <w:t>Agent identity and version</w:t>
      </w:r>
    </w:p>
    <w:p>
      <w:pPr>
        <w:pStyle w:val="ListBullet"/>
      </w:pPr>
      <w:r>
        <w:t>Timestamp</w:t>
      </w:r>
    </w:p>
    <w:p>
      <w:pPr>
        <w:pStyle w:val="ListBullet"/>
      </w:pPr>
      <w:r>
        <w:t>Authority / mandate invoked</w:t>
      </w:r>
    </w:p>
    <w:p>
      <w:pPr>
        <w:pStyle w:val="ListBullet"/>
      </w:pPr>
      <w:r>
        <w:t>Objective or action context</w:t>
      </w:r>
    </w:p>
    <w:p>
      <w:pPr>
        <w:pStyle w:val="ListBullet"/>
      </w:pPr>
      <w:r>
        <w:t>Action and tool/interface used</w:t>
      </w:r>
    </w:p>
    <w:p>
      <w:pPr>
        <w:pStyle w:val="ListBullet"/>
      </w:pPr>
      <w:r>
        <w:t>Relevant policy or governance decision</w:t>
      </w:r>
    </w:p>
    <w:p>
      <w:pPr>
        <w:pStyle w:val="ListBullet"/>
      </w:pPr>
      <w:r>
        <w:t>Human approval, override or oversight state</w:t>
      </w:r>
    </w:p>
    <w:p>
      <w:pPr>
        <w:pStyle w:val="ListBullet"/>
      </w:pPr>
      <w:r>
        <w:t>Outcome / result</w:t>
      </w:r>
    </w:p>
    <w:p>
      <w:pPr>
        <w:pStyle w:val="ListBullet"/>
      </w:pPr>
      <w:r>
        <w:t>Reversibility or compensating-action status</w:t>
      </w:r>
    </w:p>
    <w:p>
      <w:pPr>
        <w:pStyle w:val="ListBullet"/>
      </w:pPr>
      <w:r>
        <w:t>Evidence / log reference</w:t>
      </w:r>
    </w:p>
    <w:p>
      <w:pPr>
        <w:pStyle w:val="ListBullet"/>
      </w:pPr>
      <w:r>
        <w:t>Runtime control state (where relevant)</w:t>
      </w:r>
    </w:p>
    <w:p>
      <w:pPr>
        <w:pStyle w:val="ListBullet"/>
      </w:pPr>
      <w:r>
        <w:t>Exception, incident or escalation reference (where relevant)</w:t>
      </w:r>
    </w:p>
    <w:p>
      <w:pPr>
        <w:pStyle w:val="Heading1"/>
      </w:pPr>
      <w:r>
        <w:t>Control principles</w:t>
      </w:r>
    </w:p>
    <w:p>
      <w:pPr>
        <w:pStyle w:val="ListBullet"/>
      </w:pPr>
      <w:r>
        <w:t>The runtime platform should generate the record wherever technically feasible.</w:t>
      </w:r>
    </w:p>
    <w:p>
      <w:pPr>
        <w:pStyle w:val="ListBullet"/>
      </w:pPr>
      <w:r>
        <w:t>The record must be retrievable against the AIR-ID and retained in accordance with the Council retention policy.</w:t>
      </w:r>
    </w:p>
    <w:p>
      <w:pPr>
        <w:pStyle w:val="ListBullet"/>
      </w:pPr>
      <w:r>
        <w:t>Evidence must be sufficient to reconstruct the consequential action without requiring private model chain-of-thought.</w:t>
      </w:r>
    </w:p>
    <w:p>
      <w:pPr>
        <w:pStyle w:val="ListBullet"/>
      </w:pPr>
      <w:r>
        <w:t>Where the action exceeded authority, triggered an exception or failed a control, the event must route into incident/reassessment processes.</w:t>
      </w:r>
    </w:p>
    <w:p>
      <w:pPr>
        <w:pStyle w:val="ListBullet"/>
      </w:pPr>
      <w:r>
        <w:t>This schema complements the Agent Record / ASBOM; it does not replace the agent authority envelope.</w:t>
      </w:r>
    </w:p>
    <w:p>
      <w:r>
        <w:t xml:space="preserve">Monitoring link: retain the action identifier with any denied tool call, authority change, memory write, delegation, new external destination, human override or containment event. AIG-OPS-02 holds the corresponding aggregate threshold, review owner and breach result; where applicable AIG-OPS-03 records an incident and AIG-DEC-04 the dated gate event or condition, with the governance decision itself in AIG-DEC-03 or approved minutes. A document or sample log is not proof that full runtime logging is operating.</w:t>
      </w:r>
    </w:p>
    <w:p>
      <w:pPr>
        <w:pStyle w:val="Heading1"/>
      </w:pPr>
      <w:r>
        <w:t>Controlled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Required</w:t>
            </w:r>
          </w:p>
        </w:tc>
        <w:tc>
          <w:tcPr>
            <w:tcW w:type="dxa" w:w="2880"/>
          </w:tcPr>
          <w:p>
            <w:r>
              <w:t>Source</w:t>
            </w:r>
          </w:p>
        </w:tc>
      </w:tr>
      <w:tr>
        <w:tc>
          <w:tcPr>
            <w:tcW w:type="dxa" w:w="2880"/>
          </w:tcPr>
          <w:p>
            <w:r>
              <w:t xml:space="preserve">Action ID</w:t>
            </w:r>
          </w:p>
        </w:tc>
        <w:tc>
          <w:tcPr>
            <w:tcW w:type="dxa" w:w="2880"/>
          </w:tcPr>
          <w:p>
            <w:r>
              <w:t xml:space="preserve">Yes</w:t>
            </w:r>
          </w:p>
        </w:tc>
        <w:tc>
          <w:tcPr>
            <w:tcW w:type="dxa" w:w="2880"/>
          </w:tcPr>
          <w:p>
            <w:r>
              <w:t xml:space="preserve">Runtime / governance system</w:t>
            </w:r>
          </w:p>
        </w:tc>
      </w:tr>
      <w:tr>
        <w:tc>
          <w:tcPr>
            <w:tcW w:type="dxa" w:w="2880"/>
          </w:tcPr>
          <w:p>
            <w:r>
              <w:t>AIR-ID</w:t>
            </w:r>
          </w:p>
        </w:tc>
        <w:tc>
          <w:tcPr>
            <w:tcW w:type="dxa" w:w="2880"/>
          </w:tcPr>
          <w:p>
            <w:r>
              <w:t>Yes</w:t>
            </w:r>
          </w:p>
        </w:tc>
        <w:tc>
          <w:tcPr>
            <w:tcW w:type="dxa" w:w="2880"/>
          </w:tcPr>
          <w:p>
            <w:r>
              <w:t>Runtime / governance system</w:t>
            </w:r>
          </w:p>
        </w:tc>
      </w:tr>
      <w:tr>
        <w:tc>
          <w:tcPr>
            <w:tcW w:type="dxa" w:w="2880"/>
          </w:tcPr>
          <w:p>
            <w:r>
              <w:t xml:space="preserve">AG-ID</w:t>
            </w:r>
          </w:p>
        </w:tc>
        <w:tc>
          <w:tcPr>
            <w:tcW w:type="dxa" w:w="2880"/>
          </w:tcPr>
          <w:p>
            <w:r>
              <w:t xml:space="preserve">Yes</w:t>
            </w:r>
          </w:p>
        </w:tc>
        <w:tc>
          <w:tcPr>
            <w:tcW w:type="dxa" w:w="2880"/>
          </w:tcPr>
          <w:p>
            <w:r>
              <w:t xml:space="preserve">Runtime / governance system</w:t>
            </w:r>
          </w:p>
        </w:tc>
      </w:tr>
      <w:tr>
        <w:tc>
          <w:tcPr>
            <w:tcW w:type="dxa" w:w="2880"/>
          </w:tcPr>
          <w:p>
            <w:r>
              <w:t xml:space="preserve">UC-ID</w:t>
            </w:r>
          </w:p>
        </w:tc>
        <w:tc>
          <w:tcPr>
            <w:tcW w:type="dxa" w:w="2880"/>
          </w:tcPr>
          <w:p>
            <w:r>
              <w:t xml:space="preserve">Yes</w:t>
            </w:r>
          </w:p>
        </w:tc>
        <w:tc>
          <w:tcPr>
            <w:tcW w:type="dxa" w:w="2880"/>
          </w:tcPr>
          <w:p>
            <w:r>
              <w:t xml:space="preserve">Runtime / governance system</w:t>
            </w:r>
          </w:p>
        </w:tc>
      </w:tr>
      <w:tr>
        <w:tc>
          <w:tcPr>
            <w:tcW w:type="dxa" w:w="2880"/>
          </w:tcPr>
          <w:p>
            <w:r>
              <w:t xml:space="preserve">ASBOM version/revision</w:t>
            </w:r>
          </w:p>
        </w:tc>
        <w:tc>
          <w:tcPr>
            <w:tcW w:type="dxa" w:w="2880"/>
          </w:tcPr>
          <w:p>
            <w:r>
              <w:t xml:space="preserve">Yes</w:t>
            </w:r>
          </w:p>
        </w:tc>
        <w:tc>
          <w:tcPr>
            <w:tcW w:type="dxa" w:w="2880"/>
          </w:tcPr>
          <w:p>
            <w:r>
              <w:t xml:space="preserve">Runtime / governance system</w:t>
            </w:r>
          </w:p>
        </w:tc>
      </w:tr>
      <w:tr>
        <w:tc>
          <w:tcPr>
            <w:tcW w:type="dxa" w:w="2880"/>
          </w:tcPr>
          <w:p>
            <w:r>
              <w:t xml:space="preserve">Source Edge ID(s)</w:t>
            </w:r>
          </w:p>
        </w:tc>
        <w:tc>
          <w:tcPr>
            <w:tcW w:type="dxa" w:w="2880"/>
          </w:tcPr>
          <w:p>
            <w:r>
              <w:t xml:space="preserve">Yes</w:t>
            </w:r>
          </w:p>
        </w:tc>
        <w:tc>
          <w:tcPr>
            <w:tcW w:type="dxa" w:w="2880"/>
          </w:tcPr>
          <w:p>
            <w:r>
              <w:t xml:space="preserve">Runtime / governance system</w:t>
            </w:r>
          </w:p>
        </w:tc>
      </w:tr>
      <w:tr>
        <w:tc>
          <w:tcPr>
            <w:tcW w:type="dxa" w:w="2880"/>
          </w:tcPr>
          <w:p>
            <w:r>
              <w:t>Agent identity/version</w:t>
            </w:r>
          </w:p>
        </w:tc>
        <w:tc>
          <w:tcPr>
            <w:tcW w:type="dxa" w:w="2880"/>
          </w:tcPr>
          <w:p>
            <w:r>
              <w:t>Yes</w:t>
            </w:r>
          </w:p>
        </w:tc>
        <w:tc>
          <w:tcPr>
            <w:tcW w:type="dxa" w:w="2880"/>
          </w:tcPr>
          <w:p>
            <w:r>
              <w:t>Runtime / governance system</w:t>
            </w:r>
          </w:p>
        </w:tc>
      </w:tr>
      <w:tr>
        <w:tc>
          <w:tcPr>
            <w:tcW w:type="dxa" w:w="2880"/>
          </w:tcPr>
          <w:p>
            <w:r>
              <w:t>Timestamp</w:t>
            </w:r>
          </w:p>
        </w:tc>
        <w:tc>
          <w:tcPr>
            <w:tcW w:type="dxa" w:w="2880"/>
          </w:tcPr>
          <w:p>
            <w:r>
              <w:t>Yes</w:t>
            </w:r>
          </w:p>
        </w:tc>
        <w:tc>
          <w:tcPr>
            <w:tcW w:type="dxa" w:w="2880"/>
          </w:tcPr>
          <w:p>
            <w:r>
              <w:t>Runtime / governance system</w:t>
            </w:r>
          </w:p>
        </w:tc>
      </w:tr>
      <w:tr>
        <w:tc>
          <w:tcPr>
            <w:tcW w:type="dxa" w:w="2880"/>
          </w:tcPr>
          <w:p>
            <w:r>
              <w:t>Authority invoked</w:t>
            </w:r>
          </w:p>
        </w:tc>
        <w:tc>
          <w:tcPr>
            <w:tcW w:type="dxa" w:w="2880"/>
          </w:tcPr>
          <w:p>
            <w:r>
              <w:t>Yes</w:t>
            </w:r>
          </w:p>
        </w:tc>
        <w:tc>
          <w:tcPr>
            <w:tcW w:type="dxa" w:w="2880"/>
          </w:tcPr>
          <w:p>
            <w:r>
              <w:t>Runtime / governance system</w:t>
            </w:r>
          </w:p>
        </w:tc>
      </w:tr>
      <w:tr>
        <w:tc>
          <w:tcPr>
            <w:tcW w:type="dxa" w:w="2880"/>
          </w:tcPr>
          <w:p>
            <w:r>
              <w:t>Objective/context</w:t>
            </w:r>
          </w:p>
        </w:tc>
        <w:tc>
          <w:tcPr>
            <w:tcW w:type="dxa" w:w="2880"/>
          </w:tcPr>
          <w:p>
            <w:r>
              <w:t>Yes</w:t>
            </w:r>
          </w:p>
        </w:tc>
        <w:tc>
          <w:tcPr>
            <w:tcW w:type="dxa" w:w="2880"/>
          </w:tcPr>
          <w:p>
            <w:r>
              <w:t>Runtime / governance system</w:t>
            </w:r>
          </w:p>
        </w:tc>
      </w:tr>
      <w:tr>
        <w:tc>
          <w:tcPr>
            <w:tcW w:type="dxa" w:w="2880"/>
          </w:tcPr>
          <w:p>
            <w:r>
              <w:t>Action/tool</w:t>
            </w:r>
          </w:p>
        </w:tc>
        <w:tc>
          <w:tcPr>
            <w:tcW w:type="dxa" w:w="2880"/>
          </w:tcPr>
          <w:p>
            <w:r>
              <w:t>Yes</w:t>
            </w:r>
          </w:p>
        </w:tc>
        <w:tc>
          <w:tcPr>
            <w:tcW w:type="dxa" w:w="2880"/>
          </w:tcPr>
          <w:p>
            <w:r>
              <w:t>Runtime / governance system</w:t>
            </w:r>
          </w:p>
        </w:tc>
      </w:tr>
      <w:tr>
        <w:tc>
          <w:tcPr>
            <w:tcW w:type="dxa" w:w="2880"/>
          </w:tcPr>
          <w:p>
            <w:r>
              <w:t>Policy decision</w:t>
            </w:r>
          </w:p>
        </w:tc>
        <w:tc>
          <w:tcPr>
            <w:tcW w:type="dxa" w:w="2880"/>
          </w:tcPr>
          <w:p>
            <w:r>
              <w:t>Yes</w:t>
            </w:r>
          </w:p>
        </w:tc>
        <w:tc>
          <w:tcPr>
            <w:tcW w:type="dxa" w:w="2880"/>
          </w:tcPr>
          <w:p>
            <w:r>
              <w:t>Runtime / governance system</w:t>
            </w:r>
          </w:p>
        </w:tc>
      </w:tr>
      <w:tr>
        <w:tc>
          <w:tcPr>
            <w:tcW w:type="dxa" w:w="2880"/>
          </w:tcPr>
          <w:p>
            <w:r>
              <w:t>Approval/override</w:t>
            </w:r>
          </w:p>
        </w:tc>
        <w:tc>
          <w:tcPr>
            <w:tcW w:type="dxa" w:w="2880"/>
          </w:tcPr>
          <w:p>
            <w:r>
              <w:t>Yes</w:t>
            </w:r>
          </w:p>
        </w:tc>
        <w:tc>
          <w:tcPr>
            <w:tcW w:type="dxa" w:w="2880"/>
          </w:tcPr>
          <w:p>
            <w:r>
              <w:t>Runtime / governance system</w:t>
            </w:r>
          </w:p>
        </w:tc>
      </w:tr>
      <w:tr>
        <w:tc>
          <w:tcPr>
            <w:tcW w:type="dxa" w:w="2880"/>
          </w:tcPr>
          <w:p>
            <w:r>
              <w:t>Outcome</w:t>
            </w:r>
          </w:p>
        </w:tc>
        <w:tc>
          <w:tcPr>
            <w:tcW w:type="dxa" w:w="2880"/>
          </w:tcPr>
          <w:p>
            <w:r>
              <w:t>Yes</w:t>
            </w:r>
          </w:p>
        </w:tc>
        <w:tc>
          <w:tcPr>
            <w:tcW w:type="dxa" w:w="2880"/>
          </w:tcPr>
          <w:p>
            <w:r>
              <w:t>Runtime / governance system</w:t>
            </w:r>
          </w:p>
        </w:tc>
      </w:tr>
      <w:tr>
        <w:tc>
          <w:tcPr>
            <w:tcW w:type="dxa" w:w="2880"/>
          </w:tcPr>
          <w:p>
            <w:r>
              <w:t>Reversibility</w:t>
            </w:r>
          </w:p>
        </w:tc>
        <w:tc>
          <w:tcPr>
            <w:tcW w:type="dxa" w:w="2880"/>
          </w:tcPr>
          <w:p>
            <w:r>
              <w:t>Yes</w:t>
            </w:r>
          </w:p>
        </w:tc>
        <w:tc>
          <w:tcPr>
            <w:tcW w:type="dxa" w:w="2880"/>
          </w:tcPr>
          <w:p>
            <w:r>
              <w:t>Runtime / governance system</w:t>
            </w:r>
          </w:p>
        </w:tc>
      </w:tr>
      <w:tr>
        <w:tc>
          <w:tcPr>
            <w:tcW w:type="dxa" w:w="2880"/>
          </w:tcPr>
          <w:p>
            <w:r>
              <w:t>Evidence reference</w:t>
            </w:r>
          </w:p>
        </w:tc>
        <w:tc>
          <w:tcPr>
            <w:tcW w:type="dxa" w:w="2880"/>
          </w:tcPr>
          <w:p>
            <w:r>
              <w:t>Yes</w:t>
            </w:r>
          </w:p>
        </w:tc>
        <w:tc>
          <w:tcPr>
            <w:tcW w:type="dxa" w:w="2880"/>
          </w:tcPr>
          <w:p>
            <w:r>
              <w:t>Runtime / governance system</w:t>
            </w:r>
          </w:p>
        </w:tc>
      </w:tr>
      <w:tr>
        <w:tc>
          <w:tcPr>
            <w:tcW w:type="dxa" w:w="2880"/>
          </w:tcPr>
          <w:p>
            <w:r>
              <w:t xml:space="preserve">Runtime control state</w:t>
            </w:r>
          </w:p>
        </w:tc>
        <w:tc>
          <w:tcPr>
            <w:tcW w:type="dxa" w:w="2880"/>
          </w:tcPr>
          <w:p>
            <w:r>
              <w:t xml:space="preserve">Where a runtime control applies</w:t>
            </w:r>
          </w:p>
        </w:tc>
        <w:tc>
          <w:tcPr>
            <w:tcW w:type="dxa" w:w="2880"/>
          </w:tcPr>
          <w:p>
            <w:r>
              <w:t xml:space="preserve">Runtime / governance system</w:t>
            </w:r>
          </w:p>
        </w:tc>
      </w:tr>
      <w:tr>
        <w:tc>
          <w:tcPr>
            <w:tcW w:type="dxa" w:w="2880"/>
          </w:tcPr>
          <w:p>
            <w:r>
              <w:t xml:space="preserve">Exception/incident reference</w:t>
            </w:r>
          </w:p>
        </w:tc>
        <w:tc>
          <w:tcPr>
            <w:tcW w:type="dxa" w:w="2880"/>
          </w:tcPr>
          <w:p>
            <w:r>
              <w:t xml:space="preserve">Where relevant</w:t>
            </w:r>
          </w:p>
        </w:tc>
        <w:tc>
          <w:tcPr>
            <w:tcW w:type="dxa" w:w="2880"/>
          </w:tcPr>
          <w:p>
            <w:r>
              <w:t xml:space="preserve">Runtime / governance system</w:t>
            </w:r>
          </w:p>
        </w:tc>
      </w:tr>
    </w:tbl>
    <w:p>
      <w:r>
        <w:t>Document ID: AIG-AGT-06 | Version: 1.6 draft | Owner: AI Governance Lead | Status: Draft for Council review | Playbook ref: Appendix F.7.10 (and F.7.8)</w:t>
      </w:r>
    </w:p>
    <w:p>
      <w:r>
        <w:t>Revision 1.1 draft, 25 September 2026: linked action evidence to monitoring, incident and gate records.</w:t>
      </w:r>
    </w:p>
    <w:p>
      <w:r>
        <w:t xml:space="preserve">Revision 1.2 draft, 29 September 2026: QA remediation — applied findings QA-094, QA-109, QA-120, QA-166, QA-200, QA-202 (see QA change log). Final tidy-up: self-referencing cross-reference removed from the standards row(s) REQ-039.</w:t>
      </w:r>
    </w:p>
    <w:p>
      <w:r>
        <w:t xml:space="preserve">Revision 1.3 draft, 30 September 2026: v3.9.1: standards cross-reference note updated to the 54-entry requirement inventory (AIG-AIMS-05 REQ-054, Civil Contingencies Act 2004, added).</w:t>
      </w:r>
    </w:p>
    <w:p>
      <w:r>
        <w:t xml:space="preserve">Revision 1.4 draft, 1 October 2026: v3.9.3: standards cross-reference note cites the 55-entry requirement inventory (AIG-AIMS-05 REQ-055, NIST AI 600-1 Generative AI Profile, added).</w:t>
      </w:r>
    </w:p>
    <w:p>
      <w:r>
        <w:t>Revision 1.5 draft, 2 October 2026: v3.9.5: standards cross-reference note cites the 56-entry requirement inventory (AIG-AIMS-05 REQ-056, SI 2026/425 ICO statutory code of practice on AI and automated decision-making, added). Proposed — for Council confirmation.</w:t>
      </w:r>
    </w:p>
    <w:p>
      <w:r>
        <w:t>Revision 1.6 draft, 12 October 2026: v3.9.10: standards cross-reference note cites the 58-entry requirement inventory (AIG-AIMS-05 REQ-057 DAMA-DMBOK and REQ-058 ISO/IEC 5259, added as voluntary data governance references). Proposed — for Council confirmation.</w:t>
      </w:r>
    </w:p>
    <w:p>
      <w:pPr>
        <w:pageBreakBefore/>
      </w:pPr>
      <w:r>
        <w:rPr>
          <w:b/>
          <w:sz w:val="30"/>
        </w:rPr>
        <w:t>Annex — Action identity, execution evidence and governance references</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Keys and reproducible authority</w:t>
      </w:r>
    </w:p>
    <w:p>
      <w:r>
        <w:t xml:space="preserve">• Each consequential execution has a unique Action ID identifying that event. Record permanent AIR-ID, stable AG-ID, agent identity/version and exact AIG-AGT-04 ASBOM version/revision plus identifiable snapshot/effective reference against which authority was evaluated; “latest” alone is insufficient. AIR-ID identifies system; AG-ID identifies agent; one AIR-ID may have multiple AG-IDs. A pre-registration discovery reference is not AIR-ID. The canonical field list is the Minimum evidence schema and Controlled fields table above.</w:t>
      </w:r>
    </w:p>
    <w:p>
      <w:r>
        <w:t>• Identify applicable ASBOM Authority &amp; Delegations source Edge ID(s) and optionally AIG-AGT-05 derived graph snapshot. Graph edges derive from that ASBOM version; ASBOM remains authoritative for permissions. Keep policy/governance decision reference separate from execution evidence.</w:t>
      </w:r>
    </w:p>
    <w:p>
      <w:r>
        <w:rPr>
          <w:b/>
          <w:sz w:val="24"/>
        </w:rPr>
        <w:t>Execution evidence and limits</w:t>
      </w:r>
    </w:p>
    <w:p>
      <w:r>
        <w:t>• Action ID resolves to execution evidence: timestamp, authority/mandate, objective/context, action/tool/interface, permission/limit and policy check, human approval/override, outcome, reversibility/compensation, runtime-control state and log reference. Include denied consequential attempts where needed to evidence controls; never capture private chain-of-thought.</w:t>
      </w:r>
    </w:p>
    <w:p>
      <w:r>
        <w:t>• ASBOM defines authority envelope; graph depicts delegations; this record evidences an action event. Successful execution does not grant permission, approve changed use, accept risk or replace a formal governance decision.</w:t>
      </w:r>
    </w:p>
    <w:p>
      <w:r>
        <w:rPr>
          <w:b/>
          <w:sz w:val="24"/>
        </w:rPr>
        <w:t>Links and lifecycle</w:t>
      </w:r>
    </w:p>
    <w:p>
      <w:r>
        <w:t xml:space="preserve">• Cross-reference Action ID in AIG-OPS-03 for incident/suspected breach, AIG-OPS-02 for threshold/trend/override/control failure/review, and AIG-DEC-04 where a gate condition, approval, exception, suspension or follow-up is relevant. Link as applicable, do not duplicate records. AIG-AGT-06 is not itself a gate decision.</w:t>
      </w:r>
    </w:p>
    <w:p>
      <w:r>
        <w:t>• If authority is exceeded, controls fail, unexpected action occurs or configuration changes materially, contain/escalate and re-enter full Intake (AIG-INV-03)/triage as required; refresh ASBOM (AIG-AGT-04), derived graph (AIG-AGT-05), security (AIG-ASS-11), classification/triage (AIG-AGT-02/AIG-AGT-03) and relevant governance records. For unregistered AI, keep provisional reference, route through full Intake, assign AIR-ID at registration and reconcile Action IDs/AG-IDs. Preserve event time, discovery time and later decision separately; do not imply retrospective approval.</w:t>
      </w:r>
    </w:p>
    <w:p>
      <w:r>
        <w:rPr>
          <w:b/>
          <w:sz w:val="24"/>
        </w:rPr>
        <w:t>Status of this proposed copy</w:t>
      </w:r>
    </w:p>
    <w:p>
      <w:pPr>
        <w:pStyle w:val="Heading2"/>
      </w:pPr>
      <w:r>
        <w:t>Action-record provenance — map link is not authority</w:t>
      </w:r>
    </w:p>
    <w:p>
      <w:pPr/>
      <w:r>
        <w:t>If a system relationship map is later adopted, an AIG-INV-05 Edge ID may be included as contextual provenance for the system/component involved in an action, with map version and source/as-at date. It does not show that access was granted, that the agent had valid authority or that a safeguard operated. Resolve actor and permission to the exact AIG-AGT-04 ASBOM version and AIG-AGT-05 derived graph; retain Action ID/execution evidence here; link an actual AIG-DEC-04 Event only when a governance event occurs.</w:t>
      </w:r>
    </w:p>
    <w:p>
      <w:r>
        <w:t>Proposed integrated draft; not approved and not effective. Original baseline content and tables are retained above. Formal approval, owner confirmation and document-control updates remain for the competent Council authority.</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2880"/>
        <w:gridCol w:w="2880"/>
        <w:gridCol w:w="2880"/>
      </w:tblGrid>
      <w:tr>
        <w:tc>
          <w:tcPr>
            <w:tcW w:type="dxa" w:w="2880"/>
          </w:tcPr>
          <w:p>
            <w:r>
              <w:t>Requirement / instrument</w:t>
            </w:r>
          </w:p>
        </w:tc>
        <w:tc>
          <w:tcPr>
            <w:tcW w:type="dxa" w:w="2880"/>
          </w:tcPr>
          <w:p>
            <w:r>
              <w:t>Why check it here</w:t>
            </w:r>
          </w:p>
        </w:tc>
        <w:tc>
          <w:tcPr>
            <w:tcW w:type="dxa" w:w="2880"/>
          </w:tcPr>
          <w:p>
            <w:r>
              <w:t>Source</w:t>
            </w:r>
          </w:p>
        </w:tc>
      </w:tr>
      <w:tr>
        <w:tc>
          <w:tcPr>
            <w:tcW w:type="dxa" w:w="2880"/>
          </w:tcPr>
          <w:p>
            <w:r>
              <w:t>REQ-001 — UK General Data Protection Regulation (UK GDPR), as amended</w:t>
            </w:r>
          </w:p>
        </w:tc>
        <w:tc>
          <w:tcPr>
            <w:tcW w:type="dxa" w:w="2880"/>
          </w:tcPr>
          <w:p>
            <w:r>
              <w:t>Where personal data is processed; test each UK GDPR provision separately.</w:t>
            </w:r>
          </w:p>
        </w:tc>
        <w:tc>
          <w:tcPr>
            <w:tcW w:type="dxa" w:w="2880"/>
          </w:tcPr>
          <w:p>
            <w:r>
              <w:t>https://www.legislation.gov.uk/eur/2016/679/contents</w:t>
            </w:r>
          </w:p>
        </w:tc>
      </w:tr>
      <w:tr>
        <w:tc>
          <w:tcPr>
            <w:tcW w:type="dxa" w:w="2880"/>
          </w:tcPr>
          <w:p>
            <w:r>
              <w:t>REQ-003 — Data (Use and Access) Act 2025 (DUAA)</w:t>
            </w:r>
          </w:p>
        </w:tc>
        <w:tc>
          <w:tcPr>
            <w:tcW w:type="dxa" w:w="2880"/>
          </w:tcPr>
          <w:p>
            <w:r>
              <w:t>Where DUAA-amended UK GDPR/DPA provisions are engaged, including ADM safeguards.</w:t>
            </w:r>
          </w:p>
        </w:tc>
        <w:tc>
          <w:tcPr>
            <w:tcW w:type="dxa" w:w="2880"/>
          </w:tcPr>
          <w:p>
            <w:r>
              <w:t>https://ico.org.uk/about-the-ico/what-we-do/legislation-we-cover/data-use-and-access-act-2025/</w:t>
            </w:r>
          </w:p>
        </w:tc>
      </w:tr>
      <w:tr>
        <w:tc>
          <w:tcPr>
            <w:tcW w:type="dxa" w:w="2880"/>
          </w:tcPr>
          <w:p>
            <w:r>
              <w:t>REQ-013 — Local Government Act 1972 (including section 101) and The Council’s constitution and scheme of delegation</w:t>
            </w:r>
          </w:p>
        </w:tc>
        <w:tc>
          <w:tcPr>
            <w:tcW w:type="dxa" w:w="2880"/>
          </w:tcPr>
          <w:p>
            <w:r>
              <w:t>For actual Council decision/approval, verify the current Constitution and delegation.</w:t>
            </w:r>
          </w:p>
        </w:tc>
        <w:tc>
          <w:tcPr>
            <w:tcW w:type="dxa" w:w="2880"/>
          </w:tcPr>
          <w:p>
            <w:r>
              <w:t>https://www.legislation.gov.uk/ukpga/1972/70/contents</w:t>
            </w:r>
          </w:p>
        </w:tc>
      </w:tr>
      <w:tr>
        <w:tc>
          <w:tcPr>
            <w:tcW w:type="dxa" w:w="2880"/>
          </w:tcPr>
          <w:p>
            <w:r>
              <w:t>REQ-039 — NCSC Guidelines for Secure AI System Development</w:t>
            </w:r>
          </w:p>
        </w:tc>
        <w:tc>
          <w:tcPr>
            <w:tcW w:type="dxa" w:w="2880"/>
          </w:tcPr>
          <w:p>
            <w:r>
              <w:t>Screen the government security guidance requirement against this artefact's actual use and record evidence/version.</w:t>
            </w:r>
          </w:p>
        </w:tc>
        <w:tc>
          <w:tcPr>
            <w:tcW w:type="dxa" w:w="2880"/>
          </w:tcPr>
          <w:p>
            <w:r>
              <w:t>https://www.ncsc.gov.uk/collection/guidelines-secure-ai-system-development/introduction</w:t>
            </w:r>
          </w:p>
        </w:tc>
      </w:tr>
      <w:tr>
        <w:tc>
          <w:tcPr>
            <w:tcW w:type="dxa" w:w="2880"/>
          </w:tcPr>
          <w:p>
            <w:r>
              <w:t>REQ-040 — ISO/IEC 42001:2023 Artificial intelligence management system</w:t>
            </w:r>
          </w:p>
        </w:tc>
        <w:tc>
          <w:tcPr>
            <w:tcW w:type="dxa" w:w="2880"/>
          </w:tcPr>
          <w:p>
            <w:r>
              <w:t>Proposed management-system design mapping; licensed clause review and adoption needed.</w:t>
            </w:r>
          </w:p>
        </w:tc>
        <w:tc>
          <w:tcPr>
            <w:tcW w:type="dxa" w:w="2880"/>
          </w:tcPr>
          <w:p>
            <w:r>
              <w:t>https://www.iso.org/standard/42001</w:t>
            </w:r>
          </w:p>
        </w:tc>
      </w:tr>
      <w:tr>
        <w:tc>
          <w:tcPr>
            <w:tcW w:type="dxa" w:w="2880"/>
          </w:tcPr>
          <w:p>
            <w:r>
              <w:t xml:space="preserve">OWASP-ACS-2026 — OWASP Agent Control Standard (OWASP GenAI Security Project, released 1 September 2026)</w:t>
            </w:r>
          </w:p>
        </w:tc>
        <w:tc>
          <w:tcPr>
            <w:tcW w:type="dxa" w:w="2880"/>
          </w:tcPr>
          <w:p>
            <w:r>
              <w:t xml:space="preserve">Technical design guidance; verify operational tests</w:t>
            </w:r>
          </w:p>
        </w:tc>
        <w:tc>
          <w:tcPr>
            <w:tcW w:type="dxa" w:w="2880"/>
          </w:tcPr>
          <w:p>
            <w:r>
              <w:t>https://genai.owasp.org/resource/agent-control-standard-acs/</w:t>
            </w:r>
          </w:p>
        </w:tc>
      </w:tr>
    </w:tbl>
    <w:sectPr w:rsidR="00FC693F" w:rsidRPr="0006063C" w:rsidSect="00034616">
      <w:footerReference w:type="default" r:id="rId9"/>
      <w:headerReference w:type="default" r:id="rId10"/>
      <w:footerReference w:type="first" r:id="rId11"/>
      <w:footerReference w:type="even" r:id="rId12"/>
      <w:headerReference w:type="first" r:id="rId13"/>
      <w:head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AIG-AGT-06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 xml:space="preserve">The Council — Agentic Action / Decision Record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AIG-AGT-06 Agentic Action / Decision Record</dc:title>
  <dc:subject>Proposed grouped-ID suite; not approved</dc:subject>
  <dc:creator>AI Governance working draft</dc:creator>
  <cp:keywords>Proposed grouped-ID suite; not approved</cp:keywords>
  <dc:description>Proposed grouped-ID suite; not approved</dc:description>
  <cp:lastModifiedBy>AI Governance working draft</cp:lastModifiedBy>
  <cp:revision>1</cp:revision>
  <dcterms:created xsi:type="dcterms:W3CDTF">2013-12-23T23:15:00Z</dcterms:created>
  <dcterms:modified xsi:type="dcterms:W3CDTF">2013-12-23T23:15:00Z</dcterms:modified>
  <cp:category/>
</cp:coreProperties>
</file>