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pStyle w:val="Heading1"/>
        <w:spacing w:after="30" w:before="0"/>
      </w:pPr>
      <w:r>
        <w:t>Responsible AI Assessment</w:t>
      </w:r>
    </w:p>
    <w:p>
      <w:pPr>
        <w:pBdr>
          <w:bottom w:val="single" w:color="C9A442" w:sz="18" w:space="6"/>
        </w:pBdr>
        <w:spacing w:after="60" w:before="0"/>
      </w:pPr>
      <w:r>
        <w:t>The Council  ·  AI Governance Playbook (Level 5 document, §4.6.4)</w:t>
      </w:r>
    </w:p>
    <w:p>
      <w:pPr>
        <w:spacing w:after="120" w:before="120"/>
      </w:pPr>
      <w:r>
        <w:t>A structured self-assessment of an AI system against The Council's eight Responsible AI themes.</w:t>
      </w:r>
    </w:p>
    <w:p>
      <w:pPr>
        <w:spacing w:after="40" w:before="40" w:line="264"/>
      </w:pPr>
      <w:r>
        <w:t>A self-assessment completed by the Service Owner for all Medium, High and Critical risk AI systems. The AI Governance Lead conducts a quality assurance review before it is finalised. Recommended at intake for Medium risk systems; required in the pre-approval package for High and Critical systems (Playbook §4.6.4).</w:t>
      </w:r>
    </w:p>
    <w:p>
      <w:pPr/>
      <w:r>
        <w:rPr>
          <w:b/>
        </w:rPr>
        <w:t xml:space="preserve">PROPOSED — legal review only; draft clarification, not an adopted or live Council policy change. </w:t>
      </w:r>
      <w:r>
        <w:t>This Responsible AI Assessment and its Medium/High/Critical completion rules are internal governance controls; neither the RAIA nor the AGPI tier decides whether a legal duty applies. Record case-level equality and Convention-rights screening where relevant for every AI use irrespective of AGPI tier, using the native EIA/HRA records and their reasoned outcomes; apply the statutory tests independently. Equality Act 2010 section 149: https://www.legislation.gov.uk/ukpga/2010/15/section/149 ; Human Rights Act 1998 section 6: https://www.legislation.gov.uk/ukpga/1998/42/section/6</w:t>
      </w:r>
    </w:p>
    <w:p>
      <w:pPr>
        <w:spacing w:after="120" w:before="0"/>
      </w:pPr>
      <w:r>
        <w:rPr>
          <w:sz w:val="4"/>
          <w:szCs w:val="4"/>
        </w:rPr>
      </w:r>
    </w:p>
    <w:tbl>
      <w:tblPr>
        <w:tblW w:type="dxa" w:w="9638"/>
        <w:tblBorders>
          <w:top w:val="none"/>
          <w:left w:val="none"/>
          <w:bottom w:val="none"/>
          <w:right w:val="none"/>
          <w:insideH w:val="none"/>
          <w:insideV w:val="none"/>
        </w:tblBorders>
        <w:tblCaption w:val="Responsible AI Assessment: 1. System and Submission Details"/>
        <w:tblDescription w:val="Section heading for 1. System and Submission Details."/>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w:t>
            </w:r>
            <w:r>
              <w:rPr>
                <w:rFonts w:ascii="Arial" w:hAnsi="Arial" w:eastAsia="Arial" w:cs="Arial"/>
                <w:b/>
                <w:bCs/>
                <w:color w:val="FFFFFF"/>
                <w:sz w:val="22"/>
                <w:szCs w:val="22"/>
              </w:rPr>
              <w:t xml:space="preserve">  System and Submission Details</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ystem / model name"/>
        <w:tblDescription w:val="Form table with 6 rows and 2 columns, beginning with System / model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System identity</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System identity (name, owner, service area): held once in the AI Register (AIG-INV-04) under this AIR-ID; do not re-key here.</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 xml:space="preserve">UC-ID / purpose / outcome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One materially distinct use per assessment; AGPI priority ___; risk tier ___.</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AIR-ID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AIR-XXXX</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Risk tier</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Medium / High / Critical</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 started</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pPr>
        <w:spacing w:after="40" w:before="40" w:line="264"/>
      </w:pPr>
      <w:r/>
      <w:r>
        <w:rPr>
          <w:b/>
        </w:rPr>
        <w:t xml:space="preserve">Use-specific conclusion — </w:t>
      </w:r>
      <w:r>
        <w:t xml:space="preserve">assess the named UC-ID, outcome, affected groups and human role. Share system evidence only with an applicability check; benefit, harm, safeguards and residual risk are use-specific. This assessment is not approval.</w:t>
      </w:r>
    </w:p>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2. Purpose and Public Benefit"/>
        <w:tblDescription w:val="Section heading for 2. Purpose and Public Benefit."/>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2.</w:t>
            </w:r>
            <w:r>
              <w:rPr>
                <w:rFonts w:ascii="Arial" w:hAnsi="Arial" w:eastAsia="Arial" w:cs="Arial"/>
                <w:b/>
                <w:bCs/>
                <w:color w:val="FFFFFF"/>
                <w:sz w:val="22"/>
                <w:szCs w:val="22"/>
              </w:rPr>
              <w:t xml:space="preserve">  Purpose and Public Benefit</w:t>
            </w:r>
          </w:p>
        </w:tc>
      </w:tr>
    </w:tbl>
    <w:p>
      <w:pPr>
        <w:spacing w:after="50" w:before="0"/>
      </w:pPr>
      <w:r>
        <w:rPr>
          <w:sz w:val="4"/>
          <w:szCs w:val="4"/>
        </w:rPr>
      </w:r>
    </w:p>
    <w:p>
      <w:pPr>
        <w:spacing w:after="40" w:before="40" w:line="264"/>
      </w:pPr>
      <w:r>
        <w:t>What is the public value? Is the use proportionate to the benefit?</w:t>
      </w:r>
    </w:p>
    <w:p>
      <w:pPr>
        <w:spacing w:after="40" w:before="40" w:line="264"/>
      </w:pPr>
      <w:r>
        <w:t xml:space="preserve">Is the energy and compute use proportionate to the benefit? Would a smaller or simpler model be sufficient? What energy or carbon information does the supplier publish, and in which region is the system hosted? (Proposed — for Council confirmation)</w:t>
      </w:r>
    </w:p>
    <w:p>
      <w:pPr>
        <w:spacing w:after="3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response area 4"/>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elf-rating | Strong / Adequate / Needs work / Not addressed"/>
        <w:tblDescription w:val="Form table with 1 rows and 2 columns, beginning with Self-rating | Strong / Adequate / Needs work / Not addressed. The first row is identified as the table header."/>
      </w:tblPr>
      <w:tblGrid>
        <w:gridCol w:w="5200"/>
        <w:gridCol w:w="4438"/>
      </w:tblGrid>
      <w:tr>
        <w:trPr>
          <w:tblHeader w:val="true"/>
        </w:trPr>
        <w:tc>
          <w:tcPr>
            <w:tcW w:type="dxa" w:w="52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Self-rating</w:t>
            </w:r>
          </w:p>
        </w:tc>
        <w:tc>
          <w:tcPr>
            <w:tcW w:type="dxa" w:w="4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Strong / Adequate / Needs work / Not addressed</w:t>
            </w:r>
          </w:p>
        </w:tc>
      </w:tr>
    </w:tbl>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3. Data Governance and Quality"/>
        <w:tblDescription w:val="Section heading for 3. Data Governance and Qual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3.</w:t>
            </w:r>
            <w:r>
              <w:rPr>
                <w:rFonts w:ascii="Arial" w:hAnsi="Arial" w:eastAsia="Arial" w:cs="Arial"/>
                <w:b/>
                <w:bCs/>
                <w:color w:val="FFFFFF"/>
                <w:sz w:val="22"/>
                <w:szCs w:val="22"/>
              </w:rPr>
              <w:t xml:space="preserve">  Data Governance and Quality</w:t>
            </w:r>
          </w:p>
        </w:tc>
      </w:tr>
    </w:tbl>
    <w:p>
      <w:pPr>
        <w:spacing w:after="50" w:before="0"/>
      </w:pPr>
      <w:r>
        <w:rPr>
          <w:sz w:val="4"/>
          <w:szCs w:val="4"/>
        </w:rPr>
      </w:r>
    </w:p>
    <w:p>
      <w:pPr>
        <w:spacing w:after="40" w:before="40" w:line="264"/>
      </w:pPr>
      <w:r>
        <w:t>Are data sources accurate, relevant, lawful and well-managed?</w:t>
      </w:r>
    </w:p>
    <w:p>
      <w:pPr>
        <w:spacing w:after="3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response area 7"/>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elf-rating | Strong / Adequate / Needs work / Not addressed"/>
        <w:tblDescription w:val="Form table with 1 rows and 2 columns, beginning with Self-rating | Strong / Adequate / Needs work / Not addressed. The first row is identified as the table header."/>
      </w:tblPr>
      <w:tblGrid>
        <w:gridCol w:w="5200"/>
        <w:gridCol w:w="4438"/>
      </w:tblGrid>
      <w:tr>
        <w:trPr>
          <w:tblHeader w:val="true"/>
        </w:trPr>
        <w:tc>
          <w:tcPr>
            <w:tcW w:type="dxa" w:w="52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Self-rating</w:t>
            </w:r>
          </w:p>
        </w:tc>
        <w:tc>
          <w:tcPr>
            <w:tcW w:type="dxa" w:w="4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Strong / Adequate / Needs work / Not addressed</w:t>
            </w:r>
          </w:p>
        </w:tc>
      </w:tr>
    </w:tbl>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4. Transparency and Explainability"/>
        <w:tblDescription w:val="Section heading for 4. Transparency and Explainabil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4.</w:t>
            </w:r>
            <w:r>
              <w:rPr>
                <w:rFonts w:ascii="Arial" w:hAnsi="Arial" w:eastAsia="Arial" w:cs="Arial"/>
                <w:b/>
                <w:bCs/>
                <w:color w:val="FFFFFF"/>
                <w:sz w:val="22"/>
                <w:szCs w:val="22"/>
              </w:rPr>
              <w:t xml:space="preserve">  Transparency and Explainability</w:t>
            </w:r>
          </w:p>
        </w:tc>
      </w:tr>
    </w:tbl>
    <w:p>
      <w:pPr>
        <w:spacing w:after="50" w:before="0"/>
      </w:pPr>
      <w:r>
        <w:rPr>
          <w:sz w:val="4"/>
          <w:szCs w:val="4"/>
        </w:rPr>
      </w:r>
    </w:p>
    <w:p>
      <w:pPr>
        <w:spacing w:after="40" w:before="40" w:line="264"/>
      </w:pPr>
      <w:r>
        <w:t>Can decisions be explained to residents and staff? Is use disclosed?</w:t>
      </w:r>
    </w:p>
    <w:p>
      <w:pPr>
        <w:spacing w:after="40" w:before="40" w:line="264"/>
      </w:pPr>
      <w:r>
        <w:t xml:space="preserve">Are users told at the start that they are dealing with AI and how to reach a person? Is content produced wholly or substantially by AI checked by a person before release and labelled as AI-assisted where a reader would otherwise assume a person wrote it, and are AI-generated images, audio or video showing real people, places or events clearly labelled and approved before publication (Playbook §5.4.4)? (Proposed — for Council confirmation)</w:t>
      </w:r>
    </w:p>
    <w:p>
      <w:pPr>
        <w:spacing w:after="3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response area 10"/>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elf-rating | Strong / Adequate / Needs work / Not addressed"/>
        <w:tblDescription w:val="Form table with 1 rows and 2 columns, beginning with Self-rating | Strong / Adequate / Needs work / Not addressed. The first row is identified as the table header."/>
      </w:tblPr>
      <w:tblGrid>
        <w:gridCol w:w="5200"/>
        <w:gridCol w:w="4438"/>
      </w:tblGrid>
      <w:tr>
        <w:trPr>
          <w:tblHeader w:val="true"/>
        </w:trPr>
        <w:tc>
          <w:tcPr>
            <w:tcW w:type="dxa" w:w="52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Self-rating</w:t>
            </w:r>
          </w:p>
        </w:tc>
        <w:tc>
          <w:tcPr>
            <w:tcW w:type="dxa" w:w="4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Strong / Adequate / Needs work / Not addressed</w:t>
            </w:r>
          </w:p>
        </w:tc>
      </w:tr>
    </w:tbl>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5. Fairness and Equality"/>
        <w:tblDescription w:val="Section heading for 5. Fairness and Equal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5.</w:t>
            </w:r>
            <w:r>
              <w:rPr>
                <w:rFonts w:ascii="Arial" w:hAnsi="Arial" w:eastAsia="Arial" w:cs="Arial"/>
                <w:b/>
                <w:bCs/>
                <w:color w:val="FFFFFF"/>
                <w:sz w:val="22"/>
                <w:szCs w:val="22"/>
              </w:rPr>
              <w:t xml:space="preserve">  Fairness and Equality</w:t>
            </w:r>
          </w:p>
        </w:tc>
      </w:tr>
    </w:tbl>
    <w:p>
      <w:pPr>
        <w:spacing w:after="50" w:before="0"/>
      </w:pPr>
      <w:r>
        <w:rPr>
          <w:sz w:val="4"/>
          <w:szCs w:val="4"/>
        </w:rPr>
      </w:r>
    </w:p>
    <w:p>
      <w:pPr>
        <w:spacing w:after="40" w:before="40" w:line="264"/>
      </w:pPr>
      <w:r>
        <w:t>How are bias and differential impact identified and managed?</w:t>
      </w:r>
    </w:p>
    <w:p>
      <w:pPr>
        <w:spacing w:after="3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response area 13"/>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elf-rating | Strong / Adequate / Needs work / Not addressed"/>
        <w:tblDescription w:val="Form table with 1 rows and 2 columns, beginning with Self-rating | Strong / Adequate / Needs work / Not addressed. The first row is identified as the table header."/>
      </w:tblPr>
      <w:tblGrid>
        <w:gridCol w:w="5200"/>
        <w:gridCol w:w="4438"/>
      </w:tblGrid>
      <w:tr>
        <w:trPr>
          <w:tblHeader w:val="true"/>
        </w:trPr>
        <w:tc>
          <w:tcPr>
            <w:tcW w:type="dxa" w:w="52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Self-rating</w:t>
            </w:r>
          </w:p>
        </w:tc>
        <w:tc>
          <w:tcPr>
            <w:tcW w:type="dxa" w:w="4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Strong / Adequate / Needs work / Not addressed</w:t>
            </w:r>
          </w:p>
        </w:tc>
      </w:tr>
    </w:tbl>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6. Human Oversight"/>
        <w:tblDescription w:val="Section heading for 6. Human Oversight."/>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6.</w:t>
            </w:r>
            <w:r>
              <w:rPr>
                <w:rFonts w:ascii="Arial" w:hAnsi="Arial" w:eastAsia="Arial" w:cs="Arial"/>
                <w:b/>
                <w:bCs/>
                <w:color w:val="FFFFFF"/>
                <w:sz w:val="22"/>
                <w:szCs w:val="22"/>
              </w:rPr>
              <w:t xml:space="preserve">  Human Oversight</w:t>
            </w:r>
          </w:p>
        </w:tc>
      </w:tr>
    </w:tbl>
    <w:p>
      <w:pPr>
        <w:spacing w:after="50" w:before="0"/>
      </w:pPr>
      <w:r>
        <w:rPr>
          <w:sz w:val="4"/>
          <w:szCs w:val="4"/>
        </w:rPr>
      </w:r>
    </w:p>
    <w:p>
      <w:pPr>
        <w:spacing w:after="40" w:before="40" w:line="264"/>
      </w:pPr>
      <w:r>
        <w:t>Who reviews outputs, and can a person override or halt the system?</w:t>
      </w:r>
    </w:p>
    <w:p>
      <w:pPr>
        <w:spacing w:after="40" w:before="40" w:line="264"/>
      </w:pPr>
      <w:r>
        <w:t xml:space="preserve">If a user discloses a risk of harm (self-harm, abuse, crisis or a safeguarding concern), how does the system respond, and how is the user handed over to a person and signposted to help? (Proposed — for Council confirmation)</w:t>
      </w:r>
    </w:p>
    <w:p>
      <w:pPr>
        <w:spacing w:after="3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response area 16"/>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elf-rating | Strong / Adequate / Needs work / Not addressed"/>
        <w:tblDescription w:val="Form table with 1 rows and 2 columns, beginning with Self-rating | Strong / Adequate / Needs work / Not addressed. The first row is identified as the table header."/>
      </w:tblPr>
      <w:tblGrid>
        <w:gridCol w:w="5200"/>
        <w:gridCol w:w="4438"/>
      </w:tblGrid>
      <w:tr>
        <w:trPr>
          <w:tblHeader w:val="true"/>
        </w:trPr>
        <w:tc>
          <w:tcPr>
            <w:tcW w:type="dxa" w:w="52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Self-rating</w:t>
            </w:r>
          </w:p>
        </w:tc>
        <w:tc>
          <w:tcPr>
            <w:tcW w:type="dxa" w:w="4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Strong / Adequate / Needs work / Not addressed</w:t>
            </w:r>
          </w:p>
        </w:tc>
      </w:tr>
    </w:tbl>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7. Accountability and Governance"/>
        <w:tblDescription w:val="Section heading for 7. Accountability and Governanc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7.</w:t>
            </w:r>
            <w:r>
              <w:rPr>
                <w:rFonts w:ascii="Arial" w:hAnsi="Arial" w:eastAsia="Arial" w:cs="Arial"/>
                <w:b/>
                <w:bCs/>
                <w:color w:val="FFFFFF"/>
                <w:sz w:val="22"/>
                <w:szCs w:val="22"/>
              </w:rPr>
              <w:t xml:space="preserve">  Accountability and Governance</w:t>
            </w:r>
          </w:p>
        </w:tc>
      </w:tr>
    </w:tbl>
    <w:p>
      <w:pPr>
        <w:spacing w:after="50" w:before="0"/>
      </w:pPr>
      <w:r>
        <w:rPr>
          <w:sz w:val="4"/>
          <w:szCs w:val="4"/>
        </w:rPr>
      </w:r>
    </w:p>
    <w:p>
      <w:pPr>
        <w:spacing w:after="40" w:before="40" w:line="264"/>
      </w:pPr>
      <w:r>
        <w:t>Who is accountable? How does it sit within governance structures?</w:t>
      </w:r>
    </w:p>
    <w:p>
      <w:pPr>
        <w:spacing w:after="40" w:before="40" w:line="264"/>
      </w:pPr>
      <w:r>
        <w:t xml:space="preserve">How could the system reasonably be misused or used outside its intended purpose, and what prevents or detects this? (Proposed — for Council confirmation)</w:t>
      </w:r>
    </w:p>
    <w:p>
      <w:pPr>
        <w:spacing w:after="3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response area 19"/>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elf-rating | Strong / Adequate / Needs work / Not addressed"/>
        <w:tblDescription w:val="Form table with 1 rows and 2 columns, beginning with Self-rating | Strong / Adequate / Needs work / Not addressed. The first row is identified as the table header."/>
      </w:tblPr>
      <w:tblGrid>
        <w:gridCol w:w="5200"/>
        <w:gridCol w:w="4438"/>
      </w:tblGrid>
      <w:tr>
        <w:trPr>
          <w:tblHeader w:val="true"/>
        </w:trPr>
        <w:tc>
          <w:tcPr>
            <w:tcW w:type="dxa" w:w="52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Self-rating</w:t>
            </w:r>
          </w:p>
        </w:tc>
        <w:tc>
          <w:tcPr>
            <w:tcW w:type="dxa" w:w="4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Strong / Adequate / Needs work / Not addressed</w:t>
            </w:r>
          </w:p>
        </w:tc>
      </w:tr>
    </w:tbl>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8. Privacy and Security"/>
        <w:tblDescription w:val="Section heading for 8. Privacy and Security."/>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8.</w:t>
            </w:r>
            <w:r>
              <w:rPr>
                <w:rFonts w:ascii="Arial" w:hAnsi="Arial" w:eastAsia="Arial" w:cs="Arial"/>
                <w:b/>
                <w:bCs/>
                <w:color w:val="FFFFFF"/>
                <w:sz w:val="22"/>
                <w:szCs w:val="22"/>
              </w:rPr>
              <w:t xml:space="preserve">  Privacy and Security</w:t>
            </w:r>
          </w:p>
        </w:tc>
      </w:tr>
    </w:tbl>
    <w:p>
      <w:pPr>
        <w:spacing w:after="50" w:before="0"/>
      </w:pPr>
      <w:r>
        <w:rPr>
          <w:sz w:val="4"/>
          <w:szCs w:val="4"/>
        </w:rPr>
      </w:r>
    </w:p>
    <w:p>
      <w:pPr>
        <w:spacing w:after="40" w:before="40" w:line="264"/>
      </w:pPr>
      <w:r>
        <w:t>How are personal data and the system protected?</w:t>
      </w:r>
    </w:p>
    <w:p>
      <w:pPr>
        <w:spacing w:after="3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response area 22"/>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elf-rating | Strong / Adequate / Needs work / Not addressed"/>
        <w:tblDescription w:val="Form table with 1 rows and 2 columns, beginning with Self-rating | Strong / Adequate / Needs work / Not addressed. The first row is identified as the table header."/>
      </w:tblPr>
      <w:tblGrid>
        <w:gridCol w:w="5200"/>
        <w:gridCol w:w="4438"/>
      </w:tblGrid>
      <w:tr>
        <w:trPr>
          <w:tblHeader w:val="true"/>
        </w:trPr>
        <w:tc>
          <w:tcPr>
            <w:tcW w:type="dxa" w:w="52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Self-rating</w:t>
            </w:r>
          </w:p>
        </w:tc>
        <w:tc>
          <w:tcPr>
            <w:tcW w:type="dxa" w:w="4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Strong / Adequate / Needs work / Not addressed</w:t>
            </w:r>
          </w:p>
        </w:tc>
      </w:tr>
    </w:tbl>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9. Supplier Governance"/>
        <w:tblDescription w:val="Section heading for 9. Supplier Governance."/>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9.</w:t>
            </w:r>
            <w:r>
              <w:rPr>
                <w:rFonts w:ascii="Arial" w:hAnsi="Arial" w:eastAsia="Arial" w:cs="Arial"/>
                <w:b/>
                <w:bCs/>
                <w:color w:val="FFFFFF"/>
                <w:sz w:val="22"/>
                <w:szCs w:val="22"/>
              </w:rPr>
              <w:t xml:space="preserve">  Supplier Governance</w:t>
            </w:r>
          </w:p>
        </w:tc>
      </w:tr>
    </w:tbl>
    <w:p>
      <w:pPr>
        <w:spacing w:after="50" w:before="0"/>
      </w:pPr>
      <w:r>
        <w:rPr>
          <w:sz w:val="4"/>
          <w:szCs w:val="4"/>
        </w:rPr>
      </w:r>
    </w:p>
    <w:p>
      <w:pPr>
        <w:spacing w:after="40" w:before="40" w:line="264"/>
      </w:pPr>
      <w:r>
        <w:t>If procured, how is the supplier held to the Council's standards?</w:t>
      </w:r>
    </w:p>
    <w:p>
      <w:pPr>
        <w:spacing w:after="3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response area 25"/>
        <w:tblDescription w:val="Response area for the prompt immediately preceding this table."/>
      </w:tblPr>
      <w:tblGrid>
        <w:gridCol w:w="9638"/>
      </w:tblGrid>
      <w:tr>
        <w:trPr>
          <w:tblHeader w:val="true"/>
        </w:trPr>
        <w:tc>
          <w:tcPr>
            <w:tcW w:type="dxa" w:w="9638"/>
            <w:tcBorders>
              <w:top w:val="single" w:color="D9DCE1" w:sz="4"/>
              <w:left w:val="single" w:color="D9DCE1" w:sz="4"/>
              <w:bottom w:val="single" w:color="D9DCE1" w:sz="4"/>
              <w:right w:val="single" w:color="D9DCE1" w:sz="4"/>
            </w:tcBorders>
            <w:tcMar>
              <w:top w:type="dxa" w:w="90"/>
              <w:left w:type="dxa" w:w="140"/>
              <w:bottom w:type="dxa" w:w="90"/>
              <w:right w:type="dxa" w:w="140"/>
            </w:tcMar>
          </w:tcPr>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p>
            <w:pPr>
              <w:spacing w:after="0" w:before="0" w:line="360"/>
            </w:pPr>
            <w:r>
              <w:rPr>
                <w:rFonts w:ascii="Arial" w:cs="Arial" w:eastAsia="Arial" w:hAnsi="Arial"/>
                <w:sz w:val="19"/>
                <w:szCs w:val="19"/>
              </w:rPr>
            </w:r>
          </w:p>
        </w:tc>
      </w:tr>
    </w:tbl>
    <w:p>
      <w:pPr>
        <w:spacing w:after="4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Self-rating | Strong / Adequate / Needs work / Not addressed"/>
        <w:tblDescription w:val="Form table with 1 rows and 2 columns, beginning with Self-rating | Strong / Adequate / Needs work / Not addressed. The first row is identified as the table header."/>
      </w:tblPr>
      <w:tblGrid>
        <w:gridCol w:w="5200"/>
        <w:gridCol w:w="4438"/>
      </w:tblGrid>
      <w:tr>
        <w:trPr>
          <w:tblHeader w:val="true"/>
        </w:trPr>
        <w:tc>
          <w:tcPr>
            <w:tcW w:type="dxa" w:w="52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Self-rating</w:t>
            </w:r>
          </w:p>
        </w:tc>
        <w:tc>
          <w:tcPr>
            <w:tcW w:type="dxa" w:w="44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Strong / Adequate / Needs work / Not addressed</w:t>
            </w:r>
          </w:p>
        </w:tc>
      </w:tr>
    </w:tbl>
    <w:p>
      <w:pPr>
        <w:spacing w:after="140" w:before="0"/>
      </w:pPr>
      <w:r>
        <w:rPr>
          <w:sz w:val="4"/>
          <w:szCs w:val="4"/>
        </w:rPr>
      </w:r>
    </w:p>
    <w:tbl>
      <w:tblPr>
        <w:tblW w:type="dxa" w:w="9638"/>
        <w:tblBorders>
          <w:top w:val="none"/>
          <w:left w:val="none"/>
          <w:bottom w:val="none"/>
          <w:right w:val="none"/>
          <w:insideH w:val="none"/>
          <w:insideV w:val="none"/>
        </w:tblBorders>
        <w:tblCaption w:val="Responsible AI Assessment: 10. Overall Outcome and QA"/>
        <w:tblDescription w:val="Section heading for 10. Overall Outcome and QA."/>
      </w:tblPr>
      <w:tblGrid>
        <w:gridCol w:w="9638"/>
      </w:tblGrid>
      <w:tr>
        <w:trPr>
          <w:tblHeader w:val="true"/>
        </w:trPr>
        <w:tc>
          <w:tcPr>
            <w:tcBorders>
              <w:top w:val="none"/>
              <w:left w:val="none"/>
              <w:bottom w:val="none"/>
              <w:right w:val="none"/>
            </w:tcBorders>
            <w:shd w:fill="0A2342" w:color="auto" w:val="clear"/>
            <w:tcMar>
              <w:top w:type="dxa" w:w="110"/>
              <w:left w:type="dxa" w:w="160"/>
              <w:bottom w:type="dxa" w:w="110"/>
              <w:right w:type="dxa" w:w="160"/>
            </w:tcMar>
          </w:tcPr>
          <w:p>
            <w:pPr>
              <w:pStyle w:val="Heading2"/>
              <w:spacing w:after="0" w:before="0"/>
            </w:pPr>
            <w:r>
              <w:rPr>
                <w:rFonts w:ascii="Arial" w:hAnsi="Arial" w:eastAsia="Arial" w:cs="Arial"/>
                <w:b/>
                <w:bCs/>
                <w:color w:val="C9A442"/>
                <w:sz w:val="21"/>
                <w:szCs w:val="21"/>
              </w:rPr>
              <w:t xml:space="preserve">10.</w:t>
            </w:r>
            <w:r>
              <w:rPr>
                <w:rFonts w:ascii="Arial" w:hAnsi="Arial" w:eastAsia="Arial" w:cs="Arial"/>
                <w:b/>
                <w:bCs/>
                <w:color w:val="FFFFFF"/>
                <w:sz w:val="22"/>
                <w:szCs w:val="22"/>
              </w:rPr>
              <w:t xml:space="preserve">  Overall Outcome and QA</w:t>
            </w:r>
          </w:p>
        </w:tc>
      </w:tr>
    </w:tbl>
    <w:p>
      <w:pPr>
        <w:spacing w:after="60" w:before="0"/>
      </w:pPr>
      <w:r>
        <w:rPr>
          <w:sz w:val="4"/>
          <w:szCs w:val="4"/>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Overall Responsible AI rating | Strong / Adequate / Needs work / Not addressed"/>
        <w:tblDescription w:val="Form table with 2 rows and 2 columns, beginning with Overall Responsible AI rating | Strong / Adequate / Needs work / Not addressed."/>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Overall Responsible AI rating</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t xml:space="preserve">Strong / Adequate / Needs work / Not addressed. Proposed rule (for Council confirmation): if any theme is rated Not addressed, the overall rating is no higher than Needs work.</w:t>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Key actions before approval</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shd w:fill="DCE6F1"/>
            <w:tcMar>
              <w:top w:w="90" w:type="dxa"/>
              <w:start w:w="90" w:type="dxa"/>
              <w:bottom w:w="90" w:type="dxa"/>
              <w:end w:w="90" w:type="dxa"/>
            </w:tcMar>
            <w:vAlign w:val="center"/>
          </w:tcPr>
          <w:p>
            <w:pPr>
              <w:spacing w:before="0" w:after="0" w:line="240" w:lineRule="auto"/>
              <w:jc w:val="left"/>
            </w:pPr>
            <w:r>
              <w:t>Evidence references by theme</w:t>
            </w:r>
          </w:p>
        </w:tc>
        <w:tc>
          <w:tcPr>
            <w:tcW w:type="dxa" w:w="6038"/>
            <w:shd w:fill="FFF8E5"/>
            <w:tcMar>
              <w:top w:w="90" w:type="dxa"/>
              <w:start w:w="90" w:type="dxa"/>
              <w:bottom w:w="90" w:type="dxa"/>
              <w:end w:w="90" w:type="dxa"/>
            </w:tcMar>
            <w:vAlign w:val="center"/>
          </w:tcPr>
          <w:p>
            <w:pPr>
              <w:spacing w:before="0" w:after="0" w:line="240" w:lineRule="auto"/>
              <w:jc w:val="left"/>
            </w:pPr>
            <w:r>
              <w:t>For each of the eight themes, cite the controlled evidence location, version/date and relevant section.</w:t>
            </w:r>
          </w:p>
        </w:tc>
      </w:tr>
      <w:tr>
        <w:tc>
          <w:tcPr>
            <w:tcW w:type="dxa" w:w="3600"/>
            <w:shd w:fill="DCE6F1"/>
            <w:tcMar>
              <w:top w:w="90" w:type="dxa"/>
              <w:start w:w="90" w:type="dxa"/>
              <w:bottom w:w="90" w:type="dxa"/>
              <w:end w:w="90" w:type="dxa"/>
            </w:tcMar>
            <w:vAlign w:val="center"/>
          </w:tcPr>
          <w:p>
            <w:pPr>
              <w:spacing w:before="0" w:after="0" w:line="240" w:lineRule="auto"/>
              <w:jc w:val="left"/>
            </w:pPr>
            <w:r>
              <w:t>Remediation action owner(s)</w:t>
            </w:r>
          </w:p>
        </w:tc>
        <w:tc>
          <w:tcPr>
            <w:tcW w:type="dxa" w:w="6038"/>
            <w:shd w:fill="FFF8E5"/>
            <w:tcMar>
              <w:top w:w="90" w:type="dxa"/>
              <w:start w:w="90" w:type="dxa"/>
              <w:bottom w:w="90" w:type="dxa"/>
              <w:end w:w="90" w:type="dxa"/>
            </w:tcMar>
            <w:vAlign w:val="center"/>
          </w:tcPr>
          <w:p>
            <w:pPr>
              <w:spacing w:before="0" w:after="0" w:line="240" w:lineRule="auto"/>
              <w:jc w:val="left"/>
            </w:pPr>
            <w:r>
              <w:t>Name the accountable owner for every gap or condition.</w:t>
            </w:r>
          </w:p>
        </w:tc>
      </w:tr>
      <w:tr>
        <w:tc>
          <w:tcPr>
            <w:tcW w:type="dxa" w:w="3600"/>
            <w:shd w:fill="DCE6F1"/>
            <w:tcMar>
              <w:top w:w="90" w:type="dxa"/>
              <w:start w:w="90" w:type="dxa"/>
              <w:bottom w:w="90" w:type="dxa"/>
              <w:end w:w="90" w:type="dxa"/>
            </w:tcMar>
            <w:vAlign w:val="center"/>
          </w:tcPr>
          <w:p>
            <w:pPr>
              <w:spacing w:before="0" w:after="0" w:line="240" w:lineRule="auto"/>
              <w:jc w:val="left"/>
            </w:pPr>
            <w:r>
              <w:t>Target date(s)</w:t>
            </w:r>
          </w:p>
        </w:tc>
        <w:tc>
          <w:tcPr>
            <w:tcW w:type="dxa" w:w="6038"/>
            <w:shd w:fill="FFF8E5"/>
            <w:tcMar>
              <w:top w:w="90" w:type="dxa"/>
              <w:start w:w="90" w:type="dxa"/>
              <w:bottom w:w="90" w:type="dxa"/>
              <w:end w:w="90" w:type="dxa"/>
            </w:tcMar>
            <w:vAlign w:val="center"/>
          </w:tcPr>
          <w:p>
            <w:pPr>
              <w:spacing w:before="0" w:after="0" w:line="240" w:lineRule="auto"/>
              <w:jc w:val="left"/>
            </w:pPr>
            <w:r>
              <w:t>Record a due date for every remediation action.</w:t>
            </w:r>
          </w:p>
        </w:tc>
      </w:tr>
      <w:tr>
        <w:tc>
          <w:tcPr>
            <w:tcW w:type="dxa" w:w="3600"/>
            <w:shd w:fill="DCE6F1"/>
            <w:tcMar>
              <w:top w:w="90" w:type="dxa"/>
              <w:start w:w="90" w:type="dxa"/>
              <w:bottom w:w="90" w:type="dxa"/>
              <w:end w:w="90" w:type="dxa"/>
            </w:tcMar>
            <w:vAlign w:val="center"/>
          </w:tcPr>
          <w:p>
            <w:pPr>
              <w:spacing w:before="0" w:after="0" w:line="240" w:lineRule="auto"/>
              <w:jc w:val="left"/>
            </w:pPr>
            <w:r>
              <w:t>Closure evidence and status</w:t>
            </w:r>
          </w:p>
        </w:tc>
        <w:tc>
          <w:tcPr>
            <w:tcW w:type="dxa" w:w="6038"/>
            <w:shd w:fill="FFF8E5"/>
            <w:tcMar>
              <w:top w:w="90" w:type="dxa"/>
              <w:start w:w="90" w:type="dxa"/>
              <w:bottom w:w="90" w:type="dxa"/>
              <w:end w:w="90" w:type="dxa"/>
            </w:tcMar>
            <w:vAlign w:val="center"/>
          </w:tcPr>
          <w:p>
            <w:pPr>
              <w:spacing w:before="0" w:after="0" w:line="240" w:lineRule="auto"/>
              <w:jc w:val="left"/>
            </w:pPr>
            <w:r>
              <w:t>Open / Closed-verified / Accepted-open / Waived / Unknown (controlled states shared with AIG-DEC-03 and AIG-DEC-04); cite the evidence that demonstrates closure or acceptance.</w:t>
            </w:r>
          </w:p>
        </w:tc>
      </w:tr>
      <w:tr>
        <w:tc>
          <w:tcPr>
            <w:tcW w:type="dxa" w:w="3600"/>
            <w:shd w:fill="DCE6F1"/>
            <w:tcMar>
              <w:top w:w="90" w:type="dxa"/>
              <w:start w:w="90" w:type="dxa"/>
              <w:bottom w:w="90" w:type="dxa"/>
              <w:end w:w="90" w:type="dxa"/>
            </w:tcMar>
            <w:vAlign w:val="center"/>
          </w:tcPr>
          <w:p>
            <w:pPr>
              <w:spacing w:before="0" w:after="0" w:line="240" w:lineRule="auto"/>
              <w:jc w:val="left"/>
            </w:pPr>
            <w:r>
              <w:t>Escalation trigger and route</w:t>
            </w:r>
          </w:p>
        </w:tc>
        <w:tc>
          <w:tcPr>
            <w:tcW w:type="dxa" w:w="6038"/>
            <w:shd w:fill="FFF8E5"/>
            <w:tcMar>
              <w:top w:w="90" w:type="dxa"/>
              <w:start w:w="90" w:type="dxa"/>
              <w:bottom w:w="90" w:type="dxa"/>
              <w:end w:w="90" w:type="dxa"/>
            </w:tcMar>
            <w:vAlign w:val="center"/>
          </w:tcPr>
          <w:p>
            <w:pPr>
              <w:spacing w:before="0" w:after="0" w:line="240" w:lineRule="auto"/>
              <w:jc w:val="left"/>
            </w:pPr>
            <w:r>
              <w:t>Any Needs work / Not addressed rating, overdue action or missing evidence goes to the AI Governance Lead. Unresolved High or Critical matters go to the AI Assurance Board; approval must not be recorded until disposition.</w:t>
            </w:r>
          </w:p>
        </w:tc>
      </w:tr>
    </w:tbl>
    <w:p>
      <w:pPr>
        <w:spacing w:after="40" w:before="0"/>
      </w:pPr>
      <w:r>
        <w:rPr>
          <w:sz w:val="4"/>
          <w:szCs w:val="4"/>
        </w:rPr>
      </w:r>
    </w:p>
    <w:p>
      <w:pPr>
        <w:spacing w:after="80" w:before="40" w:line="264"/>
      </w:pPr>
      <w:r>
        <w:t>The AI Governance Lead confirms this assessment has been quality assured and is sufficient to support the governance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Caption w:val="Responsible AI Assessment: AI Governance Lead name"/>
        <w:tblDescription w:val="Form table with 6 rows and 2 columns, beginning with AI Governance Lead name."/>
      </w:tblPr>
      <w:tblGrid>
        <w:gridCol w:w="3600"/>
        <w:gridCol w:w="6038"/>
      </w:tblGrid>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 Governance Lead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AI Governance Lead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name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Service Owner signature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r>
        <w:tc>
          <w:tcPr>
            <w:tcW w:type="dxa" w:w="3600"/>
            <w:tcBorders>
              <w:top w:val="single" w:color="D9DCE1" w:sz="4"/>
              <w:left w:val="single" w:color="D9DCE1" w:sz="4"/>
              <w:bottom w:val="single" w:color="D9DCE1" w:sz="4"/>
              <w:right w:val="single" w:color="D9DCE1" w:sz="4"/>
            </w:tcBorders>
            <w:shd w:fill="EEF1F5" w:color="auto" w:val="clear"/>
            <w:tcMar>
              <w:top w:type="dxa" w:w="90"/>
              <w:left w:type="dxa" w:w="140"/>
              <w:bottom w:type="dxa" w:w="90"/>
              <w:right w:type="dxa" w:w="140"/>
            </w:tcMar>
            <w:vAlign w:val="center"/>
          </w:tcPr>
          <w:p>
            <w:pPr>
              <w:spacing w:after="0" w:before="0"/>
            </w:pPr>
            <w:r>
              <w:t>Date</w:t>
            </w:r>
          </w:p>
        </w:tc>
        <w:tc>
          <w:tcPr>
            <w:tcW w:type="dxa" w:w="6038"/>
            <w:tcBorders>
              <w:top w:val="single" w:color="D9DCE1" w:sz="4"/>
              <w:left w:val="single" w:color="D9DCE1" w:sz="4"/>
              <w:bottom w:val="single" w:color="D9DCE1" w:sz="4"/>
              <w:right w:val="single" w:color="D9DCE1" w:sz="4"/>
            </w:tcBorders>
            <w:tcMar>
              <w:top w:type="dxa" w:w="90"/>
              <w:left w:type="dxa" w:w="140"/>
              <w:bottom w:type="dxa" w:w="90"/>
              <w:right w:type="dxa" w:w="140"/>
            </w:tcMar>
            <w:vAlign w:val="center"/>
          </w:tcPr>
          <w:p>
            <w:pPr>
              <w:spacing w:after="0" w:before="0"/>
            </w:pPr>
            <w:r>
              <w:rPr>
                <w:rFonts w:ascii="Arial" w:cs="Arial" w:eastAsia="Arial" w:hAnsi="Arial"/>
                <w:sz w:val="19"/>
                <w:szCs w:val="19"/>
              </w:rPr>
            </w:r>
          </w:p>
        </w:tc>
      </w:tr>
    </w:tbl>
    <w:p>
      <w:r/>
    </w:p>
    <w:p>
      <w:pPr>
        <w:pStyle w:val="Heading1"/>
        <w:keepNext/>
      </w:pPr>
      <w:r>
        <w:t>Document control</w:t>
      </w:r>
    </w:p>
    <w:p>
      <w:pPr>
        <w:spacing w:after="160"/>
      </w:pPr>
      <w:r>
        <w:t>Administrative control record. This artefact remains a working draft until formally approved.</w:t>
      </w:r>
    </w:p>
    <w:tbl>
      <w:tblPr>
        <w:tblW w:type="dxa" w:w="9638"/>
        <w:tblLook w:firstColumn="1" w:firstRow="1" w:lastColumn="0" w:lastRow="0" w:noHBand="0" w:noVBand="1" w:val="04A0"/>
        <w:tblInd w:w="0" w:type="dxa"/>
        <w:tblLayout w:type="fixed"/>
        <w:tblCaption w:val="AIG-ASS-04: document-control metadata"/>
        <w:tblDescription w:val="Controlled metadata table with two columns, Field and Controlled value. The first row is identified as the table header."/>
      </w:tblPr>
      <w:tblGrid>
        <w:gridCol w:w="2602"/>
        <w:gridCol w:w="7036"/>
      </w:tblGrid>
      <w:tr>
        <w:trPr>
          <w:cantSplit/>
          <w:tblHeader w:val="true"/>
        </w:trPr>
        <w:tc>
          <w:tcPr>
            <w:tcW w:type="dxa" w:w="2602"/>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0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ID</w:t>
            </w:r>
          </w:p>
        </w:tc>
        <w:tc>
          <w:tcPr>
            <w:tcW w:type="dxa" w:w="7036"/>
            <w:vAlign w:val="center"/>
            <w:tcMar>
              <w:top w:w="85" w:type="dxa"/>
              <w:start w:w="110" w:type="dxa"/>
              <w:bottom w:w="85" w:type="dxa"/>
              <w:end w:w="110" w:type="dxa"/>
            </w:tcMar>
          </w:tcPr>
          <w:p>
            <w:pPr>
              <w:spacing w:before="0" w:after="0" w:line="240" w:lineRule="auto"/>
            </w:pPr>
            <w:r>
              <w:t>AIG-ASS-04</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Version</w:t>
            </w:r>
          </w:p>
        </w:tc>
        <w:tc>
          <w:tcPr>
            <w:tcW w:type="dxa" w:w="7036"/>
            <w:vAlign w:val="center"/>
            <w:tcMar>
              <w:top w:w="85" w:type="dxa"/>
              <w:start w:w="110" w:type="dxa"/>
              <w:bottom w:w="85" w:type="dxa"/>
              <w:end w:w="110" w:type="dxa"/>
            </w:tcMar>
          </w:tcPr>
          <w:p>
            <w:r>
              <w:t>1.6 draft</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Status</w:t>
            </w:r>
          </w:p>
        </w:tc>
        <w:tc>
          <w:tcPr>
            <w:tcW w:type="dxa" w:w="7036"/>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Document owner</w:t>
            </w:r>
          </w:p>
        </w:tc>
        <w:tc>
          <w:tcPr>
            <w:tcW w:type="dxa" w:w="70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Approving body</w:t>
            </w:r>
          </w:p>
        </w:tc>
        <w:tc>
          <w:tcPr>
            <w:tcW w:type="dxa" w:w="7036"/>
            <w:vAlign w:val="center"/>
            <w:tcMar>
              <w:top w:w="85" w:type="dxa"/>
              <w:start w:w="110" w:type="dxa"/>
              <w:bottom w:w="85" w:type="dxa"/>
              <w:end w:w="110" w:type="dxa"/>
            </w:tcMar>
          </w:tcPr>
          <w:p>
            <w:r>
              <w:t>Pending — competent Council authority under confirmed Constitution / Scheme of Delegation; AI Assurance Board provides assurance and is not presumed to hold approval authority.</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Approval date</w:t>
            </w:r>
          </w:p>
        </w:tc>
        <w:tc>
          <w:tcPr>
            <w:tcW w:type="dxa" w:w="7036"/>
            <w:vAlign w:val="center"/>
            <w:tcMar>
              <w:top w:w="85" w:type="dxa"/>
              <w:start w:w="110" w:type="dxa"/>
              <w:bottom w:w="85" w:type="dxa"/>
              <w:end w:w="110" w:type="dxa"/>
            </w:tcMar>
          </w:tcPr>
          <w:p>
            <w:pPr>
              <w:spacing w:before="0" w:after="0" w:line="240" w:lineRule="auto"/>
            </w:pPr>
            <w:r>
              <w:t>Not yet approved</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Effective date</w:t>
            </w:r>
          </w:p>
        </w:tc>
        <w:tc>
          <w:tcPr>
            <w:tcW w:type="dxa" w:w="7036"/>
            <w:vAlign w:val="center"/>
            <w:tcMar>
              <w:top w:w="85" w:type="dxa"/>
              <w:start w:w="110" w:type="dxa"/>
              <w:bottom w:w="85" w:type="dxa"/>
              <w:end w:w="110" w:type="dxa"/>
            </w:tcMar>
          </w:tcPr>
          <w:p>
            <w:pPr>
              <w:spacing w:before="0" w:after="0" w:line="240" w:lineRule="auto"/>
            </w:pPr>
            <w:r>
              <w:t>Not yet effective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Next review date</w:t>
            </w:r>
          </w:p>
        </w:tc>
        <w:tc>
          <w:tcPr>
            <w:tcW w:type="dxa" w:w="7036"/>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602"/>
            <w:vAlign w:val="center"/>
            <w:tcMar>
              <w:top w:w="85" w:type="dxa"/>
              <w:start w:w="110" w:type="dxa"/>
              <w:bottom w:w="85" w:type="dxa"/>
              <w:end w:w="110" w:type="dxa"/>
            </w:tcMar>
            <w:shd w:fill="E9EFF6"/>
          </w:tcPr>
          <w:p>
            <w:pPr>
              <w:spacing w:before="0" w:after="0" w:line="240" w:lineRule="auto"/>
            </w:pPr>
            <w:r>
              <w:t>Classification</w:t>
            </w:r>
          </w:p>
        </w:tc>
        <w:tc>
          <w:tcPr>
            <w:tcW w:type="dxa" w:w="7036"/>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9638"/>
        <w:tblLook w:firstColumn="1" w:firstRow="1" w:lastColumn="0" w:lastRow="0" w:noHBand="0" w:noVBand="1" w:val="04A0"/>
        <w:tblInd w:w="0" w:type="dxa"/>
        <w:tblLayout w:type="fixed"/>
        <w:tblCaption w:val="AIG-ASS-04: change history"/>
        <w:tblDescription w:val="Change-history table with four columns: Version, Date, Change summary and Owner. The first row is identified as the table header."/>
      </w:tblPr>
      <w:tblGrid>
        <w:gridCol w:w="1349"/>
        <w:gridCol w:w="1734"/>
        <w:gridCol w:w="4819"/>
        <w:gridCol w:w="1736"/>
      </w:tblGrid>
      <w:tr>
        <w:trPr>
          <w:cantSplit/>
          <w:tblHeader w:val="true"/>
        </w:trPr>
        <w:tc>
          <w:tcPr>
            <w:tcW w:type="dxa" w:w="134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734"/>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4819"/>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736"/>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349"/>
            <w:vAlign w:val="center"/>
            <w:tcMar>
              <w:top w:w="85" w:type="dxa"/>
              <w:start w:w="110" w:type="dxa"/>
              <w:bottom w:w="85" w:type="dxa"/>
              <w:end w:w="110" w:type="dxa"/>
            </w:tcMar>
          </w:tcPr>
          <w:p>
            <w:pPr>
              <w:spacing w:before="0" w:after="0" w:line="240" w:lineRule="auto"/>
            </w:pPr>
            <w:r>
              <w:t>1.0 draft</w:t>
            </w:r>
          </w:p>
        </w:tc>
        <w:tc>
          <w:tcPr>
            <w:tcW w:type="dxa" w:w="1734"/>
            <w:vAlign w:val="center"/>
            <w:tcMar>
              <w:top w:w="85" w:type="dxa"/>
              <w:start w:w="110" w:type="dxa"/>
              <w:bottom w:w="85" w:type="dxa"/>
              <w:end w:w="110" w:type="dxa"/>
            </w:tcMar>
          </w:tcPr>
          <w:p>
            <w:pPr>
              <w:spacing w:before="0" w:after="0" w:line="240" w:lineRule="auto"/>
            </w:pPr>
            <w:r>
              <w:t>6 August 2026</w:t>
            </w:r>
          </w:p>
        </w:tc>
        <w:tc>
          <w:tcPr>
            <w:tcW w:type="dxa" w:w="4819"/>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736"/>
            <w:vAlign w:val="center"/>
            <w:tcMar>
              <w:top w:w="85" w:type="dxa"/>
              <w:start w:w="110" w:type="dxa"/>
              <w:bottom w:w="85" w:type="dxa"/>
              <w:end w:w="110" w:type="dxa"/>
            </w:tcMar>
          </w:tcPr>
          <w:p>
            <w:pPr>
              <w:spacing w:before="0" w:after="0" w:line="240" w:lineRule="auto"/>
            </w:pPr>
            <w:r>
              <w:t>AI Governance Lead</w:t>
            </w:r>
          </w:p>
        </w:tc>
      </w:tr>
      <w:tr>
        <w:trPr>
          <w:cantSplit/>
        </w:trPr>
        <w:tc>
          <w:tcPr>
            <w:tcW w:type="dxa" w:w="1349"/>
            <w:vAlign w:val="center"/>
            <w:tcMar>
              <w:top w:w="85" w:type="dxa"/>
              <w:start w:w="110" w:type="dxa"/>
              <w:bottom w:w="85" w:type="dxa"/>
              <w:end w:w="110" w:type="dxa"/>
            </w:tcMar>
          </w:tcPr>
          <w:p>
            <w:r>
              <w:t>1.1 draft</w:t>
            </w:r>
          </w:p>
        </w:tc>
        <w:tc>
          <w:tcPr>
            <w:tcW w:type="dxa" w:w="1734"/>
            <w:vAlign w:val="center"/>
            <w:tcMar>
              <w:top w:w="85" w:type="dxa"/>
              <w:start w:w="110" w:type="dxa"/>
              <w:bottom w:w="85" w:type="dxa"/>
              <w:end w:w="110" w:type="dxa"/>
            </w:tcMar>
          </w:tcPr>
          <w:p>
            <w:r>
              <w:t>6 August 2026</w:t>
            </w:r>
          </w:p>
        </w:tc>
        <w:tc>
          <w:tcPr>
            <w:tcW w:type="dxa" w:w="4819"/>
            <w:vAlign w:val="center"/>
            <w:tcMar>
              <w:top w:w="85" w:type="dxa"/>
              <w:start w:w="110" w:type="dxa"/>
              <w:bottom w:w="85" w:type="dxa"/>
              <w:end w:w="110" w:type="dxa"/>
            </w:tcMar>
          </w:tcPr>
          <w:p>
            <w:r>
              <w:t>QA revision: added evidence, remediation ownership, due-date, closure and escalation controls.</w:t>
            </w:r>
          </w:p>
        </w:tc>
        <w:tc>
          <w:tcPr>
            <w:tcW w:type="dxa" w:w="1736"/>
            <w:vAlign w:val="center"/>
            <w:tcMar>
              <w:top w:w="85" w:type="dxa"/>
              <w:start w:w="110" w:type="dxa"/>
              <w:bottom w:w="85" w:type="dxa"/>
              <w:end w:w="110" w:type="dxa"/>
            </w:tcMar>
          </w:tcPr>
          <w:p>
            <w:r>
              <w:t>AI Governance Lead</w:t>
            </w:r>
          </w:p>
        </w:tc>
      </w:tr>
      <w:tr>
        <w:trPr>
          <w:cantSplit/>
        </w:trPr>
        <w:tc>
          <w:tcPr>
            <w:tcW w:type="dxa" w:w="1349"/>
            <w:vAlign w:val="center"/>
            <w:tcMar>
              <w:top w:w="85" w:type="dxa"/>
              <w:start w:w="110" w:type="dxa"/>
              <w:bottom w:w="85" w:type="dxa"/>
              <w:end w:w="110" w:type="dxa"/>
            </w:tcMar>
          </w:tcPr>
          <w:p>
            <w:r>
              <w:t xml:space="preserve">1.2 draft</w:t>
            </w:r>
          </w:p>
        </w:tc>
        <w:tc>
          <w:tcPr>
            <w:tcW w:type="dxa" w:w="1734"/>
            <w:vAlign w:val="center"/>
            <w:tcMar>
              <w:top w:w="85" w:type="dxa"/>
              <w:start w:w="110" w:type="dxa"/>
              <w:bottom w:w="85" w:type="dxa"/>
              <w:end w:w="110" w:type="dxa"/>
            </w:tcMar>
          </w:tcPr>
          <w:p>
            <w:r>
              <w:t xml:space="preserve">29 September 2026</w:t>
            </w:r>
          </w:p>
        </w:tc>
        <w:tc>
          <w:tcPr>
            <w:tcW w:type="dxa" w:w="4819"/>
            <w:vAlign w:val="center"/>
            <w:tcMar>
              <w:top w:w="85" w:type="dxa"/>
              <w:start w:w="110" w:type="dxa"/>
              <w:bottom w:w="85" w:type="dxa"/>
              <w:end w:w="110" w:type="dxa"/>
            </w:tcMar>
          </w:tcPr>
          <w:p>
            <w:r>
              <w:t xml:space="preserve">QA remediation — applied findings QA-185, QA-199, QA-200, QA-204, QA-221 (see QA change log). Final tidy-up: self-referencing cross-reference removed from the standards row(s) REQ-033, REQ-034.</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 xml:space="preserve">1.3 draft</w:t>
            </w:r>
          </w:p>
        </w:tc>
        <w:tc>
          <w:tcPr>
            <w:tcW w:type="dxa" w:w="1734"/>
            <w:vAlign w:val="center"/>
            <w:tcMar>
              <w:top w:w="85" w:type="dxa"/>
              <w:start w:w="110" w:type="dxa"/>
              <w:bottom w:w="85" w:type="dxa"/>
              <w:end w:w="110" w:type="dxa"/>
            </w:tcMar>
          </w:tcPr>
          <w:p>
            <w:r>
              <w:t xml:space="preserve">30 September 2026</w:t>
            </w:r>
          </w:p>
        </w:tc>
        <w:tc>
          <w:tcPr>
            <w:tcW w:type="dxa" w:w="4819"/>
            <w:vAlign w:val="center"/>
            <w:tcMar>
              <w:top w:w="85" w:type="dxa"/>
              <w:start w:w="110" w:type="dxa"/>
              <w:bottom w:w="85" w:type="dxa"/>
              <w:end w:w="110" w:type="dxa"/>
            </w:tcMar>
          </w:tcPr>
          <w:p>
            <w:r>
              <w:t xml:space="preserve">v3.9.1: standards cross-reference note updated to the 54-entry requirement inventory (AIG-AIMS-05 REQ-054, Civil Contingencies Act 2004, added).</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 xml:space="preserve">1.4 draft</w:t>
            </w:r>
          </w:p>
        </w:tc>
        <w:tc>
          <w:tcPr>
            <w:tcW w:type="dxa" w:w="1734"/>
            <w:vAlign w:val="center"/>
            <w:tcMar>
              <w:top w:w="85" w:type="dxa"/>
              <w:start w:w="110" w:type="dxa"/>
              <w:bottom w:w="85" w:type="dxa"/>
              <w:end w:w="110" w:type="dxa"/>
            </w:tcMar>
          </w:tcPr>
          <w:p>
            <w:r>
              <w:t xml:space="preserve">1 October 2026</w:t>
            </w:r>
          </w:p>
        </w:tc>
        <w:tc>
          <w:tcPr>
            <w:tcW w:type="dxa" w:w="4819"/>
            <w:vAlign w:val="center"/>
            <w:tcMar>
              <w:top w:w="85" w:type="dxa"/>
              <w:start w:w="110" w:type="dxa"/>
              <w:bottom w:w="85" w:type="dxa"/>
              <w:end w:w="110" w:type="dxa"/>
            </w:tcMar>
          </w:tcPr>
          <w:p>
            <w:r>
              <w:t xml:space="preserve">v3.9.3: standards gap closure against NCSC, NIST AI 600-1 and ISO/IEC 42005 (see QA change log, sheet “v3.9.3 changes”): new questions under theme 2 (proportionate energy and compute use; C4), theme 4 (telling users they are dealing with AI and labelling AI-generated content; C2), theme 6 (response to a disclosure of risk of harm, hand-over to a person and signposting; C1) and theme 7 (foreseeable misuse; C7); standards cross-reference note cites the 55-entry requirement inventory (AIG-AIMS-05 REQ-055, NIST AI 600-1 Generative AI Profile, added). Proposed — for Council confirmation.</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1.5 draft</w:t>
            </w:r>
          </w:p>
        </w:tc>
        <w:tc>
          <w:tcPr>
            <w:tcW w:type="dxa" w:w="1734"/>
            <w:vAlign w:val="center"/>
            <w:tcMar>
              <w:top w:w="85" w:type="dxa"/>
              <w:start w:w="110" w:type="dxa"/>
              <w:bottom w:w="85" w:type="dxa"/>
              <w:end w:w="110" w:type="dxa"/>
            </w:tcMar>
          </w:tcPr>
          <w:p>
            <w:r>
              <w:t>2 October 2026</w:t>
            </w:r>
          </w:p>
        </w:tc>
        <w:tc>
          <w:tcPr>
            <w:tcW w:type="dxa" w:w="4819"/>
            <w:vAlign w:val="center"/>
            <w:tcMar>
              <w:top w:w="85" w:type="dxa"/>
              <w:start w:w="110" w:type="dxa"/>
              <w:bottom w:w="85" w:type="dxa"/>
              <w:end w:w="110" w:type="dxa"/>
            </w:tcMar>
          </w:tcPr>
          <w:p>
            <w:r>
              <w:t>v3.9.5: standards cross-reference note cites the 56-entry requirement inventory (AIG-AIMS-05 REQ-056, SI 2026/425 ICO statutory code of practice on AI and automated decision-making, added). Proposed — for Council confirmation.</w:t>
            </w:r>
          </w:p>
        </w:tc>
        <w:tc>
          <w:tcPr>
            <w:tcW w:type="dxa" w:w="1736"/>
            <w:vAlign w:val="center"/>
            <w:tcMar>
              <w:top w:w="85" w:type="dxa"/>
              <w:start w:w="110" w:type="dxa"/>
              <w:bottom w:w="85" w:type="dxa"/>
              <w:end w:w="110" w:type="dxa"/>
            </w:tcMar>
          </w:tcPr>
          <w:p>
            <w:r>
              <w:t xml:space="preserve">AI Governance Lead</w:t>
            </w:r>
          </w:p>
        </w:tc>
      </w:tr>
      <w:tr>
        <w:trPr>
          <w:cantSplit/>
        </w:trPr>
        <w:tc>
          <w:tcPr>
            <w:tcW w:type="dxa" w:w="1349"/>
            <w:vAlign w:val="center"/>
            <w:tcMar>
              <w:top w:w="85" w:type="dxa"/>
              <w:start w:w="110" w:type="dxa"/>
              <w:bottom w:w="85" w:type="dxa"/>
              <w:end w:w="110" w:type="dxa"/>
            </w:tcMar>
          </w:tcPr>
          <w:p>
            <w:r>
              <w:t>1.6 draft</w:t>
            </w:r>
          </w:p>
        </w:tc>
        <w:tc>
          <w:tcPr>
            <w:tcW w:type="dxa" w:w="1734"/>
            <w:vAlign w:val="center"/>
            <w:tcMar>
              <w:top w:w="85" w:type="dxa"/>
              <w:start w:w="110" w:type="dxa"/>
              <w:bottom w:w="85" w:type="dxa"/>
              <w:end w:w="110" w:type="dxa"/>
            </w:tcMar>
          </w:tcPr>
          <w:p>
            <w:r>
              <w:t>12 October 2026</w:t>
            </w:r>
          </w:p>
        </w:tc>
        <w:tc>
          <w:tcPr>
            <w:tcW w:type="dxa" w:w="4819"/>
            <w:vAlign w:val="center"/>
            <w:tcMar>
              <w:top w:w="85" w:type="dxa"/>
              <w:start w:w="110" w:type="dxa"/>
              <w:bottom w:w="85" w:type="dxa"/>
              <w:end w:w="110" w:type="dxa"/>
            </w:tcMar>
          </w:tcPr>
          <w:p>
            <w:r>
              <w:t>v3.9.10: standards cross-reference note cites the 58-entry requirement inventory (AIG-AIMS-05 REQ-057 DAMA-DMBOK and REQ-058 ISO/IEC 5259, added as voluntary data governance references). Proposed — for Council confirmation.</w:t>
            </w:r>
          </w:p>
        </w:tc>
        <w:tc>
          <w:tcPr>
            <w:tcW w:type="dxa" w:w="1736"/>
            <w:vAlign w:val="center"/>
            <w:tcMar>
              <w:top w:w="85" w:type="dxa"/>
              <w:start w:w="110" w:type="dxa"/>
              <w:bottom w:w="85" w:type="dxa"/>
              <w:end w:w="110" w:type="dxa"/>
            </w:tcMar>
          </w:tcPr>
          <w:p>
            <w:r>
              <w:t>AI Governance Lead</w:t>
            </w:r>
          </w:p>
        </w:tc>
      </w:tr>
    </w:tbl>
    <w:p>
      <w:r>
        <w:br w:type="page"/>
      </w:r>
    </w:p>
    <w:p>
      <w:r>
        <w:rPr>
          <w:b/>
          <w:sz w:val="32"/>
        </w:rPr>
        <w:t>NOT APPROVED — PROPOSED INTEGRATION ANNEX</w:t>
      </w:r>
    </w:p>
    <w:p>
      <w:r>
        <w:rPr>
          <w:b/>
          <w:sz w:val="26"/>
        </w:rPr>
        <w:t>Integration annex — Responsible AI Assessment</w:t>
      </w:r>
    </w:p>
    <w:p>
      <w:r>
        <w:rPr>
          <w:b/>
        </w:rPr>
        <w:t>DRAFT FOR COUNCIL REVIEW • 25 September 2026 • Not approved for operational use</w:t>
      </w:r>
    </w:p>
    <w:p>
      <w:r>
        <w:rPr>
          <w:b/>
          <w:sz w:val="24"/>
        </w:rPr>
        <w:t>Purpose and record boundary</w:t>
      </w:r>
    </w:p>
    <w:p>
      <w:r>
        <w:t>This assessment remains the native Responsible AI assessment and retains its own eight-theme analysis, ratings, remediation and QA record. Do not copy the assessment into the Register: after registration, enter its AIR-ID in this document and keep only the current assurance summary and versioned pointer in AIG-INV-04.</w:t>
      </w:r>
    </w:p>
    <w:p>
      <w:r>
        <w:rPr>
          <w:b/>
          <w:sz w:val="24"/>
        </w:rPr>
        <w:t>Evidence and governance joins</w:t>
      </w:r>
    </w:p>
    <w:p>
      <w:r>
        <w:t xml:space="preserve">For each theme, cite the proposed AIG-INV-04 Evidence Index using the specific Evidence ID, source/version, verification or observed date, and controlled location; distinguish missing evidence from a negative finding. An AIG-DEC-04 reference may identify only an actual dated Gate Event or dated Condition (ID and date), not a planned gate or an undated status. The assessment and this annex do not make the governance decision: cite the authorised AIG-DEC-03 decision record or authoritative forum minutes; AIG-DEC-04 may point to that record but cannot approve.</w:t>
      </w:r>
    </w:p>
    <w:p>
      <w:r>
        <w:rPr>
          <w:b/>
          <w:sz w:val="24"/>
        </w:rPr>
        <w:t>Reassessment and affected people</w:t>
      </w:r>
    </w:p>
    <w:p>
      <w:r>
        <w:t>Revisit the relevant themes when intended use, data, supplier, model/version, configuration, or affected groups materially change. Record current-state changes in AIG-INV-04 and monitoring/reassessment actions in AIG-OPS-02; cite AIG-DEC-04 only for the corresponding dated event/condition. For individual rights and challenge routes, cross-reference AIG-OPS-04 and the relevant DPIA/EIA/HRA without treating a pointer as proof that safeguards operate.</w:t>
      </w:r>
    </w:p>
    <w:p>
      <w:r>
        <w:t xml:space="preserve">Fundamental-rights coverage: for how this assessment contributes to EU AI Act Article 27 fundamental-rights impact assessment coverage, see the Fundamental Rights Coverage Crosswalk (AIG-ASS-12). The crosswalk is a design mapping, not case evidence.</w:t>
      </w:r>
    </w:p>
    <w:p>
      <w:r>
        <w:rPr>
          <w:b/>
          <w:sz w:val="24"/>
        </w:rPr>
        <w:t>Agent-enabled use and status</w:t>
      </w:r>
    </w:p>
    <w:p>
      <w:r>
        <w:t>Where consequential delegated action is possible, link the relevant AIR-ID and exact ASBOM/AG-ID version in AIG-AGT-04; use AIG-AGT-05 as a derived authority-graph view and AIG-AGT-06 for action-specific decision records. This does not replace the assessment or grant agent permissions. Draft integration only: no rating, evidence result, legal applicability, approval, or publication is established here.</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REQ-001 — UK General Data Protection Regulation (UK GDPR), as amended</w:t>
            </w:r>
          </w:p>
        </w:tc>
        <w:tc>
          <w:tcPr>
            <w:tcW w:type="dxa" w:w="3213"/>
          </w:tcPr>
          <w:p>
            <w:r>
              <w:t>Where personal data is processed; test each UK GDPR provision separately.</w:t>
            </w:r>
          </w:p>
        </w:tc>
        <w:tc>
          <w:tcPr>
            <w:tcW w:type="dxa" w:w="3213"/>
          </w:tcPr>
          <w:p>
            <w:r>
              <w:t>https://www.legislation.gov.uk/eur/2016/679/contents</w:t>
            </w:r>
          </w:p>
        </w:tc>
      </w:tr>
      <w:tr>
        <w:tc>
          <w:tcPr>
            <w:tcW w:type="dxa" w:w="3213"/>
          </w:tcPr>
          <w:p>
            <w:r>
              <w:t>REQ-003 — Data (Use and Access) Act 2025 (DUAA)</w:t>
            </w:r>
          </w:p>
        </w:tc>
        <w:tc>
          <w:tcPr>
            <w:tcW w:type="dxa" w:w="3213"/>
          </w:tcPr>
          <w:p>
            <w:r>
              <w:t>Where DUAA-amended UK GDPR/DPA provisions are engaged, including ADM safeguards.</w:t>
            </w:r>
          </w:p>
        </w:tc>
        <w:tc>
          <w:tcPr>
            <w:tcW w:type="dxa" w:w="3213"/>
          </w:tcPr>
          <w:p>
            <w:r>
              <w:t>https://ico.org.uk/about-the-ico/what-we-do/legislation-we-cover/data-use-and-access-act-2025/</w:t>
            </w:r>
          </w:p>
        </w:tc>
      </w:tr>
      <w:tr>
        <w:tc>
          <w:tcPr>
            <w:tcW w:type="dxa" w:w="3213"/>
          </w:tcPr>
          <w:p>
            <w:r>
              <w:t>REQ-005 — Equality Act 2010, including Public Sector Equality Duty section 149</w:t>
            </w:r>
          </w:p>
        </w:tc>
        <w:tc>
          <w:tcPr>
            <w:tcW w:type="dxa" w:w="3213"/>
          </w:tcPr>
          <w:p>
            <w:r>
              <w:t>Public authority due regard under s.149; case-level equality screening is not risk-tier gated.</w:t>
            </w:r>
          </w:p>
        </w:tc>
        <w:tc>
          <w:tcPr>
            <w:tcW w:type="dxa" w:w="3213"/>
          </w:tcPr>
          <w:p>
            <w:r>
              <w:t>https://www.legislation.gov.uk/ukpga/2010/15/section/149</w:t>
            </w:r>
          </w:p>
        </w:tc>
      </w:tr>
      <w:tr>
        <w:tc>
          <w:tcPr>
            <w:tcW w:type="dxa" w:w="3213"/>
          </w:tcPr>
          <w:p>
            <w:r>
              <w:t>REQ-006 — Human Rights Act 1998</w:t>
            </w:r>
          </w:p>
        </w:tc>
        <w:tc>
          <w:tcPr>
            <w:tcW w:type="dxa" w:w="3213"/>
          </w:tcPr>
          <w:p>
            <w:r>
              <w:t>Public-authority compatibility under s.6; assess Convention rights engaged by the case.</w:t>
            </w:r>
          </w:p>
        </w:tc>
        <w:tc>
          <w:tcPr>
            <w:tcW w:type="dxa" w:w="3213"/>
          </w:tcPr>
          <w:p>
            <w:r>
              <w:t>https://www.legislation.gov.uk/ukpga/1998/42/contents</w:t>
            </w:r>
          </w:p>
        </w:tc>
      </w:tr>
      <w:tr>
        <w:tc>
          <w:tcPr>
            <w:tcW w:type="dxa" w:w="3213"/>
          </w:tcPr>
          <w:p>
            <w:r>
              <w:t>REQ-033 — ICO Guidance on AI and Data Protection and AI Risk Toolkit</w:t>
            </w:r>
          </w:p>
        </w:tc>
        <w:tc>
          <w:tcPr>
            <w:tcW w:type="dxa" w:w="3213"/>
          </w:tcPr>
          <w:p>
            <w:r>
              <w:t>Screen the regulatory guidance requirement against this artefact's actual use and record evidence/version.</w:t>
            </w:r>
          </w:p>
        </w:tc>
        <w:tc>
          <w:tcPr>
            <w:tcW w:type="dxa" w:w="3213"/>
          </w:tcPr>
          <w:p>
            <w:r>
              <w:t>https://ico.org.uk/for-organisations/uk-gdpr-guidance-and-resources/artificial-intelligence/guidance-on-ai-and-data-protection/</w:t>
            </w:r>
          </w:p>
        </w:tc>
      </w:tr>
      <w:tr>
        <w:tc>
          <w:tcPr>
            <w:tcW w:type="dxa" w:w="3213"/>
          </w:tcPr>
          <w:p>
            <w:r>
              <w:t>REQ-034 — ICO Explaining Decisions Made with AI guidance</w:t>
            </w:r>
          </w:p>
        </w:tc>
        <w:tc>
          <w:tcPr>
            <w:tcW w:type="dxa" w:w="3213"/>
          </w:tcPr>
          <w:p>
            <w:r>
              <w:t>Screen the regulatory guidance requirement against this artefact's actual use and record evidence/version.</w:t>
            </w:r>
          </w:p>
        </w:tc>
        <w:tc>
          <w:tcPr>
            <w:tcW w:type="dxa" w:w="3213"/>
          </w:tcPr>
          <w:p>
            <w:r>
              <w:t>https://ico.org.uk/for-organisations/uk-gdpr-guidance-and-resources/artificial-intelligence/explaining-decisions-made-with-artificial-intelligence/</w:t>
            </w:r>
          </w:p>
        </w:tc>
      </w:tr>
      <w:tr>
        <w:tc>
          <w:tcPr>
            <w:tcW w:type="dxa" w:w="3213"/>
          </w:tcPr>
          <w:p>
            <w:r>
              <w:t>REQ-042 — ISO/IEC 42005:2025 AI system impact assessment</w:t>
            </w:r>
          </w:p>
        </w:tc>
        <w:tc>
          <w:tcPr>
            <w:tcW w:type="dxa" w:w="3213"/>
          </w:tcPr>
          <w:p>
            <w:r>
              <w:t>Guidance for AI impact-assessment design; validate edition and selected use.</w:t>
            </w:r>
          </w:p>
        </w:tc>
        <w:tc>
          <w:tcPr>
            <w:tcW w:type="dxa" w:w="3213"/>
          </w:tcPr>
          <w:p>
            <w:r>
              <w:t>https://www.iso.org/standard/42005</w:t>
            </w:r>
          </w:p>
        </w:tc>
      </w:tr>
    </w:tbl>
    <w:sectPr>
      <w:headerReference w:type="default" r:id="rId7"/>
      <w:footerReference w:type="default" r:id="rId8"/>
      <w:footerReference w:type="first" r:id="rId10"/>
      <w:footerReference w:type="even" r:id="rId11"/>
      <w:headerReference w:type="first" r:id="rId12"/>
      <w:headerReference w:type="even" r:id="rId13"/>
      <w:pgSz w:w="11906" w:h="16838" w:orient="portrait"/>
      <w:pgMar w:top="1134" w:right="1134" w:bottom="1134" w:left="1134"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line="240" w:lineRule="auto"/>
      <w:jc w:val="center"/>
    </w:pPr>
    <w:r>
      <w:rPr>
        <w:rFonts w:ascii="Arial" w:hAnsi="Arial"/>
        <w:color w:val="536072"/>
        <w:sz w:val="16"/>
      </w:rPr>
      <w:t xml:space="preserve">AIG-ASS-04  ·  v1.6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7" w:color="DCE3EA"/>
      </w:pBdr>
      <w:spacing w:after="0"/>
      <w:jc w:val="right"/>
    </w:pPr>
    <w:r>
      <w:rPr>
        <w:rFonts w:ascii="Arial" w:hAnsi="Arial"/>
        <w:color w:val="536072"/>
        <w:sz w:val="17"/>
      </w:rPr>
      <w:t>The Council — Responsible AI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AIG-ASS-04 Responsible AI Assessment</dc:title>
  <dc:creator>AI Governance working draft</dc:creator>
  <cp:lastModifiedBy>AI Governance working draft</cp:lastModifiedBy>
  <cp:revision>1</cp:revision>
  <dcterms:created xsi:type="dcterms:W3CDTF">2026-06-27T20:24:01.382Z</dcterms:created>
  <dcterms:modified xsi:type="dcterms:W3CDTF">2026-10-01T12:00:00Z</dcterms:modified>
  <dc:subject>Proposed grouped-ID suite; not approved</dc:subject>
  <cp:keywords>Proposed grouped-ID suite; not approved</cp:keywords>
  <dc:identifier/>
  <cp:version>1.5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